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rPr>
          <w:b/>
          <w:color w:val="0369A1"/>
          <w:sz w:val="20"/>
        </w:rPr>
        <w:t>●  SAMPLE — preview only. Not licensed for use. Buy the full editable file at impactmojo.in/products/tor-template/</w:t>
      </w:r>
    </w:p>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20"/>
        <w:tblGridChange w:id="0">
          <w:tblGrid>
            <w:gridCol w:w="90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52a49" w:val="clear"/>
            <w:tcMar>
              <w:top w:w="360.0" w:type="dxa"/>
              <w:left w:w="240.0" w:type="dxa"/>
              <w:bottom w:w="360.0" w:type="dxa"/>
              <w:right w:w="240.0" w:type="dxa"/>
            </w:tcMar>
          </w:tcPr>
          <w:p w:rsidR="00000000" w:rsidDel="00000000" w:rsidP="00000000" w:rsidRDefault="00000000" w:rsidRPr="00000000" w14:paraId="00000002">
            <w:pPr>
              <w:spacing w:after="160" w:lineRule="auto"/>
              <w:jc w:val="center"/>
              <w:rPr/>
            </w:pPr>
            <w:r w:rsidDel="00000000" w:rsidR="00000000" w:rsidRPr="00000000">
              <w:rPr/>
              <w:drawing>
                <wp:inline distB="0" distT="0" distL="0" distR="0">
                  <wp:extent cx="1866900" cy="1457325"/>
                  <wp:effectExtent b="0" l="0" r="0" t="0"/>
                  <wp:docPr descr="logo" id="1" name="image2.jpg"/>
                  <a:graphic>
                    <a:graphicData uri="http://schemas.openxmlformats.org/drawingml/2006/picture">
                      <pic:pic>
                        <pic:nvPicPr>
                          <pic:cNvPr descr="logo" id="0" name="image2.jpg"/>
                          <pic:cNvPicPr preferRelativeResize="0"/>
                        </pic:nvPicPr>
                        <pic:blipFill>
                          <a:blip r:embed="rId6"/>
                          <a:srcRect b="0" l="0" r="0" t="0"/>
                          <a:stretch>
                            <a:fillRect/>
                          </a:stretch>
                        </pic:blipFill>
                        <pic:spPr>
                          <a:xfrm>
                            <a:off x="0" y="0"/>
                            <a:ext cx="1866900"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Calibri" w:cs="Calibri" w:eastAsia="Calibri" w:hAnsi="Calibri"/>
                <w:b w:val="1"/>
                <w:bCs w:val="1"/>
                <w:color w:val="ffffff"/>
                <w:sz w:val="40"/>
                <w:szCs w:val="40"/>
                <w:rtl w:val="0"/>
              </w:rPr>
              <w:t xml:space="preserve">Terms of Reference</w:t>
            </w:r>
            <w:r w:rsidDel="00000000" w:rsidR="00000000" w:rsidRPr="00000000">
              <w:rPr>
                <w:rtl w:val="0"/>
              </w:rPr>
            </w:r>
          </w:p>
          <w:p w:rsidR="00000000" w:rsidDel="00000000" w:rsidP="00000000" w:rsidRDefault="00000000" w:rsidRPr="00000000" w14:paraId="00000004">
            <w:pPr>
              <w:spacing w:after="40" w:lineRule="auto"/>
              <w:jc w:val="center"/>
              <w:rPr/>
            </w:pPr>
            <w:r w:rsidDel="00000000" w:rsidR="00000000" w:rsidRPr="00000000">
              <w:rPr>
                <w:rFonts w:ascii="Calibri" w:cs="Calibri" w:eastAsia="Calibri" w:hAnsi="Calibri"/>
                <w:i w:val="1"/>
                <w:iCs w:val="1"/>
                <w:color w:val="0dbeb6"/>
                <w:sz w:val="22"/>
                <w:szCs w:val="22"/>
                <w:rtl w:val="0"/>
              </w:rPr>
              <w:t xml:space="preserve">The complete commissioning pack: annotated template, question bank, scoring rubric, benchmarks and a worked example</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Calibri" w:cs="Calibri" w:eastAsia="Calibri" w:hAnsi="Calibri"/>
                <w:color w:val="aebdcc"/>
                <w:sz w:val="17"/>
                <w:szCs w:val="17"/>
                <w:rtl w:val="0"/>
              </w:rPr>
              <w:t xml:space="preserve">Template · DOCX · ₹199</w:t>
            </w:r>
            <w:r w:rsidDel="00000000" w:rsidR="00000000" w:rsidRPr="00000000">
              <w:rPr>
                <w:rtl w:val="0"/>
              </w:rPr>
            </w:r>
          </w:p>
        </w:tc>
      </w:tr>
    </w:tbl>
    <w:p w:rsidR="00000000" w:rsidDel="00000000" w:rsidP="00000000" w:rsidRDefault="00000000" w:rsidRPr="00000000" w14:paraId="00000006">
      <w:pPr>
        <w:spacing w:after="40" w:before="160" w:lineRule="auto"/>
        <w:jc w:val="center"/>
        <w:rPr/>
      </w:pPr>
      <w:r w:rsidDel="00000000" w:rsidR="00000000" w:rsidRPr="00000000">
        <w:rPr>
          <w:rFonts w:ascii="Calibri" w:cs="Calibri" w:eastAsia="Calibri" w:hAnsi="Calibri"/>
          <w:color w:val="5b6776"/>
          <w:sz w:val="18"/>
          <w:szCs w:val="18"/>
          <w:rtl w:val="0"/>
        </w:rPr>
        <w:t xml:space="preserve">Version 2.0   ·   June 2026   ·   Part of the Evaluation Essentials Kit</w:t>
      </w:r>
      <w:r w:rsidDel="00000000" w:rsidR="00000000" w:rsidRPr="00000000">
        <w:rPr>
          <w:rtl w:val="0"/>
        </w:rPr>
      </w:r>
    </w:p>
    <w:tbl>
      <w:tblPr>
        <w:tblStyle w:val="Table2"/>
        <w:tblW w:w="9020.0" w:type="dxa"/>
        <w:jc w:val="left"/>
        <w:tblBorders>
          <w:top w:color="0c8a89" w:space="0" w:sz="4" w:val="single"/>
          <w:left w:color="0c8a89" w:space="0" w:sz="24" w:val="single"/>
          <w:bottom w:color="0c8a89" w:space="0" w:sz="4" w:val="single"/>
          <w:right w:color="0c8a89" w:space="0" w:sz="4" w:val="single"/>
          <w:insideH w:color="000000" w:space="0" w:sz="4" w:val="single"/>
          <w:insideV w:color="000000" w:space="0" w:sz="4" w:val="single"/>
        </w:tblBorders>
        <w:tblLayout w:type="fixed"/>
        <w:tblLook w:val="0000"/>
      </w:tblPr>
      <w:tblGrid>
        <w:gridCol w:w="9020"/>
        <w:tblGridChange w:id="0">
          <w:tblGrid>
            <w:gridCol w:w="9020"/>
          </w:tblGrid>
        </w:tblGridChange>
      </w:tblGrid>
      <w:tr>
        <w:trPr>
          <w:cantSplit w:val="0"/>
          <w:tblHeader w:val="0"/>
        </w:trPr>
        <w:tc>
          <w:tcPr>
            <w:shd w:fill="eaf6f5" w:val="clear"/>
            <w:tcMar>
              <w:top w:w="100.0" w:type="dxa"/>
              <w:left w:w="160.0" w:type="dxa"/>
              <w:bottom w:w="100.0" w:type="dxa"/>
              <w:right w:w="160.0" w:type="dxa"/>
            </w:tcMar>
          </w:tcPr>
          <w:p w:rsidR="00000000" w:rsidDel="00000000" w:rsidP="00000000" w:rsidRDefault="00000000" w:rsidRPr="00000000" w14:paraId="00000007">
            <w:pPr>
              <w:spacing w:after="40" w:lineRule="auto"/>
              <w:rPr/>
            </w:pPr>
            <w:r w:rsidDel="00000000" w:rsidR="00000000" w:rsidRPr="00000000">
              <w:rPr>
                <w:rFonts w:ascii="Calibri" w:cs="Calibri" w:eastAsia="Calibri" w:hAnsi="Calibri"/>
                <w:b w:val="1"/>
                <w:bCs w:val="1"/>
                <w:color w:val="0c8a89"/>
                <w:sz w:val="17"/>
                <w:szCs w:val="17"/>
                <w:rtl w:val="0"/>
              </w:rPr>
              <w:t xml:space="preserve">WHAT IS INSIDE THIS PACK</w:t>
            </w:r>
            <w:r w:rsidDel="00000000" w:rsidR="00000000" w:rsidRPr="00000000">
              <w:rPr>
                <w:rtl w:val="0"/>
              </w:rPr>
            </w:r>
          </w:p>
          <w:p w:rsidR="00000000" w:rsidDel="00000000" w:rsidP="00000000" w:rsidRDefault="00000000" w:rsidRPr="00000000" w14:paraId="00000008">
            <w:pPr>
              <w:spacing w:after="60" w:lineRule="auto"/>
              <w:rPr/>
            </w:pPr>
            <w:r w:rsidDel="00000000" w:rsidR="00000000" w:rsidRPr="00000000">
              <w:rPr>
                <w:rFonts w:ascii="Calibri" w:cs="Calibri" w:eastAsia="Calibri" w:hAnsi="Calibri"/>
                <w:color w:val="0f172a"/>
                <w:sz w:val="20"/>
                <w:szCs w:val="20"/>
                <w:rtl w:val="0"/>
              </w:rPr>
              <w:t xml:space="preserve">Part A. How to commission well, in brief.</w:t>
            </w:r>
            <w:r w:rsidDel="00000000" w:rsidR="00000000" w:rsidRPr="00000000">
              <w:rPr>
                <w:rtl w:val="0"/>
              </w:rPr>
            </w:r>
          </w:p>
          <w:p w:rsidR="00000000" w:rsidDel="00000000" w:rsidP="00000000" w:rsidRDefault="00000000" w:rsidRPr="00000000" w14:paraId="00000009">
            <w:pPr>
              <w:spacing w:after="60" w:lineRule="auto"/>
              <w:rPr/>
            </w:pPr>
            <w:r w:rsidDel="00000000" w:rsidR="00000000" w:rsidRPr="00000000">
              <w:rPr>
                <w:rFonts w:ascii="Calibri" w:cs="Calibri" w:eastAsia="Calibri" w:hAnsi="Calibri"/>
                <w:color w:val="0f172a"/>
                <w:sz w:val="20"/>
                <w:szCs w:val="20"/>
                <w:rtl w:val="0"/>
              </w:rPr>
              <w:t xml:space="preserve">Part B. The annotated terms of reference, thirteen sections, each with guidance, what good looks like, and the mistakes to avoid, plus space to write.</w:t>
            </w:r>
            <w:r w:rsidDel="00000000" w:rsidR="00000000" w:rsidRPr="00000000">
              <w:rPr>
                <w:rtl w:val="0"/>
              </w:rPr>
            </w:r>
          </w:p>
          <w:p w:rsidR="00000000" w:rsidDel="00000000" w:rsidP="00000000" w:rsidRDefault="00000000" w:rsidRPr="00000000" w14:paraId="0000000A">
            <w:pPr>
              <w:spacing w:after="60" w:lineRule="auto"/>
              <w:rPr/>
            </w:pPr>
            <w:r w:rsidDel="00000000" w:rsidR="00000000" w:rsidRPr="00000000">
              <w:rPr>
                <w:rFonts w:ascii="Calibri" w:cs="Calibri" w:eastAsia="Calibri" w:hAnsi="Calibri"/>
                <w:color w:val="0f172a"/>
                <w:sz w:val="20"/>
                <w:szCs w:val="20"/>
                <w:rtl w:val="0"/>
              </w:rPr>
              <w:t xml:space="preserve">Part C. Reference assets you would otherwise build from scratch: an evaluation question bank organised by the OECD-DAC criteria, a weighted bidder-scoring rubric, India-specific budget benchmarks, an indicative timeline, a glossary, and a short standards-and-sources list.</w:t>
            </w:r>
            <w:r w:rsidDel="00000000" w:rsidR="00000000" w:rsidRPr="00000000">
              <w:rPr>
                <w:rtl w:val="0"/>
              </w:rPr>
            </w:r>
          </w:p>
          <w:p w:rsidR="00000000" w:rsidDel="00000000" w:rsidP="00000000" w:rsidRDefault="00000000" w:rsidRPr="00000000" w14:paraId="0000000B">
            <w:pPr>
              <w:spacing w:after="0" w:lineRule="auto"/>
              <w:rPr/>
            </w:pPr>
            <w:r w:rsidDel="00000000" w:rsidR="00000000" w:rsidRPr="00000000">
              <w:rPr>
                <w:rFonts w:ascii="Calibri" w:cs="Calibri" w:eastAsia="Calibri" w:hAnsi="Calibri"/>
                <w:color w:val="0f172a"/>
                <w:sz w:val="20"/>
                <w:szCs w:val="20"/>
                <w:rtl w:val="0"/>
              </w:rPr>
              <w:t xml:space="preserve">Part D. A complete worked example: a filled ToR for a maternal and newborn health programme, the same case used across the ImpactMojo kit.</w:t>
            </w:r>
            <w:r w:rsidDel="00000000" w:rsidR="00000000" w:rsidRPr="00000000">
              <w:rPr>
                <w:rtl w:val="0"/>
              </w:rPr>
            </w:r>
          </w:p>
        </w:tc>
      </w:tr>
    </w:tbl>
    <w:p w:rsidR="00000000" w:rsidDel="00000000" w:rsidP="00000000" w:rsidRDefault="00000000" w:rsidRPr="00000000" w14:paraId="0000000C">
      <w:pPr>
        <w:spacing w:after="100" w:lineRule="auto"/>
        <w:rPr/>
      </w:pPr>
      <w:r w:rsidDel="00000000" w:rsidR="00000000" w:rsidRPr="00000000">
        <w:rPr>
          <w:rFonts w:ascii="Calibri" w:cs="Calibri" w:eastAsia="Calibri" w:hAnsi="Calibri"/>
          <w:i w:val="1"/>
          <w:iCs w:val="1"/>
          <w:color w:val="5b6776"/>
          <w:sz w:val="19"/>
          <w:szCs w:val="19"/>
          <w:rtl w:val="0"/>
        </w:rPr>
        <w:t xml:space="preserve">Replace every [bracketed prompt] and write on the ruled lines. Keep the grey guidance while drafting; delete it before you issue the document. A ToR is a contract brief and a thinking tool at once: the discipline of filling it well is most of the value.</w:t>
      </w:r>
      <w:r w:rsidDel="00000000" w:rsidR="00000000" w:rsidRPr="00000000">
        <w:rPr>
          <w:rtl w:val="0"/>
        </w:rPr>
      </w:r>
    </w:p>
    <w:p w:rsidR="00000000" w:rsidDel="00000000" w:rsidP="00000000" w:rsidRDefault="00000000" w:rsidRPr="00000000" w14:paraId="0000000D">
      <w:pPr>
        <w:spacing w:after="40" w:before="320" w:lineRule="auto"/>
        <w:rPr/>
      </w:pPr>
      <w:r w:rsidDel="00000000" w:rsidR="00000000" w:rsidRPr="00000000">
        <w:rPr>
          <w:rFonts w:ascii="Calibri" w:cs="Calibri" w:eastAsia="Calibri" w:hAnsi="Calibri"/>
          <w:b w:val="1"/>
          <w:bCs w:val="1"/>
          <w:color w:val="0c8a89"/>
          <w:sz w:val="18"/>
          <w:szCs w:val="18"/>
          <w:rtl w:val="0"/>
        </w:rPr>
        <w:t xml:space="preserve">PART A</w:t>
      </w:r>
      <w:r w:rsidDel="00000000" w:rsidR="00000000" w:rsidRPr="00000000">
        <w:rPr>
          <w:rtl w:val="0"/>
        </w:rPr>
      </w:r>
    </w:p>
    <w:p w:rsidR="00000000" w:rsidDel="00000000" w:rsidP="00000000" w:rsidRDefault="00000000" w:rsidRPr="00000000" w14:paraId="0000000E">
      <w:pPr>
        <w:pBdr>
          <w:bottom w:color="152a49" w:space="5" w:sz="14" w:val="single"/>
        </w:pBdr>
        <w:spacing w:after="120" w:lineRule="auto"/>
        <w:rPr/>
      </w:pPr>
      <w:r w:rsidDel="00000000" w:rsidR="00000000" w:rsidRPr="00000000">
        <w:rPr>
          <w:rFonts w:ascii="Calibri" w:cs="Calibri" w:eastAsia="Calibri" w:hAnsi="Calibri"/>
          <w:b w:val="1"/>
          <w:bCs w:val="1"/>
          <w:color w:val="152a49"/>
          <w:sz w:val="32"/>
          <w:szCs w:val="32"/>
          <w:rtl w:val="0"/>
        </w:rPr>
        <w:t xml:space="preserve">Commissioning well, in brief</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Fonts w:ascii="Calibri" w:cs="Calibri" w:eastAsia="Calibri" w:hAnsi="Calibri"/>
          <w:color w:val="0f172a"/>
          <w:sz w:val="21"/>
          <w:szCs w:val="21"/>
          <w:rtl w:val="0"/>
        </w:rPr>
        <w:t xml:space="preserve">A terms of reference does three jobs at once. It forces you to decide what you actually need to know and why. It tells bidders precisely enough that their proposals are comparable. And it becomes the yardstick you hold the work against later. Thin ToRs fail at all three: they attract vague proposals, invite scope disputes mid-contract, and leave you with a report nobody can act on.</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Fonts w:ascii="Calibri" w:cs="Calibri" w:eastAsia="Calibri" w:hAnsi="Calibri"/>
          <w:b w:val="1"/>
          <w:bCs w:val="1"/>
          <w:color w:val="0f172a"/>
          <w:sz w:val="21"/>
          <w:szCs w:val="21"/>
          <w:rtl w:val="0"/>
        </w:rPr>
        <w:t xml:space="preserve">Three habits separate a ToR that works from one that wastes money.</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Start from the decision, not the study. Name the decision the evidence will inform, the person who will make it, and the date. If you cannot, you are buying a document, not evidence.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Ask few, answerable questions. For every question, you should be able to name the data that would answer it. If you cannot, cut it or fund the data.</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Specify the standard of evidence you will accept. A causal claim needs a comparison group and a baseline, decided before rollout. Say so here, or do not ask for attribution later.</w:t>
      </w:r>
    </w:p>
    <w:p w:rsidR="00000000" w:rsidDel="00000000" w:rsidP="00000000" w:rsidRDefault="00000000" w:rsidRPr="00000000" w14:paraId="00000014">
      <w:pPr>
        <w:spacing w:after="40" w:before="320" w:lineRule="auto"/>
        <w:rPr/>
      </w:pPr>
      <w:r w:rsidDel="00000000" w:rsidR="00000000" w:rsidRPr="00000000">
        <w:rPr>
          <w:rFonts w:ascii="Calibri" w:cs="Calibri" w:eastAsia="Calibri" w:hAnsi="Calibri"/>
          <w:b w:val="1"/>
          <w:bCs w:val="1"/>
          <w:color w:val="0c8a89"/>
          <w:sz w:val="18"/>
          <w:szCs w:val="18"/>
          <w:rtl w:val="0"/>
        </w:rPr>
        <w:t xml:space="preserve">PART B</w:t>
      </w:r>
      <w:r w:rsidDel="00000000" w:rsidR="00000000" w:rsidRPr="00000000">
        <w:rPr>
          <w:rtl w:val="0"/>
        </w:rPr>
      </w:r>
    </w:p>
    <w:p w:rsidR="00000000" w:rsidDel="00000000" w:rsidP="00000000" w:rsidRDefault="00000000" w:rsidRPr="00000000" w14:paraId="00000015">
      <w:pPr>
        <w:pBdr>
          <w:bottom w:color="152a49" w:space="5" w:sz="14" w:val="single"/>
        </w:pBdr>
        <w:spacing w:after="120" w:lineRule="auto"/>
        <w:rPr/>
      </w:pPr>
      <w:r w:rsidDel="00000000" w:rsidR="00000000" w:rsidRPr="00000000">
        <w:rPr>
          <w:rFonts w:ascii="Calibri" w:cs="Calibri" w:eastAsia="Calibri" w:hAnsi="Calibri"/>
          <w:b w:val="1"/>
          <w:bCs w:val="1"/>
          <w:color w:val="152a49"/>
          <w:sz w:val="32"/>
          <w:szCs w:val="32"/>
          <w:rtl w:val="0"/>
        </w:rPr>
        <w:t xml:space="preserve">The annotated terms of reference</w:t>
      </w:r>
      <w:r w:rsidDel="00000000" w:rsidR="00000000" w:rsidRPr="00000000">
        <w:rPr>
          <w:rtl w:val="0"/>
        </w:rPr>
      </w:r>
    </w:p>
    <w:p w:rsidR="00000000" w:rsidDel="00000000" w:rsidP="00000000" w:rsidRDefault="00000000" w:rsidRPr="00000000" w14:paraId="00000016">
      <w:pPr>
        <w:spacing w:after="60" w:before="240" w:lineRule="auto"/>
        <w:rPr/>
      </w:pPr>
      <w:r w:rsidDel="00000000" w:rsidR="00000000" w:rsidRPr="00000000">
        <w:rPr>
          <w:rFonts w:ascii="Calibri" w:cs="Calibri" w:eastAsia="Calibri" w:hAnsi="Calibri"/>
          <w:b w:val="1"/>
          <w:bCs w:val="1"/>
          <w:color w:val="152a49"/>
          <w:sz w:val="23"/>
          <w:szCs w:val="23"/>
          <w:rtl w:val="0"/>
        </w:rPr>
        <w:t xml:space="preserve">1.  Background and context</w:t>
      </w:r>
      <w:r w:rsidDel="00000000" w:rsidR="00000000" w:rsidRPr="00000000">
        <w:rPr>
          <w:rtl w:val="0"/>
        </w:rPr>
      </w:r>
    </w:p>
    <w:p w:rsidR="00000000" w:rsidDel="00000000" w:rsidP="00000000" w:rsidRDefault="00000000" w:rsidRPr="00000000" w14:paraId="00000017">
      <w:pPr>
        <w:spacing w:after="80" w:lineRule="auto"/>
        <w:rPr/>
      </w:pPr>
      <w:r w:rsidDel="00000000" w:rsidR="00000000" w:rsidRPr="00000000">
        <w:rPr>
          <w:rFonts w:ascii="Calibri" w:cs="Calibri" w:eastAsia="Calibri" w:hAnsi="Calibri"/>
          <w:b w:val="1"/>
          <w:bCs w:val="1"/>
          <w:color w:val="0c8a89"/>
          <w:sz w:val="20"/>
          <w:szCs w:val="20"/>
          <w:rtl w:val="0"/>
        </w:rPr>
        <w:t xml:space="preserve">What this section is for.  </w:t>
      </w:r>
      <w:r w:rsidDel="00000000" w:rsidR="00000000" w:rsidRPr="00000000">
        <w:rPr>
          <w:rFonts w:ascii="Calibri" w:cs="Calibri" w:eastAsia="Calibri" w:hAnsi="Calibri"/>
          <w:color w:val="0f172a"/>
          <w:sz w:val="20"/>
          <w:szCs w:val="20"/>
          <w:rtl w:val="0"/>
        </w:rPr>
        <w:t xml:space="preserve">Orient a competent outsider quickly: what the programme is, who funds and implements it, where and when it runs, and what problem it addresses.</w:t>
      </w:r>
      <w:r w:rsidDel="00000000" w:rsidR="00000000" w:rsidRPr="00000000">
        <w:rPr>
          <w:rtl w:val="0"/>
        </w:rPr>
      </w:r>
    </w:p>
    <w:p w:rsidR="00000000" w:rsidDel="00000000" w:rsidP="00000000" w:rsidRDefault="00000000" w:rsidRPr="00000000" w14:paraId="00000018">
      <w:pPr>
        <w:spacing w:after="100" w:lineRule="auto"/>
        <w:rPr/>
      </w:pPr>
      <w:r w:rsidDel="00000000" w:rsidR="00000000" w:rsidRPr="00000000">
        <w:rPr>
          <w:rFonts w:ascii="Calibri" w:cs="Calibri" w:eastAsia="Calibri" w:hAnsi="Calibri"/>
          <w:i w:val="1"/>
          <w:iCs w:val="1"/>
          <w:color w:val="5b6776"/>
          <w:sz w:val="19"/>
          <w:szCs w:val="19"/>
          <w:rtl w:val="0"/>
        </w:rPr>
        <w:t xml:space="preserve">Two or three short paragraphs. End with the single sentence that explains why this evaluation is being commissioned now. Attach the theory of change and logframe as annexes rather than narrating them here.</w:t>
      </w:r>
      <w:r w:rsidDel="00000000" w:rsidR="00000000" w:rsidRPr="00000000">
        <w:rPr>
          <w:rtl w:val="0"/>
        </w:rPr>
      </w:r>
    </w:p>
    <w:tbl>
      <w:tblPr>
        <w:tblStyle w:val="Table3"/>
        <w:tblW w:w="9020.0" w:type="dxa"/>
        <w:jc w:val="left"/>
        <w:tblBorders>
          <w:top w:color="1fae63" w:space="0" w:sz="4" w:val="single"/>
          <w:left w:color="1fae63" w:space="0" w:sz="24" w:val="single"/>
          <w:bottom w:color="1fae63" w:space="0" w:sz="4" w:val="single"/>
          <w:right w:color="1fae63" w:space="0" w:sz="4" w:val="single"/>
          <w:insideH w:color="000000" w:space="0" w:sz="4" w:val="single"/>
          <w:insideV w:color="000000" w:space="0" w:sz="4" w:val="single"/>
        </w:tblBorders>
        <w:tblLayout w:type="fixed"/>
        <w:tblLook w:val="0000"/>
      </w:tblPr>
      <w:tblGrid>
        <w:gridCol w:w="9020"/>
        <w:tblGridChange w:id="0">
          <w:tblGrid>
            <w:gridCol w:w="9020"/>
          </w:tblGrid>
        </w:tblGridChange>
      </w:tblGrid>
      <w:tr>
        <w:trPr>
          <w:cantSplit w:val="0"/>
          <w:tblHeader w:val="0"/>
        </w:trPr>
        <w:tc>
          <w:tcPr>
            <w:shd w:fill="eaf7ef" w:val="clear"/>
            <w:tcMar>
              <w:top w:w="100.0" w:type="dxa"/>
              <w:left w:w="160.0" w:type="dxa"/>
              <w:bottom w:w="100.0" w:type="dxa"/>
              <w:right w:w="160.0" w:type="dxa"/>
            </w:tcMar>
          </w:tcPr>
          <w:p w:rsidR="00000000" w:rsidDel="00000000" w:rsidP="00000000" w:rsidRDefault="00000000" w:rsidRPr="00000000" w14:paraId="00000019">
            <w:pPr>
              <w:spacing w:after="40" w:lineRule="auto"/>
              <w:rPr/>
            </w:pPr>
            <w:r w:rsidDel="00000000" w:rsidR="00000000" w:rsidRPr="00000000">
              <w:rPr>
                <w:rFonts w:ascii="Calibri" w:cs="Calibri" w:eastAsia="Calibri" w:hAnsi="Calibri"/>
                <w:b w:val="1"/>
                <w:bCs w:val="1"/>
                <w:color w:val="14703f"/>
                <w:sz w:val="17"/>
                <w:szCs w:val="17"/>
                <w:rtl w:val="0"/>
              </w:rPr>
              <w:t xml:space="preserve">WHAT GOOD LOOKS LIKE</w:t>
            </w: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rFonts w:ascii="Calibri" w:cs="Calibri" w:eastAsia="Calibri" w:hAnsi="Calibri"/>
                <w:color w:val="0f172a"/>
                <w:sz w:val="20"/>
                <w:szCs w:val="20"/>
                <w:rtl w:val="0"/>
              </w:rPr>
              <w:t xml:space="preserve">Names the implementer, funder, geography, period, budget envelope, and the population reached, in under a page, and points to annexes for detail.</w:t>
            </w:r>
            <w:r w:rsidDel="00000000" w:rsidR="00000000" w:rsidRPr="00000000">
              <w:rPr>
                <w:rtl w:val="0"/>
              </w:rPr>
            </w:r>
          </w:p>
        </w:tc>
      </w:tr>
      <w:tr>
        <w:trPr>
          <w:cantSplit w:val="0"/>
          <w:tblHeader w:val="0"/>
        </w:trPr>
        <w:tc>
          <w:tcPr>
            <w:shd w:fill="fff7e6" w:val="clear"/>
            <w:tcMar>
              <w:top w:w="100.0" w:type="dxa"/>
              <w:left w:w="160.0" w:type="dxa"/>
              <w:bottom w:w="100.0" w:type="dxa"/>
              <w:right w:w="160.0" w:type="dxa"/>
            </w:tcMar>
          </w:tcPr>
          <w:p w:rsidR="00000000" w:rsidDel="00000000" w:rsidP="00000000" w:rsidRDefault="00000000" w:rsidRPr="00000000" w14:paraId="0000001B">
            <w:pPr>
              <w:spacing w:after="40" w:lineRule="auto"/>
              <w:rPr/>
            </w:pPr>
            <w:r w:rsidDel="00000000" w:rsidR="00000000" w:rsidRPr="00000000">
              <w:rPr>
                <w:rFonts w:ascii="Calibri" w:cs="Calibri" w:eastAsia="Calibri" w:hAnsi="Calibri"/>
                <w:b w:val="1"/>
                <w:bCs w:val="1"/>
                <w:color w:val="8a6100"/>
                <w:sz w:val="17"/>
                <w:szCs w:val="17"/>
                <w:rtl w:val="0"/>
              </w:rPr>
              <w:t xml:space="preserve">COMMON MISTAKES</w:t>
            </w:r>
            <w:r w:rsidDel="00000000" w:rsidR="00000000" w:rsidRPr="00000000">
              <w:rPr>
                <w:rtl w:val="0"/>
              </w:rPr>
            </w:r>
          </w:p>
          <w:p w:rsidR="00000000" w:rsidDel="00000000" w:rsidP="00000000" w:rsidRDefault="00000000" w:rsidRPr="00000000" w14:paraId="0000001C">
            <w:pPr>
              <w:spacing w:after="0" w:lineRule="auto"/>
              <w:rPr/>
            </w:pPr>
            <w:r w:rsidDel="00000000" w:rsidR="00000000" w:rsidRPr="00000000">
              <w:rPr>
                <w:rFonts w:ascii="Calibri" w:cs="Calibri" w:eastAsia="Calibri" w:hAnsi="Calibri"/>
                <w:color w:val="0f172a"/>
                <w:sz w:val="20"/>
                <w:szCs w:val="20"/>
                <w:rtl w:val="0"/>
              </w:rPr>
              <w:t xml:space="preserve">A history of the organisation. Bidders need the programme and its logic, not the institutional backstory.</w:t>
            </w:r>
            <w:r w:rsidDel="00000000" w:rsidR="00000000" w:rsidRPr="00000000">
              <w:rPr>
                <w:rtl w:val="0"/>
              </w:rPr>
            </w:r>
          </w:p>
        </w:tc>
      </w:tr>
    </w:tbl>
    <w:p w:rsidR="00000000" w:rsidDel="00000000" w:rsidP="00000000" w:rsidRDefault="00000000" w:rsidRPr="00000000" w14:paraId="0000001D">
      <w:pPr>
        <w:pBdr>
          <w:bottom w:color="c9d2dd" w:space="2" w:sz="6" w:val="single"/>
        </w:pBdr>
        <w:spacing w:after="140" w:lineRule="auto"/>
        <w:rPr/>
      </w:pPr>
      <w:r w:rsidDel="00000000" w:rsidR="00000000" w:rsidRPr="00000000">
        <w:rPr>
          <w:rtl w:val="0"/>
        </w:rPr>
      </w:r>
    </w:p>
    <w:p w:rsidR="00000000" w:rsidDel="00000000" w:rsidP="00000000" w:rsidRDefault="00000000" w:rsidRPr="00000000" w14:paraId="0000001E">
      <w:pPr>
        <w:spacing w:after="60" w:before="240" w:lineRule="auto"/>
        <w:rPr/>
      </w:pPr>
      <w:r w:rsidDel="00000000" w:rsidR="00000000" w:rsidRPr="00000000">
        <w:rPr>
          <w:rFonts w:ascii="Calibri" w:cs="Calibri" w:eastAsia="Calibri" w:hAnsi="Calibri"/>
          <w:b w:val="1"/>
          <w:bCs w:val="1"/>
          <w:color w:val="152a49"/>
          <w:sz w:val="23"/>
          <w:szCs w:val="23"/>
          <w:rtl w:val="0"/>
        </w:rPr>
        <w:t xml:space="preserve">2.  Rationale and timing: why now</w:t>
      </w:r>
      <w:r w:rsidDel="00000000" w:rsidR="00000000" w:rsidRPr="00000000">
        <w:rPr>
          <w:rtl w:val="0"/>
        </w:rPr>
      </w:r>
    </w:p>
    <w:p w:rsidR="00000000" w:rsidDel="00000000" w:rsidP="00000000" w:rsidRDefault="00000000" w:rsidRPr="00000000" w14:paraId="0000001F">
      <w:pPr>
        <w:spacing w:after="80" w:lineRule="auto"/>
        <w:rPr/>
      </w:pPr>
      <w:r w:rsidDel="00000000" w:rsidR="00000000" w:rsidRPr="00000000">
        <w:rPr>
          <w:rFonts w:ascii="Calibri" w:cs="Calibri" w:eastAsia="Calibri" w:hAnsi="Calibri"/>
          <w:b w:val="1"/>
          <w:bCs w:val="1"/>
          <w:color w:val="0c8a89"/>
          <w:sz w:val="20"/>
          <w:szCs w:val="20"/>
          <w:rtl w:val="0"/>
        </w:rPr>
        <w:t xml:space="preserve">What this section is for.  </w:t>
      </w:r>
      <w:r w:rsidDel="00000000" w:rsidR="00000000" w:rsidRPr="00000000">
        <w:rPr>
          <w:rFonts w:ascii="Calibri" w:cs="Calibri" w:eastAsia="Calibri" w:hAnsi="Calibri"/>
          <w:color w:val="0f172a"/>
          <w:sz w:val="20"/>
          <w:szCs w:val="20"/>
          <w:rtl w:val="0"/>
        </w:rPr>
        <w:t xml:space="preserve">State the decision this evaluation will inform and when that decision is made.</w:t>
      </w:r>
      <w:r w:rsidDel="00000000" w:rsidR="00000000" w:rsidRPr="00000000">
        <w:rPr>
          <w:rtl w:val="0"/>
        </w:rPr>
      </w:r>
    </w:p>
    <w:p w:rsidR="00000000" w:rsidDel="00000000" w:rsidP="00000000" w:rsidRDefault="00000000" w:rsidRPr="00000000" w14:paraId="00000020">
      <w:pPr>
        <w:spacing w:after="100" w:lineRule="auto"/>
        <w:rPr/>
      </w:pPr>
      <w:r w:rsidDel="00000000" w:rsidR="00000000" w:rsidRPr="00000000">
        <w:rPr>
          <w:rFonts w:ascii="Calibri" w:cs="Calibri" w:eastAsia="Calibri" w:hAnsi="Calibri"/>
          <w:i w:val="1"/>
          <w:iCs w:val="1"/>
          <w:color w:val="5b6776"/>
          <w:sz w:val="19"/>
          <w:szCs w:val="19"/>
          <w:rtl w:val="0"/>
        </w:rPr>
        <w:t xml:space="preserve">Be concrete. “To inform the board’s March 2027 decision on whether to fund and scale a second phase” is a rationale; “to assess the programme” is not.</w:t>
      </w:r>
      <w:r w:rsidDel="00000000" w:rsidR="00000000" w:rsidRPr="00000000">
        <w:rPr>
          <w:rtl w:val="0"/>
        </w:rPr>
      </w:r>
    </w:p>
    <w:tbl>
      <w:tblPr>
        <w:tblStyle w:val="Table4"/>
        <w:tblW w:w="9020.0" w:type="dxa"/>
        <w:jc w:val="left"/>
        <w:tblBorders>
          <w:top w:color="e0a800" w:space="0" w:sz="4" w:val="single"/>
          <w:left w:color="e0a800" w:space="0" w:sz="24" w:val="single"/>
          <w:bottom w:color="e0a800" w:space="0" w:sz="4" w:val="single"/>
          <w:right w:color="e0a800" w:space="0" w:sz="4" w:val="single"/>
          <w:insideH w:color="000000" w:space="0" w:sz="4" w:val="single"/>
          <w:insideV w:color="000000" w:space="0" w:sz="4" w:val="single"/>
        </w:tblBorders>
        <w:tblLayout w:type="fixed"/>
        <w:tblLook w:val="0000"/>
      </w:tblPr>
      <w:tblGrid>
        <w:gridCol w:w="9020"/>
        <w:tblGridChange w:id="0">
          <w:tblGrid>
            <w:gridCol w:w="9020"/>
          </w:tblGrid>
        </w:tblGridChange>
      </w:tblGrid>
      <w:tr>
        <w:trPr>
          <w:cantSplit w:val="0"/>
          <w:tblHeader w:val="0"/>
        </w:trPr>
        <w:tc>
          <w:tcPr>
            <w:shd w:fill="fff7e6" w:val="clear"/>
            <w:tcMar>
              <w:top w:w="100.0" w:type="dxa"/>
              <w:left w:w="160.0" w:type="dxa"/>
              <w:bottom w:w="100.0" w:type="dxa"/>
              <w:right w:w="160.0" w:type="dxa"/>
            </w:tcMar>
          </w:tcPr>
          <w:p w:rsidR="00000000" w:rsidDel="00000000" w:rsidP="00000000" w:rsidRDefault="00000000" w:rsidRPr="00000000" w14:paraId="00000021">
            <w:pPr>
              <w:spacing w:after="40" w:lineRule="auto"/>
              <w:rPr/>
            </w:pPr>
            <w:r w:rsidDel="00000000" w:rsidR="00000000" w:rsidRPr="00000000">
              <w:rPr>
                <w:rFonts w:ascii="Calibri" w:cs="Calibri" w:eastAsia="Calibri" w:hAnsi="Calibri"/>
                <w:b w:val="1"/>
                <w:bCs w:val="1"/>
                <w:color w:val="8a6100"/>
                <w:sz w:val="17"/>
                <w:szCs w:val="17"/>
                <w:rtl w:val="0"/>
              </w:rPr>
              <w:t xml:space="preserve">COMMON MISTAKES</w:t>
            </w:r>
            <w:r w:rsidDel="00000000" w:rsidR="00000000" w:rsidRPr="00000000">
              <w:rPr>
                <w:rtl w:val="0"/>
              </w:rPr>
            </w:r>
          </w:p>
          <w:p w:rsidR="00000000" w:rsidDel="00000000" w:rsidP="00000000" w:rsidRDefault="00000000" w:rsidRPr="00000000" w14:paraId="00000022">
            <w:pPr>
              <w:spacing w:after="0" w:lineRule="auto"/>
              <w:rPr/>
            </w:pPr>
            <w:r w:rsidDel="00000000" w:rsidR="00000000" w:rsidRPr="00000000">
              <w:rPr>
                <w:rFonts w:ascii="Calibri" w:cs="Calibri" w:eastAsia="Calibri" w:hAnsi="Calibri"/>
                <w:color w:val="0f172a"/>
                <w:sz w:val="20"/>
                <w:szCs w:val="20"/>
                <w:rtl w:val="0"/>
              </w:rPr>
              <w:t xml:space="preserve">No decision attached, so the evaluation cannot be designed to be useful and the timeline floats.</w:t>
            </w:r>
            <w:r w:rsidDel="00000000" w:rsidR="00000000" w:rsidRPr="00000000">
              <w:rPr>
                <w:rtl w:val="0"/>
              </w:rPr>
            </w:r>
          </w:p>
        </w:tc>
      </w:tr>
    </w:tbl>
    <w:p w:rsidR="00000000" w:rsidDel="00000000" w:rsidP="00000000" w:rsidRDefault="00000000" w:rsidRPr="00000000" w14:paraId="00000023">
      <w:pPr>
        <w:pBdr>
          <w:bottom w:color="c9d2dd" w:space="2" w:sz="6" w:val="single"/>
        </w:pBdr>
        <w:spacing w:after="140" w:lineRule="auto"/>
        <w:rPr/>
      </w:pPr>
      <w:r w:rsidDel="00000000" w:rsidR="00000000" w:rsidRPr="00000000">
        <w:rPr>
          <w:rtl w:val="0"/>
        </w:rPr>
      </w:r>
    </w:p>
    <w:p w:rsidR="00000000" w:rsidDel="00000000" w:rsidP="00000000" w:rsidRDefault="00000000" w:rsidRPr="00000000" w14:paraId="00000024">
      <w:pPr>
        <w:spacing w:after="60" w:before="240" w:lineRule="auto"/>
        <w:rPr/>
      </w:pPr>
      <w:r w:rsidDel="00000000" w:rsidR="00000000" w:rsidRPr="00000000">
        <w:rPr>
          <w:rFonts w:ascii="Calibri" w:cs="Calibri" w:eastAsia="Calibri" w:hAnsi="Calibri"/>
          <w:b w:val="1"/>
          <w:bCs w:val="1"/>
          <w:color w:val="152a49"/>
          <w:sz w:val="23"/>
          <w:szCs w:val="23"/>
          <w:rtl w:val="0"/>
        </w:rPr>
        <w:t xml:space="preserve">3.  Purpose, objectives, intended use and users</w:t>
      </w:r>
      <w:r w:rsidDel="00000000" w:rsidR="00000000" w:rsidRPr="00000000">
        <w:rPr>
          <w:rtl w:val="0"/>
        </w:rPr>
      </w:r>
    </w:p>
    <w:p w:rsidR="00000000" w:rsidDel="00000000" w:rsidP="00000000" w:rsidRDefault="00000000" w:rsidRPr="00000000" w14:paraId="00000025">
      <w:pPr>
        <w:spacing w:after="80" w:lineRule="auto"/>
        <w:rPr/>
      </w:pPr>
      <w:r w:rsidDel="00000000" w:rsidR="00000000" w:rsidRPr="00000000">
        <w:rPr>
          <w:rFonts w:ascii="Calibri" w:cs="Calibri" w:eastAsia="Calibri" w:hAnsi="Calibri"/>
          <w:b w:val="1"/>
          <w:bCs w:val="1"/>
          <w:color w:val="0c8a89"/>
          <w:sz w:val="20"/>
          <w:szCs w:val="20"/>
          <w:rtl w:val="0"/>
        </w:rPr>
        <w:t xml:space="preserve">What this section is for.  </w:t>
      </w:r>
      <w:r w:rsidDel="00000000" w:rsidR="00000000" w:rsidRPr="00000000">
        <w:rPr>
          <w:rFonts w:ascii="Calibri" w:cs="Calibri" w:eastAsia="Calibri" w:hAnsi="Calibri"/>
          <w:color w:val="0f172a"/>
          <w:sz w:val="20"/>
          <w:szCs w:val="20"/>
          <w:rtl w:val="0"/>
        </w:rPr>
        <w:t xml:space="preserve">Separate the high-level purpose from the specific objectives, and name who will use the findings for what.</w:t>
      </w:r>
      <w:r w:rsidDel="00000000" w:rsidR="00000000" w:rsidRPr="00000000">
        <w:rPr>
          <w:rtl w:val="0"/>
        </w:rPr>
      </w:r>
    </w:p>
    <w:p w:rsidR="00000000" w:rsidDel="00000000" w:rsidP="00000000" w:rsidRDefault="00000000" w:rsidRPr="00000000" w14:paraId="00000026">
      <w:pPr>
        <w:spacing w:after="100" w:lineRule="auto"/>
        <w:rPr/>
      </w:pPr>
      <w:r w:rsidDel="00000000" w:rsidR="00000000" w:rsidRPr="00000000">
        <w:rPr>
          <w:rFonts w:ascii="Calibri" w:cs="Calibri" w:eastAsia="Calibri" w:hAnsi="Calibri"/>
          <w:i w:val="1"/>
          <w:iCs w:val="1"/>
          <w:color w:val="5b6776"/>
          <w:sz w:val="19"/>
          <w:szCs w:val="19"/>
          <w:rtl w:val="0"/>
        </w:rPr>
        <w:t xml:space="preserve">List three to five objectives at most. For each intended use, name the user and the action it informs (a funder’s scaling decision, a team’s redesign, a ministry’s policy).</w:t>
      </w:r>
      <w:r w:rsidDel="00000000" w:rsidR="00000000" w:rsidRPr="00000000">
        <w:rPr>
          <w:rtl w:val="0"/>
        </w:rPr>
      </w:r>
    </w:p>
    <w:tbl>
      <w:tblPr>
        <w:tblStyle w:val="Table5"/>
        <w:tblW w:w="9020.0" w:type="dxa"/>
        <w:jc w:val="left"/>
        <w:tblBorders>
          <w:top w:color="1fae63" w:space="0" w:sz="4" w:val="single"/>
          <w:left w:color="1fae63" w:space="0" w:sz="24" w:val="single"/>
          <w:bottom w:color="1fae63" w:space="0" w:sz="4" w:val="single"/>
          <w:right w:color="1fae63" w:space="0" w:sz="4" w:val="single"/>
          <w:insideH w:color="000000" w:space="0" w:sz="4" w:val="single"/>
          <w:insideV w:color="000000" w:space="0" w:sz="4" w:val="single"/>
        </w:tblBorders>
        <w:tblLayout w:type="fixed"/>
        <w:tblLook w:val="0000"/>
      </w:tblPr>
      <w:tblGrid>
        <w:gridCol w:w="9020"/>
        <w:tblGridChange w:id="0">
          <w:tblGrid>
            <w:gridCol w:w="9020"/>
          </w:tblGrid>
        </w:tblGridChange>
      </w:tblGrid>
      <w:tr>
        <w:trPr>
          <w:cantSplit w:val="0"/>
          <w:tblHeader w:val="0"/>
        </w:trPr>
        <w:tc>
          <w:tcPr>
            <w:shd w:fill="eaf7ef" w:val="clear"/>
            <w:tcMar>
              <w:top w:w="100.0" w:type="dxa"/>
              <w:left w:w="160.0" w:type="dxa"/>
              <w:bottom w:w="100.0" w:type="dxa"/>
              <w:right w:w="160.0" w:type="dxa"/>
            </w:tcMar>
          </w:tcPr>
          <w:p w:rsidR="00000000" w:rsidDel="00000000" w:rsidP="00000000" w:rsidRDefault="00000000" w:rsidRPr="00000000" w14:paraId="00000027">
            <w:pPr>
              <w:spacing w:after="40" w:lineRule="auto"/>
              <w:rPr/>
            </w:pPr>
            <w:r w:rsidDel="00000000" w:rsidR="00000000" w:rsidRPr="00000000">
              <w:rPr>
                <w:rFonts w:ascii="Calibri" w:cs="Calibri" w:eastAsia="Calibri" w:hAnsi="Calibri"/>
                <w:b w:val="1"/>
                <w:bCs w:val="1"/>
                <w:color w:val="14703f"/>
                <w:sz w:val="17"/>
                <w:szCs w:val="17"/>
                <w:rtl w:val="0"/>
              </w:rPr>
              <w:t xml:space="preserve">WHAT GOOD LOOKS LIKE</w:t>
            </w:r>
            <w:r w:rsidDel="00000000" w:rsidR="00000000" w:rsidRPr="00000000">
              <w:rPr>
                <w:rtl w:val="0"/>
              </w:rPr>
            </w:r>
          </w:p>
          <w:p w:rsidR="00000000" w:rsidDel="00000000" w:rsidP="00000000" w:rsidRDefault="00000000" w:rsidRPr="00000000" w14:paraId="00000028">
            <w:pPr>
              <w:spacing w:after="0" w:lineRule="auto"/>
              <w:rPr/>
            </w:pPr>
            <w:r w:rsidDel="00000000" w:rsidR="00000000" w:rsidRPr="00000000">
              <w:rPr>
                <w:rFonts w:ascii="Calibri" w:cs="Calibri" w:eastAsia="Calibri" w:hAnsi="Calibri"/>
                <w:color w:val="0f172a"/>
                <w:sz w:val="20"/>
                <w:szCs w:val="20"/>
                <w:rtl w:val="0"/>
              </w:rPr>
              <w:t xml:space="preserve">Each objective maps to at least one named user and a real decision, so nothing is measured that no one will use.</w:t>
            </w:r>
            <w:r w:rsidDel="00000000" w:rsidR="00000000" w:rsidRPr="00000000">
              <w:rPr>
                <w:rtl w:val="0"/>
              </w:rPr>
            </w:r>
          </w:p>
        </w:tc>
      </w:tr>
    </w:tbl>
    <w:p w:rsidR="00000000" w:rsidDel="00000000" w:rsidP="00000000" w:rsidRDefault="00000000" w:rsidRPr="00000000" w14:paraId="00000029">
      <w:pPr>
        <w:spacing w:after="20" w:before="60" w:lineRule="auto"/>
        <w:rPr/>
      </w:pPr>
      <w:r w:rsidDel="00000000" w:rsidR="00000000" w:rsidRPr="00000000">
        <w:rPr>
          <w:rFonts w:ascii="Calibri" w:cs="Calibri" w:eastAsia="Calibri" w:hAnsi="Calibri"/>
          <w:b w:val="1"/>
          <w:bCs w:val="1"/>
          <w:color w:val="152a49"/>
          <w:sz w:val="21"/>
          <w:szCs w:val="21"/>
          <w:rtl w:val="0"/>
        </w:rPr>
        <w:t xml:space="preserve">Purpose (one sentence)</w:t>
      </w:r>
      <w:r w:rsidDel="00000000" w:rsidR="00000000" w:rsidRPr="00000000">
        <w:rPr>
          <w:rtl w:val="0"/>
        </w:rPr>
      </w:r>
    </w:p>
    <w:p w:rsidR="00000000" w:rsidDel="00000000" w:rsidP="00000000" w:rsidRDefault="00000000" w:rsidRPr="00000000" w14:paraId="0000002A">
      <w:pPr>
        <w:pBdr>
          <w:bottom w:color="c9d2dd" w:space="2" w:sz="6" w:val="single"/>
        </w:pBdr>
        <w:spacing w:after="140" w:lineRule="auto"/>
        <w:rPr/>
      </w:pPr>
      <w:r w:rsidDel="00000000" w:rsidR="00000000" w:rsidRPr="00000000">
        <w:rPr>
          <w:rtl w:val="0"/>
        </w:rPr>
      </w:r>
    </w:p>
    <w:p w:rsidR="00000000" w:rsidDel="00000000" w:rsidP="00000000" w:rsidRDefault="00000000" w:rsidRPr="00000000" w14:paraId="0000002B">
      <w:pPr>
        <w:spacing w:after="40" w:lineRule="auto"/>
        <w:rPr/>
      </w:pPr>
      <w:r w:rsidDel="00000000" w:rsidR="00000000" w:rsidRPr="00000000">
        <w:rPr>
          <w:rFonts w:ascii="Calibri" w:cs="Calibri" w:eastAsia="Calibri" w:hAnsi="Calibri"/>
          <w:b w:val="1"/>
          <w:bCs w:val="1"/>
          <w:color w:val="152a49"/>
          <w:sz w:val="21"/>
          <w:szCs w:val="21"/>
          <w:rtl w:val="0"/>
        </w:rPr>
        <w:t xml:space="preserve">Specific objectives: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[Objective 1]</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[Objective 2]</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f172a"/>
          <w:sz w:val="21"/>
          <w:szCs w:val="21"/>
          <w:u w:val="none"/>
          <w:shd w:fill="auto" w:val="clear"/>
          <w:vertAlign w:val="baseline"/>
          <w:rtl w:val="0"/>
        </w:rPr>
        <w:t xml:space="preserve">[Objective 3]</w:t>
      </w:r>
    </w:p>
    <w:p w:rsidR="00000000" w:rsidDel="00000000" w:rsidP="00000000" w:rsidRDefault="00000000" w:rsidRPr="00000000" w14:paraId="0000002F">
      <w:pPr>
        <w:spacing w:after="20" w:before="60" w:lineRule="auto"/>
        <w:rPr/>
      </w:pPr>
      <w:r w:rsidDel="00000000" w:rsidR="00000000" w:rsidRPr="00000000">
        <w:rPr>
          <w:rFonts w:ascii="Calibri" w:cs="Calibri" w:eastAsia="Calibri" w:hAnsi="Calibri"/>
          <w:b w:val="1"/>
          <w:bCs w:val="1"/>
          <w:color w:val="152a49"/>
          <w:sz w:val="21"/>
          <w:szCs w:val="21"/>
          <w:rtl w:val="0"/>
        </w:rPr>
        <w:t xml:space="preserve">Primary users and the decisions they face</w:t>
      </w:r>
      <w:r w:rsidDel="00000000" w:rsidR="00000000" w:rsidRPr="00000000">
        <w:rPr>
          <w:rtl w:val="0"/>
        </w:rPr>
      </w:r>
    </w:p>
    <w:p w:rsidR="00000000" w:rsidDel="00000000" w:rsidP="00000000" w:rsidRDefault="00000000" w:rsidRPr="00000000" w14:paraId="00000030">
      <w:pPr>
        <w:spacing w:after="100" w:lineRule="auto"/>
        <w:rPr/>
      </w:pPr>
      <w:r w:rsidDel="00000000" w:rsidR="00000000" w:rsidRPr="00000000">
        <w:rPr>
          <w:rFonts w:ascii="Calibri" w:cs="Calibri" w:eastAsia="Calibri" w:hAnsi="Calibri"/>
          <w:i w:val="1"/>
          <w:iCs w:val="1"/>
          <w:color w:val="5b6776"/>
          <w:sz w:val="19"/>
          <w:szCs w:val="19"/>
          <w:rtl w:val="0"/>
        </w:rPr>
        <w:t xml:space="preserve">Name each user and what they will do with the findings.</w:t>
      </w:r>
      <w:r w:rsidDel="00000000" w:rsidR="00000000" w:rsidRPr="00000000">
        <w:rPr>
          <w:rtl w:val="0"/>
        </w:rPr>
      </w:r>
    </w:p>
    <w:p>
      <w:r>
        <w:rPr>
          <w:i/>
          <w:color w:val="64748B"/>
          <w:sz w:val="18"/>
        </w:rPr>
        <w:t>— Sample ends here —  The full editable file (all sections, reference assets and a worked example) is delivered after purchase at impactmojo.in/products/tor-template/</w:t>
      </w:r>
    </w:p>
    <w:sectPr>
      <w:headerReference r:id="rId7" w:type="default"/>
      <w:headerReference r:id="rId8" w:type="first"/>
      <w:footerReference r:id="rId9" w:type="default"/>
      <w:footerReference r:id="rId10" w:type="first"/>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pBdr>
        <w:top w:color="c9d2dd" w:space="4" w:sz="6" w:val="single"/>
      </w:pBdr>
      <w:tabs>
        <w:tab w:val="right" w:leader="none" w:pos="9026"/>
      </w:tabs>
      <w:spacing w:before="60" w:lineRule="auto"/>
      <w:rPr/>
    </w:pPr>
    <w:r w:rsidDel="00000000" w:rsidR="00000000" w:rsidRPr="00000000">
      <w:rPr>
        <w:rFonts w:ascii="Calibri" w:cs="Calibri" w:eastAsia="Calibri" w:hAnsi="Calibri"/>
        <w:color w:val="5b6776"/>
        <w:sz w:val="15"/>
        <w:szCs w:val="15"/>
        <w:rtl w:val="0"/>
      </w:rPr>
      <w:t xml:space="preserve">© 2026 ImpactMojo · CC BY-NC-ND 4.0 · impactmojo.inPage </w:t>
    </w:r>
    <w:r w:rsidDel="00000000" w:rsidR="00000000" w:rsidRPr="00000000">
      <w:rPr>
        <w:rFonts w:ascii="Calibri" w:cs="Calibri" w:eastAsia="Calibri" w:hAnsi="Calibri"/>
        <w:color w:val="5b6776"/>
        <w:sz w:val="15"/>
        <w:szCs w:val="15"/>
      </w:rPr>
      <w:fldChar w:fldCharType="begin"/>
      <w:instrText xml:space="preserve">PAGE</w:instrText>
      <w:fldChar w:fldCharType="separate"/>
      <w:fldChar w:fldCharType="end"/>
    </w:r>
    <w:r w:rsidDel="00000000" w:rsidR="00000000" w:rsidRPr="00000000">
      <w:rPr>
        <w:rFonts w:ascii="Calibri" w:cs="Calibri" w:eastAsia="Calibri" w:hAnsi="Calibri"/>
        <w:color w:val="5b6776"/>
        <w:sz w:val="15"/>
        <w:szCs w:val="15"/>
        <w:rtl w:val="0"/>
      </w:rPr>
      <w:t xml:space="preserve"> of </w:t>
    </w:r>
    <w:r w:rsidDel="00000000" w:rsidR="00000000" w:rsidRPr="00000000">
      <w:rPr>
        <w:rFonts w:ascii="Calibri" w:cs="Calibri" w:eastAsia="Calibri" w:hAnsi="Calibri"/>
        <w:color w:val="5b6776"/>
        <w:sz w:val="15"/>
        <w:szCs w:val="15"/>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pBdr>
        <w:top w:color="c9d2dd" w:space="4" w:sz="6" w:val="single"/>
      </w:pBdr>
      <w:tabs>
        <w:tab w:val="right" w:leader="none" w:pos="9026"/>
      </w:tabs>
      <w:spacing w:before="60" w:lineRule="auto"/>
      <w:rPr/>
    </w:pPr>
    <w:r w:rsidDel="00000000" w:rsidR="00000000" w:rsidRPr="00000000">
      <w:rPr>
        <w:rFonts w:ascii="Calibri" w:cs="Calibri" w:eastAsia="Calibri" w:hAnsi="Calibri"/>
        <w:color w:val="5b6776"/>
        <w:sz w:val="15"/>
        <w:szCs w:val="15"/>
        <w:rtl w:val="0"/>
      </w:rPr>
      <w:t xml:space="preserve">© 2026 ImpactMojo · CC BY-NC-ND 4.0 · impactmojo.inPage </w:t>
    </w:r>
    <w:r w:rsidDel="00000000" w:rsidR="00000000" w:rsidRPr="00000000">
      <w:rPr>
        <w:rFonts w:ascii="Calibri" w:cs="Calibri" w:eastAsia="Calibri" w:hAnsi="Calibri"/>
        <w:color w:val="5b6776"/>
        <w:sz w:val="15"/>
        <w:szCs w:val="15"/>
      </w:rPr>
      <w:fldChar w:fldCharType="begin"/>
      <w:instrText xml:space="preserve">PAGE</w:instrText>
      <w:fldChar w:fldCharType="separate"/>
      <w:fldChar w:fldCharType="end"/>
    </w:r>
    <w:r w:rsidDel="00000000" w:rsidR="00000000" w:rsidRPr="00000000">
      <w:rPr>
        <w:rFonts w:ascii="Calibri" w:cs="Calibri" w:eastAsia="Calibri" w:hAnsi="Calibri"/>
        <w:color w:val="5b6776"/>
        <w:sz w:val="15"/>
        <w:szCs w:val="15"/>
        <w:rtl w:val="0"/>
      </w:rPr>
      <w:t xml:space="preserve"> of </w:t>
    </w:r>
    <w:r w:rsidDel="00000000" w:rsidR="00000000" w:rsidRPr="00000000">
      <w:rPr>
        <w:rFonts w:ascii="Calibri" w:cs="Calibri" w:eastAsia="Calibri" w:hAnsi="Calibri"/>
        <w:color w:val="5b6776"/>
        <w:sz w:val="15"/>
        <w:szCs w:val="15"/>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0"/>
      <w:tblW w:w="9020.0" w:type="dxa"/>
      <w:jc w:val="left"/>
      <w:tblBorders>
        <w:top w:color="000000" w:space="0" w:sz="0" w:val="nil"/>
        <w:left w:color="000000" w:space="0" w:sz="0" w:val="nil"/>
        <w:bottom w:color="0c8a89" w:space="0" w:sz="8" w:val="single"/>
        <w:right w:color="000000" w:space="0" w:sz="0" w:val="nil"/>
        <w:insideH w:color="000000" w:space="0" w:sz="0" w:val="nil"/>
        <w:insideV w:color="000000" w:space="0" w:sz="0" w:val="nil"/>
      </w:tblBorders>
      <w:tblLayout w:type="fixed"/>
      <w:tblLook w:val="0000"/>
    </w:tblPr>
    <w:tblGrid>
      <w:gridCol w:w="620"/>
      <w:gridCol w:w="8400"/>
      <w:tblGridChange w:id="0">
        <w:tblGrid>
          <w:gridCol w:w="620"/>
          <w:gridCol w:w="8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0.0" w:type="dxa"/>
            <w:bottom w:w="60.0" w:type="dxa"/>
            <w:right w:w="80.0" w:type="dxa"/>
          </w:tcMar>
          <w:vAlign w:val="center"/>
        </w:tcPr>
        <w:p w:rsidR="00000000" w:rsidDel="00000000" w:rsidP="00000000" w:rsidRDefault="00000000" w:rsidRPr="00000000" w14:paraId="00000139">
          <w:pPr>
            <w:rPr/>
          </w:pPr>
          <w:r w:rsidDel="00000000" w:rsidR="00000000" w:rsidRPr="00000000">
            <w:rPr/>
            <w:drawing>
              <wp:inline distB="0" distT="0" distL="0" distR="0">
                <wp:extent cx="285750" cy="285750"/>
                <wp:effectExtent b="0" l="0" r="0" t="0"/>
                <wp:docPr descr="mark" id="2" name="image1.png"/>
                <a:graphic>
                  <a:graphicData uri="http://schemas.openxmlformats.org/drawingml/2006/picture">
                    <pic:pic>
                      <pic:nvPicPr>
                        <pic:cNvPr descr="mark" id="0" name="image1.png"/>
                        <pic:cNvPicPr preferRelativeResize="0"/>
                      </pic:nvPicPr>
                      <pic:blipFill>
                        <a:blip r:embed="rId1"/>
                        <a:srcRect b="0" l="0" r="0" t="0"/>
                        <a:stretch>
                          <a:fillRect/>
                        </a:stretch>
                      </pic:blipFill>
                      <pic:spPr>
                        <a:xfrm>
                          <a:off x="0" y="0"/>
                          <a:ext cx="285750" cy="28575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0.0" w:type="dxa"/>
            <w:bottom w:w="60.0" w:type="dxa"/>
            <w:right w:w="0.0" w:type="dxa"/>
          </w:tcMar>
          <w:vAlign w:val="center"/>
        </w:tcPr>
        <w:p w:rsidR="00000000" w:rsidDel="00000000" w:rsidP="00000000" w:rsidRDefault="00000000" w:rsidRPr="00000000" w14:paraId="0000013A">
          <w:pPr>
            <w:tabs>
              <w:tab w:val="right" w:leader="none" w:pos="9026"/>
            </w:tabs>
            <w:rPr/>
          </w:pPr>
          <w:r w:rsidDel="00000000" w:rsidR="00000000" w:rsidRPr="00000000">
            <w:rPr>
              <w:rFonts w:ascii="Calibri" w:cs="Calibri" w:eastAsia="Calibri" w:hAnsi="Calibri"/>
              <w:b w:val="1"/>
              <w:bCs w:val="1"/>
              <w:color w:val="152a49"/>
              <w:sz w:val="18"/>
              <w:szCs w:val="18"/>
              <w:rtl w:val="0"/>
            </w:rPr>
            <w:t xml:space="preserve">ImpactMojo</w:t>
          </w:r>
          <w:r w:rsidDel="00000000" w:rsidR="00000000" w:rsidRPr="00000000">
            <w:rPr>
              <w:rFonts w:ascii="Calibri" w:cs="Calibri" w:eastAsia="Calibri" w:hAnsi="Calibri"/>
              <w:color w:val="5b6776"/>
              <w:sz w:val="18"/>
              <w:szCs w:val="18"/>
              <w:rtl w:val="0"/>
            </w:rPr>
            <w:t xml:space="preserve">   ·   Terms of Reference · Commissioning Pack</w:t>
          </w:r>
          <w:r w:rsidDel="00000000" w:rsidR="00000000" w:rsidRPr="00000000">
            <w:rPr>
              <w:rFonts w:ascii="Calibri" w:cs="Calibri" w:eastAsia="Calibri" w:hAnsi="Calibri"/>
              <w:color w:val="aebdcc"/>
              <w:sz w:val="16"/>
              <w:szCs w:val="16"/>
              <w:rtl w:val="0"/>
            </w:rPr>
            <w:t xml:space="preserve">Development Know-How</w:t>
          </w:r>
          <w:r w:rsidDel="00000000" w:rsidR="00000000" w:rsidRPr="00000000">
            <w:rPr>
              <w:rtl w:val="0"/>
            </w:rPr>
          </w:r>
        </w:p>
      </w:tc>
    </w:tr>
  </w:tbl>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0f172a"/>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f172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