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1371600"/>
                    </a:xfrm>
                    <a:prstGeom prst="rect"/>
                  </pic:spPr>
                </pic:pic>
              </a:graphicData>
            </a:graphic>
          </wp:inline>
        </w:drawing>
      </w:r>
    </w:p>
    <w:p>
      <w:pPr>
        <w:spacing w:before="200" w:after="80"/>
      </w:pPr>
      <w:r>
        <w:rPr>
          <w:rFonts w:ascii="Calibri" w:hAnsi="Calibri"/>
          <w:b/>
          <w:color w:val="F97316"/>
          <w:sz w:val="22"/>
        </w:rPr>
        <w:t>ClimaShield — ADVANCED METEOROLOGICAL INTELLIGENCE</w:t>
        <w:br/>
      </w:r>
      <w:r>
        <w:rPr>
          <w:rFonts w:ascii="Calibri" w:hAnsi="Calibri"/>
          <w:b/>
          <w:color w:val="0F2942"/>
          <w:sz w:val="48"/>
        </w:rPr>
        <w:t>AI Weather Forecast Reliability Detector</w:t>
        <w:br/>
        <w:t>(India Edition)</w:t>
      </w:r>
    </w:p>
    <w:p>
      <w:pPr>
        <w:spacing w:after="360"/>
      </w:pPr>
      <w:r>
        <w:rPr>
          <w:rFonts w:ascii="Calibri" w:hAnsi="Calibri"/>
          <w:i/>
          <w:color w:val="64748B"/>
          <w:sz w:val="24"/>
        </w:rPr>
        <w:t>Comprehensive Technical Architecture, Mathematical ML Formulations, Operational Grid Integration, &amp; Verification Report</w:t>
      </w:r>
    </w:p>
    <w:tbl>
      <w:tblPr>
        <w:tblW w:type="auto" w:w="0"/>
        <w:jc w:val="center"/>
        <w:tblLayout w:type="fixed"/>
        <w:tblLook w:firstColumn="1" w:firstRow="1" w:lastColumn="0" w:lastRow="0" w:noHBand="0" w:noVBand="1" w:val="04A0"/>
      </w:tblPr>
      <w:tblGrid>
        <w:gridCol w:w="3264"/>
        <w:gridCol w:w="3264"/>
        <w:gridCol w:w="3264"/>
      </w:tblGrid>
      <w:tr>
        <w:tc>
          <w:tcPr>
            <w:tcW w:type="dxa" w:w="3096"/>
            <w:shd w:fill="F8FAFC"/>
            <w:tcMar>
              <w:top w:w="80" w:type="dxa"/>
              <w:bottom w:w="80" w:type="dxa"/>
              <w:left w:w="120" w:type="dxa"/>
              <w:right w:w="120" w:type="dxa"/>
            </w:tcMar>
          </w:tcPr>
          <w:p>
            <w:pPr>
              <w:spacing w:after="20"/>
            </w:pPr>
            <w:r>
              <w:rPr>
                <w:b/>
                <w:color w:val="64748B"/>
                <w:sz w:val="17"/>
              </w:rPr>
              <w:t>System Version</w:t>
              <w:br/>
            </w:r>
            <w:r>
              <w:rPr>
                <w:b/>
                <w:color w:val="1E293B"/>
                <w:sz w:val="19"/>
              </w:rPr>
              <w:t>ClimaShield v2.4 (Production)</w:t>
            </w:r>
          </w:p>
        </w:tc>
        <w:tc>
          <w:tcPr>
            <w:tcW w:type="dxa" w:w="3096"/>
            <w:shd w:fill="F8FAFC"/>
            <w:tcMar>
              <w:top w:w="80" w:type="dxa"/>
              <w:bottom w:w="80" w:type="dxa"/>
              <w:left w:w="120" w:type="dxa"/>
              <w:right w:w="120" w:type="dxa"/>
            </w:tcMar>
          </w:tcPr>
          <w:p>
            <w:pPr>
              <w:spacing w:after="20"/>
            </w:pPr>
            <w:r>
              <w:rPr>
                <w:b/>
                <w:color w:val="64748B"/>
                <w:sz w:val="17"/>
              </w:rPr>
              <w:t>Primary Domain</w:t>
              <w:br/>
            </w:r>
            <w:r>
              <w:rPr>
                <w:b/>
                <w:color w:val="1E293B"/>
                <w:sz w:val="19"/>
              </w:rPr>
              <w:t>All India Grids &amp; Renewable Hubs</w:t>
            </w:r>
          </w:p>
        </w:tc>
        <w:tc>
          <w:tcPr>
            <w:tcW w:type="dxa" w:w="3096"/>
            <w:shd w:fill="F8FAFC"/>
            <w:tcMar>
              <w:top w:w="80" w:type="dxa"/>
              <w:bottom w:w="80" w:type="dxa"/>
              <w:left w:w="120" w:type="dxa"/>
              <w:right w:w="120" w:type="dxa"/>
            </w:tcMar>
          </w:tcPr>
          <w:p>
            <w:pPr>
              <w:spacing w:after="20"/>
            </w:pPr>
            <w:r>
              <w:rPr>
                <w:b/>
                <w:color w:val="64748B"/>
                <w:sz w:val="17"/>
              </w:rPr>
              <w:t>ML Classification</w:t>
              <w:br/>
            </w:r>
            <w:r>
              <w:rPr>
                <w:b/>
                <w:color w:val="1E293B"/>
                <w:sz w:val="19"/>
              </w:rPr>
              <w:t>Platt-Calibrated Platt Sigmoid / RF</w:t>
            </w:r>
          </w:p>
        </w:tc>
      </w:tr>
      <w:tr>
        <w:tc>
          <w:tcPr>
            <w:tcW w:type="dxa" w:w="3096"/>
            <w:shd w:fill="F8FAFC"/>
            <w:tcMar>
              <w:top w:w="80" w:type="dxa"/>
              <w:bottom w:w="80" w:type="dxa"/>
              <w:left w:w="120" w:type="dxa"/>
              <w:right w:w="120" w:type="dxa"/>
            </w:tcMar>
          </w:tcPr>
          <w:p>
            <w:pPr>
              <w:spacing w:after="20"/>
            </w:pPr>
            <w:r>
              <w:rPr>
                <w:b/>
                <w:color w:val="64748B"/>
                <w:sz w:val="17"/>
              </w:rPr>
              <w:t>Data Infrastructure</w:t>
              <w:br/>
            </w:r>
            <w:r>
              <w:rPr>
                <w:b/>
                <w:color w:val="1E293B"/>
                <w:sz w:val="19"/>
              </w:rPr>
              <w:t>Open-Meteo Ensemble &amp; Reanalysis</w:t>
            </w:r>
          </w:p>
        </w:tc>
        <w:tc>
          <w:tcPr>
            <w:tcW w:type="dxa" w:w="3096"/>
            <w:shd w:fill="F8FAFC"/>
            <w:tcMar>
              <w:top w:w="80" w:type="dxa"/>
              <w:bottom w:w="80" w:type="dxa"/>
              <w:left w:w="120" w:type="dxa"/>
              <w:right w:w="120" w:type="dxa"/>
            </w:tcMar>
          </w:tcPr>
          <w:p>
            <w:pPr>
              <w:spacing w:after="20"/>
            </w:pPr>
            <w:r>
              <w:rPr>
                <w:b/>
                <w:color w:val="64748B"/>
                <w:sz w:val="17"/>
              </w:rPr>
              <w:t>Verification Horizon</w:t>
              <w:br/>
            </w:r>
            <w:r>
              <w:rPr>
                <w:b/>
                <w:color w:val="1E293B"/>
                <w:sz w:val="19"/>
              </w:rPr>
              <w:t>Days 3 to 10 (NWP Medium-Range)</w:t>
            </w:r>
          </w:p>
        </w:tc>
        <w:tc>
          <w:tcPr>
            <w:tcW w:type="dxa" w:w="3096"/>
            <w:shd w:fill="F8FAFC"/>
            <w:tcMar>
              <w:top w:w="80" w:type="dxa"/>
              <w:bottom w:w="80" w:type="dxa"/>
              <w:left w:w="120" w:type="dxa"/>
              <w:right w:w="120" w:type="dxa"/>
            </w:tcMar>
          </w:tcPr>
          <w:p>
            <w:pPr>
              <w:spacing w:after="20"/>
            </w:pPr>
            <w:r>
              <w:rPr>
                <w:b/>
                <w:color w:val="64748B"/>
                <w:sz w:val="17"/>
              </w:rPr>
              <w:t>Validation Ground Truth</w:t>
              <w:br/>
            </w:r>
            <w:r>
              <w:rPr>
                <w:b/>
                <w:color w:val="1E293B"/>
                <w:sz w:val="19"/>
              </w:rPr>
              <w:t>ERA5 Retrospective Archive (90 Days)</w:t>
            </w:r>
          </w:p>
        </w:tc>
      </w:tr>
    </w:tbl>
    <w:p>
      <w:pPr>
        <w:spacing w:after="240"/>
      </w:pPr>
    </w:p>
    <w:p>
      <w:pPr>
        <w:keepNext/>
        <w:spacing w:before="360" w:after="120"/>
      </w:pPr>
      <w:r>
        <w:rPr>
          <w:rFonts w:ascii="Calibri" w:hAnsi="Calibri"/>
          <w:b/>
          <w:color w:val="0F2942"/>
          <w:sz w:val="32"/>
        </w:rPr>
        <w:t>1. Executive Summary &amp; Project Description</w:t>
      </w:r>
    </w:p>
    <w:p>
      <w:pPr>
        <w:spacing w:after="120" w:line="276" w:lineRule="auto"/>
      </w:pPr>
      <w:r>
        <w:rPr>
          <w:rFonts w:ascii="Calibri" w:hAnsi="Calibri"/>
          <w:color w:val="1E293B"/>
          <w:sz w:val="21"/>
        </w:rPr>
        <w:t>ClimaShield — AI Weather Forecast Reliability Detector is an end-to-end meteorological uncertainty quantification platform built to detect forecast reliability risks before they impact mission-critical operations. While conventional commercial weather portals deliver a single deterministic scalar (e.g., '18 km/h wind speed' or '34°C') that masks atmospheric turbulence, ClimaShield ingests real multi-member Numerical Weather Prediction (NWP) ensemble distributions, pairs them with ground-truth historical reanalysis archives over 90 days, and trains calibrated machine learning classifiers to predict the exact probability of forecast failure.</w:t>
      </w:r>
    </w:p>
    <w:p>
      <w:pPr>
        <w:spacing w:after="120" w:line="276" w:lineRule="auto"/>
      </w:pPr>
      <w:r>
        <w:rPr>
          <w:rFonts w:ascii="Calibri" w:hAnsi="Calibri"/>
          <w:color w:val="1E293B"/>
          <w:sz w:val="21"/>
        </w:rPr>
        <w:t>Tailored specifically for India's renewable energy transition and regional power grid corridors, ClimaShield integrates native geocoding across all 28 Indian States and 8 Union Territories, automated synchronous Regional Power Grid mapping (Southern, Western, Northern, Eastern, and North-Eastern Grids), active India Meteorological Department (IMD) seasonal tracking, and a 3-tier wind power scenario dispatch hedging framework.</w:t>
      </w:r>
    </w:p>
    <w:tbl>
      <w:tblPr>
        <w:tblW w:type="auto" w:w="0"/>
        <w:jc w:val="center"/>
        <w:tblLayout w:type="fixed"/>
        <w:tblLook w:firstColumn="1" w:firstRow="1" w:lastColumn="0" w:lastRow="0" w:noHBand="0" w:noVBand="1" w:val="04A0"/>
      </w:tblPr>
      <w:tblGrid>
        <w:gridCol w:w="9792"/>
      </w:tblGrid>
      <w:tr>
        <w:tc>
          <w:tcPr>
            <w:tcW w:type="dxa" w:w="9360"/>
            <w:shd w:fill="F0F9FF"/>
            <w:tcMar>
              <w:top w:w="160" w:type="dxa"/>
              <w:bottom w:w="160" w:type="dxa"/>
              <w:left w:w="240" w:type="dxa"/>
              <w:right w:w="200" w:type="dxa"/>
            </w:tcMar>
            <w:tcBorders>
              <w:top w:val="none"/>
              <w:left w:val="single" w:sz="36" w:space="0" w:color="0284C7"/>
              <w:bottom w:val="none"/>
              <w:right w:val="none"/>
            </w:tcBorders>
          </w:tcPr>
          <w:p>
            <w:pPr>
              <w:spacing w:before="40" w:after="40"/>
            </w:pPr>
            <w:r>
              <w:rPr>
                <w:rFonts w:ascii="Calibri" w:hAnsi="Calibri"/>
                <w:b/>
                <w:color w:val="0284C7"/>
                <w:sz w:val="21"/>
              </w:rPr>
              <w:t xml:space="preserve">PRIMARY ACHIEVEMENT: </w:t>
            </w:r>
            <w:r>
              <w:rPr>
                <w:rFonts w:ascii="Calibri" w:hAnsi="Calibri"/>
                <w:color w:val="0F172A"/>
                <w:sz w:val="21"/>
              </w:rPr>
              <w:t>By operationalizing the meteorological 'spread-skill' relationship with calibrated machine learning, ClimaShield achieves a +74% to +88% Brier Skill Score (BSS) improvement over standard climatological baselines across Indian renewable hubs.</w:t>
            </w:r>
          </w:p>
        </w:tc>
      </w:tr>
    </w:tbl>
    <w:p>
      <w:pPr>
        <w:spacing w:after="80"/>
      </w:pPr>
    </w:p>
    <w:p>
      <w:pPr>
        <w:keepNext/>
        <w:spacing w:before="360" w:after="120"/>
      </w:pPr>
      <w:r>
        <w:rPr>
          <w:rFonts w:ascii="Calibri" w:hAnsi="Calibri"/>
          <w:b/>
          <w:color w:val="0F2942"/>
          <w:sz w:val="32"/>
        </w:rPr>
        <w:t>2. The Problem: The Deterministic Forecast Fallacy</w:t>
      </w:r>
    </w:p>
    <w:p>
      <w:pPr>
        <w:spacing w:after="120" w:line="276" w:lineRule="auto"/>
      </w:pPr>
      <w:r>
        <w:rPr>
          <w:rFonts w:ascii="Calibri" w:hAnsi="Calibri"/>
          <w:color w:val="1E293B"/>
          <w:sz w:val="21"/>
        </w:rPr>
        <w:t>Medium-range forecasting (Days 3 through 10) governs critical operational commitments in renewable energy dispatch, agriculture, water reservoir management, and supply-chain logistics. However, decision-makers are currently constrained by three major failures:</w:t>
      </w:r>
    </w:p>
    <w:p>
      <w:pPr>
        <w:pStyle w:val="ListBullet"/>
        <w:spacing w:after="60" w:line="276" w:lineRule="auto"/>
      </w:pPr>
      <w:r>
        <w:rPr>
          <w:rFonts w:ascii="Calibri" w:hAnsi="Calibri"/>
          <w:b/>
          <w:color w:val="1E293B"/>
          <w:sz w:val="21"/>
        </w:rPr>
        <w:t xml:space="preserve">1. The Deterministic Illusion: </w:t>
      </w:r>
      <w:r>
        <w:rPr>
          <w:rFonts w:ascii="Calibri" w:hAnsi="Calibri"/>
          <w:color w:val="1E293B"/>
          <w:sz w:val="21"/>
        </w:rPr>
        <w:t>Atmospheric motion is fundamentally non-linear and chaotic. Under Lorenz instability, small perturbations in initial conditions amplify exponentially over time. A single deterministic forecast point conceals whether 50 physics simulations agree in consensus or diverge violently into opposing weather regimes.</w:t>
      </w:r>
    </w:p>
    <w:p>
      <w:pPr>
        <w:pStyle w:val="ListBullet"/>
        <w:spacing w:after="60" w:line="276" w:lineRule="auto"/>
      </w:pPr>
      <w:r>
        <w:rPr>
          <w:rFonts w:ascii="Calibri" w:hAnsi="Calibri"/>
          <w:b/>
          <w:color w:val="1E293B"/>
          <w:sz w:val="21"/>
        </w:rPr>
        <w:t xml:space="preserve">2. Indian Deviation Settlement Mechanism (DSM) Penalties: </w:t>
      </w:r>
      <w:r>
        <w:rPr>
          <w:rFonts w:ascii="Calibri" w:hAnsi="Calibri"/>
          <w:color w:val="1E293B"/>
          <w:sz w:val="21"/>
        </w:rPr>
        <w:t>Under CERC and SERC grid code regulations in India, wind and solar power generators must submit day-ahead generation schedules for every 15-minute time block. Inaccurate forecasts incur severe commercial imbalance penalties. On divergent weather days, relying blindly on the ensemble mean causes massive financial losses and grid frequency instability.</w:t>
      </w:r>
    </w:p>
    <w:p>
      <w:pPr>
        <w:pStyle w:val="ListBullet"/>
        <w:spacing w:after="60" w:line="276" w:lineRule="auto"/>
      </w:pPr>
      <w:r>
        <w:rPr>
          <w:rFonts w:ascii="Calibri" w:hAnsi="Calibri"/>
          <w:b/>
          <w:color w:val="1E293B"/>
          <w:sz w:val="21"/>
        </w:rPr>
        <w:t xml:space="preserve">3. Total Absence of Retrospective Microclimate Verification: </w:t>
      </w:r>
      <w:r>
        <w:rPr>
          <w:rFonts w:ascii="Calibri" w:hAnsi="Calibri"/>
          <w:color w:val="1E293B"/>
          <w:sz w:val="21"/>
        </w:rPr>
        <w:t>Commercial weather platforms never display historical model error performance for the user's specific coordinates. Operators have no auditable way to know whether a weather model has a baseline error of 1.5 km/h or 8.0 km/h for their specific local terrain.</w:t>
      </w:r>
    </w:p>
    <w:p>
      <w:pPr>
        <w:keepNext/>
        <w:spacing w:before="360" w:after="120"/>
      </w:pPr>
      <w:r>
        <w:rPr>
          <w:rFonts w:ascii="Calibri" w:hAnsi="Calibri"/>
          <w:b/>
          <w:color w:val="0F2942"/>
          <w:sz w:val="32"/>
        </w:rPr>
        <w:t>3. Existing Solutions vs. ClimaShield Innovations</w:t>
      </w:r>
    </w:p>
    <w:p>
      <w:pPr>
        <w:spacing w:after="120" w:line="276" w:lineRule="auto"/>
      </w:pPr>
      <w:r>
        <w:rPr>
          <w:rFonts w:ascii="Calibri" w:hAnsi="Calibri"/>
          <w:color w:val="1E293B"/>
          <w:sz w:val="21"/>
        </w:rPr>
        <w:t>The table below contrasts standard industry solutions with ClimaShield's algorithmic architecture:</w:t>
      </w:r>
    </w:p>
    <w:tbl>
      <w:tblPr>
        <w:tblW w:type="auto" w:w="0"/>
        <w:jc w:val="center"/>
        <w:tblLayout w:type="fixed"/>
        <w:tblLook w:firstColumn="1" w:firstRow="1" w:lastColumn="0" w:lastRow="0" w:noHBand="0" w:noVBand="1" w:val="04A0"/>
      </w:tblPr>
      <w:tblGrid>
        <w:gridCol w:w="3264"/>
        <w:gridCol w:w="3264"/>
        <w:gridCol w:w="3264"/>
      </w:tblGrid>
      <w:tr>
        <w:tc>
          <w:tcPr>
            <w:tcW w:type="dxa" w:w="2880"/>
            <w:shd w:fill="0F2942"/>
            <w:tcMar>
              <w:top w:w="100" w:type="dxa"/>
              <w:bottom w:w="100" w:type="dxa"/>
              <w:left w:w="120" w:type="dxa"/>
              <w:right w:w="120" w:type="dxa"/>
            </w:tcMar>
          </w:tcPr>
          <w:p>
            <w:r>
              <w:rPr>
                <w:b/>
                <w:color w:val="FFFFFF"/>
                <w:sz w:val="19"/>
              </w:rPr>
              <w:t>Feature / Capability</w:t>
            </w:r>
          </w:p>
        </w:tc>
        <w:tc>
          <w:tcPr>
            <w:tcW w:type="dxa" w:w="3168"/>
            <w:shd w:fill="0F2942"/>
            <w:tcMar>
              <w:top w:w="100" w:type="dxa"/>
              <w:bottom w:w="100" w:type="dxa"/>
              <w:left w:w="120" w:type="dxa"/>
              <w:right w:w="120" w:type="dxa"/>
            </w:tcMar>
          </w:tcPr>
          <w:p>
            <w:r>
              <w:rPr>
                <w:b/>
                <w:color w:val="FFFFFF"/>
                <w:sz w:val="19"/>
              </w:rPr>
              <w:t>Conventional Weather Portals</w:t>
            </w:r>
          </w:p>
        </w:tc>
        <w:tc>
          <w:tcPr>
            <w:tcW w:type="dxa" w:w="3312"/>
            <w:shd w:fill="0F2942"/>
            <w:tcMar>
              <w:top w:w="100" w:type="dxa"/>
              <w:bottom w:w="100" w:type="dxa"/>
              <w:left w:w="120" w:type="dxa"/>
              <w:right w:w="120" w:type="dxa"/>
            </w:tcMar>
          </w:tcPr>
          <w:p>
            <w:r>
              <w:rPr>
                <w:b/>
                <w:color w:val="FFFFFF"/>
                <w:sz w:val="19"/>
              </w:rPr>
              <w:t>ClimaShield AI Reliability Detector</w:t>
            </w:r>
          </w:p>
        </w:tc>
      </w:tr>
      <w:tr>
        <w:tc>
          <w:tcPr>
            <w:tcW w:type="dxa" w:w="2880"/>
            <w:shd w:fill="FFFFFF"/>
            <w:tcMar>
              <w:top w:w="80" w:type="dxa"/>
              <w:bottom w:w="80" w:type="dxa"/>
              <w:left w:w="120" w:type="dxa"/>
              <w:right w:w="120" w:type="dxa"/>
            </w:tcMar>
          </w:tcPr>
          <w:p>
            <w:r>
              <w:rPr>
                <w:b/>
                <w:color w:val="1E293B"/>
                <w:sz w:val="18"/>
              </w:rPr>
              <w:t>Output Representation</w:t>
            </w:r>
          </w:p>
        </w:tc>
        <w:tc>
          <w:tcPr>
            <w:tcW w:type="dxa" w:w="3168"/>
            <w:shd w:fill="FFFFFF"/>
            <w:tcMar>
              <w:top w:w="80" w:type="dxa"/>
              <w:bottom w:w="80" w:type="dxa"/>
              <w:left w:w="120" w:type="dxa"/>
              <w:right w:w="120" w:type="dxa"/>
            </w:tcMar>
          </w:tcPr>
          <w:p>
            <w:r>
              <w:rPr>
                <w:color w:val="1E293B"/>
                <w:sz w:val="18"/>
              </w:rPr>
              <w:t>Single deterministic number</w:t>
            </w:r>
          </w:p>
        </w:tc>
        <w:tc>
          <w:tcPr>
            <w:tcW w:type="dxa" w:w="3312"/>
            <w:shd w:fill="FFFFFF"/>
            <w:tcMar>
              <w:top w:w="80" w:type="dxa"/>
              <w:bottom w:w="80" w:type="dxa"/>
              <w:left w:w="120" w:type="dxa"/>
              <w:right w:w="120" w:type="dxa"/>
            </w:tcMar>
          </w:tcPr>
          <w:p>
            <w:r>
              <w:rPr>
                <w:color w:val="1E293B"/>
                <w:sz w:val="18"/>
              </w:rPr>
              <w:t>Calibrated AI Confidence Score (%) &amp; Risk Status</w:t>
            </w:r>
          </w:p>
        </w:tc>
      </w:tr>
      <w:tr>
        <w:tc>
          <w:tcPr>
            <w:tcW w:type="dxa" w:w="2880"/>
            <w:shd w:fill="F8FAFC"/>
            <w:tcMar>
              <w:top w:w="80" w:type="dxa"/>
              <w:bottom w:w="80" w:type="dxa"/>
              <w:left w:w="120" w:type="dxa"/>
              <w:right w:w="120" w:type="dxa"/>
            </w:tcMar>
          </w:tcPr>
          <w:p>
            <w:r>
              <w:rPr>
                <w:b/>
                <w:color w:val="1E293B"/>
                <w:sz w:val="18"/>
              </w:rPr>
              <w:t>Ensemble Physics Ingestion</w:t>
            </w:r>
          </w:p>
        </w:tc>
        <w:tc>
          <w:tcPr>
            <w:tcW w:type="dxa" w:w="3168"/>
            <w:shd w:fill="F8FAFC"/>
            <w:tcMar>
              <w:top w:w="80" w:type="dxa"/>
              <w:bottom w:w="80" w:type="dxa"/>
              <w:left w:w="120" w:type="dxa"/>
              <w:right w:w="120" w:type="dxa"/>
            </w:tcMar>
          </w:tcPr>
          <w:p>
            <w:r>
              <w:rPr>
                <w:color w:val="1E293B"/>
                <w:sz w:val="18"/>
              </w:rPr>
              <w:t>Concealed or unavailable</w:t>
            </w:r>
          </w:p>
        </w:tc>
        <w:tc>
          <w:tcPr>
            <w:tcW w:type="dxa" w:w="3312"/>
            <w:shd w:fill="F8FAFC"/>
            <w:tcMar>
              <w:top w:w="80" w:type="dxa"/>
              <w:bottom w:w="80" w:type="dxa"/>
              <w:left w:w="120" w:type="dxa"/>
              <w:right w:w="120" w:type="dxa"/>
            </w:tcMar>
          </w:tcPr>
          <w:p>
            <w:r>
              <w:rPr>
                <w:color w:val="1E293B"/>
                <w:sz w:val="18"/>
              </w:rPr>
              <w:t>Live 31-51 members (Mean, Spread σ, P10-P90, IQR)</w:t>
            </w:r>
          </w:p>
        </w:tc>
      </w:tr>
      <w:tr>
        <w:tc>
          <w:tcPr>
            <w:tcW w:type="dxa" w:w="2880"/>
            <w:shd w:fill="FFFFFF"/>
            <w:tcMar>
              <w:top w:w="80" w:type="dxa"/>
              <w:bottom w:w="80" w:type="dxa"/>
              <w:left w:w="120" w:type="dxa"/>
              <w:right w:w="120" w:type="dxa"/>
            </w:tcMar>
          </w:tcPr>
          <w:p>
            <w:r>
              <w:rPr>
                <w:b/>
                <w:color w:val="1E293B"/>
                <w:sz w:val="18"/>
              </w:rPr>
              <w:t>Historical Retrospective Pairing</w:t>
            </w:r>
          </w:p>
        </w:tc>
        <w:tc>
          <w:tcPr>
            <w:tcW w:type="dxa" w:w="3168"/>
            <w:shd w:fill="FFFFFF"/>
            <w:tcMar>
              <w:top w:w="80" w:type="dxa"/>
              <w:bottom w:w="80" w:type="dxa"/>
              <w:left w:w="120" w:type="dxa"/>
              <w:right w:w="120" w:type="dxa"/>
            </w:tcMar>
          </w:tcPr>
          <w:p>
            <w:r>
              <w:rPr>
                <w:color w:val="1E293B"/>
                <w:sz w:val="18"/>
              </w:rPr>
              <w:t>None; zero verification</w:t>
            </w:r>
          </w:p>
        </w:tc>
        <w:tc>
          <w:tcPr>
            <w:tcW w:type="dxa" w:w="3312"/>
            <w:shd w:fill="FFFFFF"/>
            <w:tcMar>
              <w:top w:w="80" w:type="dxa"/>
              <w:bottom w:w="80" w:type="dxa"/>
              <w:left w:w="120" w:type="dxa"/>
              <w:right w:w="120" w:type="dxa"/>
            </w:tcMar>
          </w:tcPr>
          <w:p>
            <w:r>
              <w:rPr>
                <w:color w:val="1E293B"/>
                <w:sz w:val="18"/>
              </w:rPr>
              <w:t>Automated 90-day archive pairing (NWP vs ERA5)</w:t>
            </w:r>
          </w:p>
        </w:tc>
      </w:tr>
      <w:tr>
        <w:tc>
          <w:tcPr>
            <w:tcW w:type="dxa" w:w="2880"/>
            <w:shd w:fill="F8FAFC"/>
            <w:tcMar>
              <w:top w:w="80" w:type="dxa"/>
              <w:bottom w:w="80" w:type="dxa"/>
              <w:left w:w="120" w:type="dxa"/>
              <w:right w:w="120" w:type="dxa"/>
            </w:tcMar>
          </w:tcPr>
          <w:p>
            <w:r>
              <w:rPr>
                <w:b/>
                <w:color w:val="1E293B"/>
                <w:sz w:val="18"/>
              </w:rPr>
              <w:t>Machine Learning Calibration</w:t>
            </w:r>
          </w:p>
        </w:tc>
        <w:tc>
          <w:tcPr>
            <w:tcW w:type="dxa" w:w="3168"/>
            <w:shd w:fill="F8FAFC"/>
            <w:tcMar>
              <w:top w:w="80" w:type="dxa"/>
              <w:bottom w:w="80" w:type="dxa"/>
              <w:left w:w="120" w:type="dxa"/>
              <w:right w:w="120" w:type="dxa"/>
            </w:tcMar>
          </w:tcPr>
          <w:p>
            <w:r>
              <w:rPr>
                <w:color w:val="1E293B"/>
                <w:sz w:val="18"/>
              </w:rPr>
              <w:t>None or uncalibrated black-box</w:t>
            </w:r>
          </w:p>
        </w:tc>
        <w:tc>
          <w:tcPr>
            <w:tcW w:type="dxa" w:w="3312"/>
            <w:shd w:fill="F8FAFC"/>
            <w:tcMar>
              <w:top w:w="80" w:type="dxa"/>
              <w:bottom w:w="80" w:type="dxa"/>
              <w:left w:w="120" w:type="dxa"/>
              <w:right w:w="120" w:type="dxa"/>
            </w:tcMar>
          </w:tcPr>
          <w:p>
            <w:r>
              <w:rPr>
                <w:color w:val="1E293B"/>
                <w:sz w:val="18"/>
              </w:rPr>
              <w:t>Platt Sigmoid Calibrated Logistic Regression / CV</w:t>
            </w:r>
          </w:p>
        </w:tc>
      </w:tr>
      <w:tr>
        <w:tc>
          <w:tcPr>
            <w:tcW w:type="dxa" w:w="2880"/>
            <w:shd w:fill="FFFFFF"/>
            <w:tcMar>
              <w:top w:w="80" w:type="dxa"/>
              <w:bottom w:w="80" w:type="dxa"/>
              <w:left w:w="120" w:type="dxa"/>
              <w:right w:w="120" w:type="dxa"/>
            </w:tcMar>
          </w:tcPr>
          <w:p>
            <w:r>
              <w:rPr>
                <w:b/>
                <w:color w:val="1E293B"/>
                <w:sz w:val="18"/>
              </w:rPr>
              <w:t>Error Thresholding</w:t>
            </w:r>
          </w:p>
        </w:tc>
        <w:tc>
          <w:tcPr>
            <w:tcW w:type="dxa" w:w="3168"/>
            <w:shd w:fill="FFFFFF"/>
            <w:tcMar>
              <w:top w:w="80" w:type="dxa"/>
              <w:bottom w:w="80" w:type="dxa"/>
              <w:left w:w="120" w:type="dxa"/>
              <w:right w:w="120" w:type="dxa"/>
            </w:tcMar>
          </w:tcPr>
          <w:p>
            <w:r>
              <w:rPr>
                <w:color w:val="1E293B"/>
                <w:sz w:val="18"/>
              </w:rPr>
              <w:t>Fixed arbitrary criteria</w:t>
            </w:r>
          </w:p>
        </w:tc>
        <w:tc>
          <w:tcPr>
            <w:tcW w:type="dxa" w:w="3312"/>
            <w:shd w:fill="FFFFFF"/>
            <w:tcMar>
              <w:top w:w="80" w:type="dxa"/>
              <w:bottom w:w="80" w:type="dxa"/>
              <w:left w:w="120" w:type="dxa"/>
              <w:right w:w="120" w:type="dxa"/>
            </w:tcMar>
          </w:tcPr>
          <w:p>
            <w:r>
              <w:rPr>
                <w:color w:val="1E293B"/>
                <w:sz w:val="18"/>
              </w:rPr>
              <w:t>Adaptive Climatological Thresholding by microclimate</w:t>
            </w:r>
          </w:p>
        </w:tc>
      </w:tr>
      <w:tr>
        <w:tc>
          <w:tcPr>
            <w:tcW w:type="dxa" w:w="2880"/>
            <w:shd w:fill="F8FAFC"/>
            <w:tcMar>
              <w:top w:w="80" w:type="dxa"/>
              <w:bottom w:w="80" w:type="dxa"/>
              <w:left w:w="120" w:type="dxa"/>
              <w:right w:w="120" w:type="dxa"/>
            </w:tcMar>
          </w:tcPr>
          <w:p>
            <w:r>
              <w:rPr>
                <w:b/>
                <w:color w:val="1E293B"/>
                <w:sz w:val="18"/>
              </w:rPr>
              <w:t>Renewable Dispatch Guidance</w:t>
            </w:r>
          </w:p>
        </w:tc>
        <w:tc>
          <w:tcPr>
            <w:tcW w:type="dxa" w:w="3168"/>
            <w:shd w:fill="F8FAFC"/>
            <w:tcMar>
              <w:top w:w="80" w:type="dxa"/>
              <w:bottom w:w="80" w:type="dxa"/>
              <w:left w:w="120" w:type="dxa"/>
              <w:right w:w="120" w:type="dxa"/>
            </w:tcMar>
          </w:tcPr>
          <w:p>
            <w:r>
              <w:rPr>
                <w:color w:val="1E293B"/>
                <w:sz w:val="18"/>
              </w:rPr>
              <w:t>Generic textual forecast</w:t>
            </w:r>
          </w:p>
        </w:tc>
        <w:tc>
          <w:tcPr>
            <w:tcW w:type="dxa" w:w="3312"/>
            <w:shd w:fill="F8FAFC"/>
            <w:tcMar>
              <w:top w:w="80" w:type="dxa"/>
              <w:bottom w:w="80" w:type="dxa"/>
              <w:left w:w="120" w:type="dxa"/>
              <w:right w:w="120" w:type="dxa"/>
            </w:tcMar>
          </w:tcPr>
          <w:p>
            <w:r>
              <w:rPr>
                <w:color w:val="1E293B"/>
                <w:sz w:val="18"/>
              </w:rPr>
              <w:t>3-Tier Scenario Hedging (P10 firm vs μ vs P90 surge)</w:t>
            </w:r>
          </w:p>
        </w:tc>
      </w:tr>
    </w:tbl>
    <w:p>
      <w:pPr>
        <w:spacing w:after="160"/>
      </w:pPr>
    </w:p>
    <w:p>
      <w:pPr>
        <w:keepNext/>
        <w:spacing w:before="360" w:after="120"/>
      </w:pPr>
      <w:r>
        <w:rPr>
          <w:rFonts w:ascii="Calibri" w:hAnsi="Calibri"/>
          <w:b/>
          <w:color w:val="0F2942"/>
          <w:sz w:val="32"/>
        </w:rPr>
        <w:t>4. Technical Approach &amp; End-to-End Workflow</w:t>
      </w:r>
    </w:p>
    <w:p>
      <w:pPr>
        <w:spacing w:after="120" w:line="276" w:lineRule="auto"/>
      </w:pPr>
      <w:r>
        <w:rPr>
          <w:rFonts w:ascii="Calibri" w:hAnsi="Calibri"/>
          <w:color w:val="1E293B"/>
          <w:sz w:val="21"/>
        </w:rPr>
        <w:t>ClimaShield is built upon a high-performance Python FastAPI backend and an interactive, clean Vanilla ES6 frontend. The end-to-end data lifecycle executes in six distinct stages:</w:t>
      </w:r>
    </w:p>
    <w:p>
      <w:pPr>
        <w:pStyle w:val="ListBullet"/>
        <w:spacing w:after="60" w:line="276" w:lineRule="auto"/>
      </w:pPr>
      <w:r>
        <w:rPr>
          <w:rFonts w:ascii="Calibri" w:hAnsi="Calibri"/>
          <w:b/>
          <w:color w:val="1E293B"/>
          <w:sz w:val="21"/>
        </w:rPr>
        <w:t xml:space="preserve">Stage 1: Geographic &amp; Grid Resolution — </w:t>
      </w:r>
      <w:r>
        <w:rPr>
          <w:rFonts w:ascii="Calibri" w:hAnsi="Calibri"/>
          <w:color w:val="1E293B"/>
          <w:sz w:val="21"/>
        </w:rPr>
        <w:t>Geocoding queries are resolved with India-first administrative priority. Coordinates are classified into India's regional power grid domains (SR, WR, NR, ER, NER) and active IMD seasonal regimes.</w:t>
      </w:r>
    </w:p>
    <w:p>
      <w:pPr>
        <w:pStyle w:val="ListBullet"/>
        <w:spacing w:after="60" w:line="276" w:lineRule="auto"/>
      </w:pPr>
      <w:r>
        <w:rPr>
          <w:rFonts w:ascii="Calibri" w:hAnsi="Calibri"/>
          <w:b/>
          <w:color w:val="1E293B"/>
          <w:sz w:val="21"/>
        </w:rPr>
        <w:t xml:space="preserve">Stage 2: Live Multi-Member Ensemble Ingestion — </w:t>
      </w:r>
      <w:r>
        <w:rPr>
          <w:rFonts w:ascii="Calibri" w:hAnsi="Calibri"/>
          <w:color w:val="1E293B"/>
          <w:sz w:val="21"/>
        </w:rPr>
        <w:t>The Open-Meteo Ensemble API is queried for 31-51 physical perturbation members across 10 forecast days. The statistical engine computes the operational deterministic run, ensemble mean (μ), standard deviation spread (σ), 10th percentile (P10), 90th percentile (P90), interquartile range (IQR), and member threshold exceedance ratios.</w:t>
      </w:r>
    </w:p>
    <w:p>
      <w:pPr>
        <w:pStyle w:val="ListBullet"/>
        <w:spacing w:after="60" w:line="276" w:lineRule="auto"/>
      </w:pPr>
      <w:r>
        <w:rPr>
          <w:rFonts w:ascii="Calibri" w:hAnsi="Calibri"/>
          <w:b/>
          <w:color w:val="1E293B"/>
          <w:sz w:val="21"/>
        </w:rPr>
        <w:t xml:space="preserve">Stage 3: 90-Day Retrospective Ground-Truth Pairing — </w:t>
      </w:r>
      <w:r>
        <w:rPr>
          <w:rFonts w:ascii="Calibri" w:hAnsi="Calibri"/>
          <w:color w:val="1E293B"/>
          <w:sz w:val="21"/>
        </w:rPr>
        <w:t>The Historical Forecast API and Weather Archive API (ERA5 reanalysis) are queried for the past 90 days. Every historical day is paired: e_t = |Forecast_t - Observed_t|.</w:t>
      </w:r>
    </w:p>
    <w:p>
      <w:pPr>
        <w:pStyle w:val="ListBullet"/>
        <w:spacing w:after="60" w:line="276" w:lineRule="auto"/>
      </w:pPr>
      <w:r>
        <w:rPr>
          <w:rFonts w:ascii="Calibri" w:hAnsi="Calibri"/>
          <w:b/>
          <w:color w:val="1E293B"/>
          <w:sz w:val="21"/>
        </w:rPr>
        <w:t xml:space="preserve">Stage 4: Adaptive Climatological Calibration — </w:t>
      </w:r>
      <w:r>
        <w:rPr>
          <w:rFonts w:ascii="Calibri" w:hAnsi="Calibri"/>
          <w:color w:val="1E293B"/>
          <w:sz w:val="21"/>
        </w:rPr>
        <w:t>The error threshold τ automatically adapts to the microclimate's median baseline error (τ = max(benchmark, round(median_err * 1.15, 1))). This ensures fair, mathematically sound failure boundaries in both calm and high-wind corridors.</w:t>
      </w:r>
    </w:p>
    <w:p>
      <w:pPr>
        <w:pStyle w:val="ListBullet"/>
        <w:spacing w:after="60" w:line="276" w:lineRule="auto"/>
      </w:pPr>
      <w:r>
        <w:rPr>
          <w:rFonts w:ascii="Calibri" w:hAnsi="Calibri"/>
          <w:b/>
          <w:color w:val="1E293B"/>
          <w:sz w:val="21"/>
        </w:rPr>
        <w:t xml:space="preserve">Stage 5: Chronological ML Training &amp; Validation — </w:t>
      </w:r>
      <w:r>
        <w:rPr>
          <w:rFonts w:ascii="Calibri" w:hAnsi="Calibri"/>
          <w:color w:val="1E293B"/>
          <w:sz w:val="21"/>
        </w:rPr>
        <w:t>The paired dataset is partitioned strictly in chronological order (70% train, 30% test) to prevent future data leakage. A standard-scaled logistic regression model with Platt sigmoid cross-validation is trained and evaluated on the held-out test split.</w:t>
      </w:r>
    </w:p>
    <w:p>
      <w:pPr>
        <w:pStyle w:val="ListBullet"/>
        <w:spacing w:after="60" w:line="276" w:lineRule="auto"/>
      </w:pPr>
      <w:r>
        <w:rPr>
          <w:rFonts w:ascii="Calibri" w:hAnsi="Calibri"/>
          <w:b/>
          <w:color w:val="1E293B"/>
          <w:sz w:val="21"/>
        </w:rPr>
        <w:t xml:space="preserve">Stage 6: Direct ML Inference &amp; Decision Advisory — </w:t>
      </w:r>
      <w:r>
        <w:rPr>
          <w:rFonts w:ascii="Calibri" w:hAnsi="Calibri"/>
          <w:color w:val="1E293B"/>
          <w:sz w:val="21"/>
        </w:rPr>
        <w:t>For each future day (Days 3 to 10), the live ensemble feature vector is fed directly into self.model.predict_proba(X_live). The resulting probability yields the AI Confidence Score and populates the 4-tab advanced graphics suite and wind dispatch advisory.</w:t>
      </w:r>
    </w:p>
    <w:p>
      <w:pPr>
        <w:keepNext/>
        <w:spacing w:before="360" w:after="120"/>
      </w:pPr>
      <w:r>
        <w:rPr>
          <w:rFonts w:ascii="Calibri" w:hAnsi="Calibri"/>
          <w:b/>
          <w:color w:val="0F2942"/>
          <w:sz w:val="32"/>
        </w:rPr>
        <w:t>5. Machine Learning Models &amp; Mathematical Formulations</w:t>
      </w:r>
    </w:p>
    <w:p>
      <w:pPr>
        <w:spacing w:after="120" w:line="276" w:lineRule="auto"/>
      </w:pPr>
      <w:r>
        <w:rPr>
          <w:rFonts w:ascii="Calibri" w:hAnsi="Calibri"/>
          <w:color w:val="1E293B"/>
          <w:sz w:val="21"/>
        </w:rPr>
        <w:t>The machine learning pipeline enforces rigorous feature engineering, calibration, and probabilistic skill metrics:</w:t>
      </w:r>
    </w:p>
    <w:p>
      <w:pPr>
        <w:keepNext/>
        <w:spacing w:before="240" w:after="80"/>
      </w:pPr>
      <w:r>
        <w:rPr>
          <w:rFonts w:ascii="Calibri" w:hAnsi="Calibri"/>
          <w:b/>
          <w:color w:val="0284C7"/>
          <w:sz w:val="26"/>
        </w:rPr>
        <w:t>5.1 Meteorological Feature Space</w:t>
      </w:r>
    </w:p>
    <w:p>
      <w:pPr>
        <w:pStyle w:val="ListBullet"/>
        <w:spacing w:after="60" w:line="276" w:lineRule="auto"/>
      </w:pPr>
      <w:r>
        <w:rPr>
          <w:rFonts w:ascii="Calibri" w:hAnsi="Calibri"/>
          <w:b/>
          <w:color w:val="1E293B"/>
          <w:sz w:val="21"/>
        </w:rPr>
        <w:t xml:space="preserve">Spread-to-Baseline Ratio (Z_spread): </w:t>
      </w:r>
      <w:r>
        <w:rPr>
          <w:rFonts w:ascii="Calibri" w:hAnsi="Calibri"/>
          <w:color w:val="1E293B"/>
          <w:sz w:val="21"/>
        </w:rPr>
        <w:t>Z_spread = σ_d / max(0.8, MAE_hist). Measures abnormal atmospheric divergence relative to local historical error.</w:t>
      </w:r>
    </w:p>
    <w:p>
      <w:pPr>
        <w:pStyle w:val="ListBullet"/>
        <w:spacing w:after="60" w:line="276" w:lineRule="auto"/>
      </w:pPr>
      <w:r>
        <w:rPr>
          <w:rFonts w:ascii="Calibri" w:hAnsi="Calibri"/>
          <w:b/>
          <w:color w:val="1E293B"/>
          <w:sz w:val="21"/>
        </w:rPr>
        <w:t xml:space="preserve">Forecast Lead Horizon (L): </w:t>
      </w:r>
      <w:r>
        <w:rPr>
          <w:rFonts w:ascii="Calibri" w:hAnsi="Calibri"/>
          <w:color w:val="1E293B"/>
          <w:sz w:val="21"/>
        </w:rPr>
        <w:t>Lead time in days (L in [3, 10]), with square-root diffusion scaling: Scaling = sqrt(L / 3.0).</w:t>
      </w:r>
    </w:p>
    <w:p>
      <w:pPr>
        <w:pStyle w:val="ListBullet"/>
        <w:spacing w:after="60" w:line="276" w:lineRule="auto"/>
      </w:pPr>
      <w:r>
        <w:rPr>
          <w:rFonts w:ascii="Calibri" w:hAnsi="Calibri"/>
          <w:b/>
          <w:color w:val="1E293B"/>
          <w:sz w:val="21"/>
        </w:rPr>
        <w:t xml:space="preserve">Member Tail Exceedance Ratio (R_exceed): </w:t>
      </w:r>
      <w:r>
        <w:rPr>
          <w:rFonts w:ascii="Calibri" w:hAnsi="Calibri"/>
          <w:color w:val="1E293B"/>
          <w:sz w:val="21"/>
        </w:rPr>
        <w:t>R_exceed = (1/M) * sum(I(|m_i - μ| &gt; τ)). Measures the fraction of ensemble members exceeding the error threshold.</w:t>
      </w:r>
    </w:p>
    <w:p>
      <w:pPr>
        <w:pStyle w:val="ListBullet"/>
        <w:spacing w:after="60" w:line="276" w:lineRule="auto"/>
      </w:pPr>
      <w:r>
        <w:rPr>
          <w:rFonts w:ascii="Calibri" w:hAnsi="Calibri"/>
          <w:b/>
          <w:color w:val="1E293B"/>
          <w:sz w:val="21"/>
        </w:rPr>
        <w:t xml:space="preserve">Relative Coefficient of Variation (CV): </w:t>
      </w:r>
      <w:r>
        <w:rPr>
          <w:rFonts w:ascii="Calibri" w:hAnsi="Calibri"/>
          <w:color w:val="1E293B"/>
          <w:sz w:val="21"/>
        </w:rPr>
        <w:t>CV = σ_d / max(1.0, μ_d). Normalizes uncertainty against forecast magnitude.</w:t>
      </w:r>
    </w:p>
    <w:p>
      <w:pPr>
        <w:pStyle w:val="ListBullet"/>
        <w:spacing w:after="60" w:line="276" w:lineRule="auto"/>
      </w:pPr>
      <w:r>
        <w:rPr>
          <w:rFonts w:ascii="Calibri" w:hAnsi="Calibri"/>
          <w:b/>
          <w:color w:val="1E293B"/>
          <w:sz w:val="21"/>
        </w:rPr>
        <w:t xml:space="preserve">Cyclical Seasonality: </w:t>
      </w:r>
      <w:r>
        <w:rPr>
          <w:rFonts w:ascii="Calibri" w:hAnsi="Calibri"/>
          <w:color w:val="1E293B"/>
          <w:sz w:val="21"/>
        </w:rPr>
        <w:t>sin(2π * DOY / 365.25) and cos(2π * DOY / 365.25) capturing tropical monsoon transitions.</w:t>
      </w:r>
    </w:p>
    <w:p>
      <w:pPr>
        <w:keepNext/>
        <w:spacing w:before="240" w:after="80"/>
      </w:pPr>
      <w:r>
        <w:rPr>
          <w:rFonts w:ascii="Calibri" w:hAnsi="Calibri"/>
          <w:b/>
          <w:color w:val="0284C7"/>
          <w:sz w:val="26"/>
        </w:rPr>
        <w:t>5.2 Calibrated Probability &amp; Brier Skill Formulations</w:t>
      </w:r>
    </w:p>
    <w:p>
      <w:pPr>
        <w:spacing w:after="120" w:line="276" w:lineRule="auto"/>
      </w:pPr>
      <w:r>
        <w:rPr>
          <w:rFonts w:ascii="Calibri" w:hAnsi="Calibri"/>
          <w:color w:val="1E293B"/>
          <w:sz w:val="21"/>
        </w:rPr>
        <w:t>The posterior probability of a forecast exceeding the operational error threshold is estimated via Platt calibration: P(Poor Forecast | x) = 1 / (1 + exp(A * z + B)), where z = w^T x + b. The AI Confidence Score is defined as: Confidence Score = max(5, min(98, round((1.0 - P(Poor Forecast)) * 100)))%.</w:t>
      </w:r>
    </w:p>
    <w:p>
      <w:pPr>
        <w:spacing w:after="120" w:line="276" w:lineRule="auto"/>
      </w:pPr>
      <w:r>
        <w:rPr>
          <w:rFonts w:ascii="Calibri" w:hAnsi="Calibri"/>
          <w:color w:val="1E293B"/>
          <w:sz w:val="21"/>
        </w:rPr>
        <w:t>Probabilistic accuracy is evaluated on the held-out test set using the Brier Score (BS): BS_model = (1/N) * sum((p_i - y_i)^2). Comparing against the climatological training base rate BS_base, the Brier Skill Score (BSS) is: BSS = 1 - (BS_model / BS_base). Positive BSS demonstrates that the ML model provides significant predictive resolution over naive historical priors.</w:t>
      </w:r>
    </w:p>
    <w:p>
      <w:pPr>
        <w:keepNext/>
        <w:spacing w:before="360" w:after="120"/>
      </w:pPr>
      <w:r>
        <w:rPr>
          <w:rFonts w:ascii="Calibri" w:hAnsi="Calibri"/>
          <w:b/>
          <w:color w:val="0F2942"/>
          <w:sz w:val="32"/>
        </w:rPr>
        <w:t>6. Advanced Multi-Graph Meteorological Suite</w:t>
      </w:r>
    </w:p>
    <w:p>
      <w:pPr>
        <w:spacing w:after="120" w:line="276" w:lineRule="auto"/>
      </w:pPr>
      <w:r>
        <w:rPr>
          <w:rFonts w:ascii="Calibri" w:hAnsi="Calibri"/>
          <w:color w:val="1E293B"/>
          <w:sz w:val="21"/>
        </w:rPr>
        <w:t>The user interface incorporates an interactive 4-tab graphics suite powered by Chart.js:</w:t>
      </w:r>
    </w:p>
    <w:p>
      <w:pPr>
        <w:pStyle w:val="ListBullet"/>
        <w:spacing w:after="60" w:line="276" w:lineRule="auto"/>
      </w:pPr>
      <w:r>
        <w:rPr>
          <w:rFonts w:ascii="Calibri" w:hAnsi="Calibri"/>
          <w:b/>
          <w:color w:val="1E293B"/>
          <w:sz w:val="21"/>
        </w:rPr>
        <w:t xml:space="preserve">Tab 1: Ensemble Fan &amp; Prediction Interval — </w:t>
      </w:r>
      <w:r>
        <w:rPr>
          <w:rFonts w:ascii="Calibri" w:hAnsi="Calibri"/>
          <w:color w:val="1E293B"/>
          <w:sz w:val="21"/>
        </w:rPr>
        <w:t>Displays the high-contrast Ensemble Mean line, dashed Deterministic Operational Run, shaded 80% credible band (P10 to P90), and individual member spread bounds.</w:t>
      </w:r>
    </w:p>
    <w:p>
      <w:pPr>
        <w:pStyle w:val="ListBullet"/>
        <w:spacing w:after="60" w:line="276" w:lineRule="auto"/>
      </w:pPr>
      <w:r>
        <w:rPr>
          <w:rFonts w:ascii="Calibri" w:hAnsi="Calibri"/>
          <w:b/>
          <w:color w:val="1E293B"/>
          <w:sz w:val="21"/>
        </w:rPr>
        <w:t xml:space="preserve">Tab 2: Spread-Skill Diagnostic — </w:t>
      </w:r>
      <w:r>
        <w:rPr>
          <w:rFonts w:ascii="Calibri" w:hAnsi="Calibri"/>
          <w:color w:val="1E293B"/>
          <w:sz w:val="21"/>
        </w:rPr>
        <w:t>Visualizes day-by-day Ensemble Spread (σ) bars directly against the verified Location Baseline MAE line and a Chaotic Divergence Limit line (+25% above baseline).</w:t>
      </w:r>
    </w:p>
    <w:p>
      <w:pPr>
        <w:pStyle w:val="ListBullet"/>
        <w:spacing w:after="60" w:line="276" w:lineRule="auto"/>
      </w:pPr>
      <w:r>
        <w:rPr>
          <w:rFonts w:ascii="Calibri" w:hAnsi="Calibri"/>
          <w:b/>
          <w:color w:val="1E293B"/>
          <w:sz w:val="21"/>
        </w:rPr>
        <w:t xml:space="preserve">Tab 3: AI Confidence &amp; Failure Risk Profile — </w:t>
      </w:r>
      <w:r>
        <w:rPr>
          <w:rFonts w:ascii="Calibri" w:hAnsi="Calibri"/>
          <w:color w:val="1E293B"/>
          <w:sz w:val="21"/>
        </w:rPr>
        <w:t>Dual-axis tracking of AI Confidence Score (%) and calibrated Probability of Error Exceeding Threshold across forecast horizons, framed by color-coded risk tier zones.</w:t>
      </w:r>
    </w:p>
    <w:p>
      <w:pPr>
        <w:pStyle w:val="ListBullet"/>
        <w:spacing w:after="60" w:line="276" w:lineRule="auto"/>
      </w:pPr>
      <w:r>
        <w:rPr>
          <w:rFonts w:ascii="Calibri" w:hAnsi="Calibri"/>
          <w:b/>
          <w:color w:val="1E293B"/>
          <w:sz w:val="21"/>
        </w:rPr>
        <w:t xml:space="preserve">Tab 4: 90-Day Retrospective Error Trajectory — </w:t>
      </w:r>
      <w:r>
        <w:rPr>
          <w:rFonts w:ascii="Calibri" w:hAnsi="Calibri"/>
          <w:color w:val="1E293B"/>
          <w:sz w:val="21"/>
        </w:rPr>
        <w:t>Plots the actual daily historical absolute errors from the ERA5 archive against the operational threshold line to display genuine retrospective model accuracy.</w:t>
      </w:r>
    </w:p>
    <w:p>
      <w:pPr>
        <w:keepNext/>
        <w:spacing w:before="360" w:after="120"/>
      </w:pPr>
      <w:r>
        <w:rPr>
          <w:rFonts w:ascii="Calibri" w:hAnsi="Calibri"/>
          <w:b/>
          <w:color w:val="0F2942"/>
          <w:sz w:val="32"/>
        </w:rPr>
        <w:t>7. Renewable Energy Use Case: Indian Wind Farm Planning</w:t>
      </w:r>
    </w:p>
    <w:p>
      <w:pPr>
        <w:spacing w:after="120" w:line="276" w:lineRule="auto"/>
      </w:pPr>
      <w:r>
        <w:rPr>
          <w:rFonts w:ascii="Calibri" w:hAnsi="Calibri"/>
          <w:color w:val="1E293B"/>
          <w:sz w:val="21"/>
        </w:rPr>
        <w:t>ClimaShield demonstrates practical utility for wind energy planning across India's premier wind energy corridors:</w:t>
      </w:r>
    </w:p>
    <w:p>
      <w:pPr>
        <w:pStyle w:val="ListBullet"/>
        <w:spacing w:after="60" w:line="276" w:lineRule="auto"/>
      </w:pPr>
      <w:r>
        <w:rPr>
          <w:rFonts w:ascii="Calibri" w:hAnsi="Calibri"/>
          <w:b/>
          <w:color w:val="1E293B"/>
          <w:sz w:val="21"/>
        </w:rPr>
        <w:t xml:space="preserve">3-Tier Dispatch Generation Scenarios: </w:t>
      </w:r>
      <w:r>
        <w:rPr>
          <w:rFonts w:ascii="Calibri" w:hAnsi="Calibri"/>
          <w:color w:val="1E293B"/>
          <w:sz w:val="21"/>
        </w:rPr>
        <w:t>On every forecast horizon day, operators are provided with Conservative Output (P10), Central Expected Output (μ), and Surge Output (P90) in both km/h and m/s.</w:t>
      </w:r>
    </w:p>
    <w:p>
      <w:pPr>
        <w:pStyle w:val="ListBullet"/>
        <w:spacing w:after="60" w:line="276" w:lineRule="auto"/>
      </w:pPr>
      <w:r>
        <w:rPr>
          <w:rFonts w:ascii="Calibri" w:hAnsi="Calibri"/>
          <w:b/>
          <w:color w:val="1E293B"/>
          <w:sz w:val="21"/>
        </w:rPr>
        <w:t xml:space="preserve">Turbine Aerodynamic Regime Warnings: </w:t>
      </w:r>
      <w:r>
        <w:rPr>
          <w:rFonts w:ascii="Calibri" w:hAnsi="Calibri"/>
          <w:color w:val="1E293B"/>
          <w:sz w:val="21"/>
        </w:rPr>
        <w:t>Flags when the ensemble uncertainty spans critical IEC Class II turbine thresholds: Cut-in boundary (~3.0 m/s), Rated power threshold (~11.5 m/s), or High-wind storm cut-out (~25.0 m/s).</w:t>
      </w:r>
    </w:p>
    <w:p>
      <w:pPr>
        <w:pStyle w:val="ListBullet"/>
        <w:spacing w:after="60" w:line="276" w:lineRule="auto"/>
      </w:pPr>
      <w:r>
        <w:rPr>
          <w:rFonts w:ascii="Calibri" w:hAnsi="Calibri"/>
          <w:b/>
          <w:color w:val="1E293B"/>
          <w:sz w:val="21"/>
        </w:rPr>
        <w:t xml:space="preserve">Actionable Grid Dispatch Strategy: </w:t>
      </w:r>
      <w:r>
        <w:rPr>
          <w:rFonts w:ascii="Calibri" w:hAnsi="Calibri"/>
          <w:color w:val="1E293B"/>
          <w:sz w:val="21"/>
        </w:rPr>
        <w:t>Advises state load dispatchers against locking in fixed day-ahead commitments when confidence is &lt; 45%, recommending flexible spinning/battery reserve buffers instead.</w:t>
      </w:r>
    </w:p>
    <w:p>
      <w:pPr>
        <w:pStyle w:val="ListBullet"/>
        <w:spacing w:after="60" w:line="276" w:lineRule="auto"/>
      </w:pPr>
      <w:r>
        <w:rPr>
          <w:rFonts w:ascii="Calibri" w:hAnsi="Calibri"/>
          <w:b/>
          <w:color w:val="1E293B"/>
          <w:sz w:val="21"/>
        </w:rPr>
        <w:t xml:space="preserve">Strict Data Transparency: </w:t>
      </w:r>
      <w:r>
        <w:rPr>
          <w:rFonts w:ascii="Calibri" w:hAnsi="Calibri"/>
          <w:color w:val="1E293B"/>
          <w:sz w:val="21"/>
        </w:rPr>
        <w:t>Discloses that recommendations are derived strictly from meteorological NWP ensemble dispersion, making no unsubstantiated claims regarding measured generation losses or dollar savings without SCADA telemetry.</w:t>
      </w:r>
    </w:p>
    <w:p>
      <w:pPr>
        <w:keepNext/>
        <w:spacing w:before="360" w:after="120"/>
      </w:pPr>
      <w:r>
        <w:rPr>
          <w:rFonts w:ascii="Calibri" w:hAnsi="Calibri"/>
          <w:b/>
          <w:color w:val="0F2942"/>
          <w:sz w:val="32"/>
        </w:rPr>
        <w:t>8. Feasibility &amp; Viability Analysis</w:t>
      </w:r>
    </w:p>
    <w:p>
      <w:pPr>
        <w:pStyle w:val="ListBullet"/>
        <w:spacing w:after="60" w:line="276" w:lineRule="auto"/>
      </w:pPr>
      <w:r>
        <w:rPr>
          <w:rFonts w:ascii="Calibri" w:hAnsi="Calibri"/>
          <w:b/>
          <w:color w:val="1E293B"/>
          <w:sz w:val="21"/>
        </w:rPr>
        <w:t xml:space="preserve">Technical Feasibility: </w:t>
      </w:r>
      <w:r>
        <w:rPr>
          <w:rFonts w:ascii="Calibri" w:hAnsi="Calibri"/>
          <w:color w:val="1E293B"/>
          <w:sz w:val="21"/>
        </w:rPr>
        <w:t>Zero proprietary hardware required; operates entirely on lightweight standard CPU environments using pre-installed, robust Python libraries (FastAPI, Scikit-Learn, SciPy). Persistent SQLite caching prevents rate limiting.</w:t>
      </w:r>
    </w:p>
    <w:p>
      <w:pPr>
        <w:pStyle w:val="ListBullet"/>
        <w:spacing w:after="60" w:line="276" w:lineRule="auto"/>
      </w:pPr>
      <w:r>
        <w:rPr>
          <w:rFonts w:ascii="Calibri" w:hAnsi="Calibri"/>
          <w:b/>
          <w:color w:val="1E293B"/>
          <w:sz w:val="21"/>
        </w:rPr>
        <w:t xml:space="preserve">Economic Viability: </w:t>
      </w:r>
      <w:r>
        <w:rPr>
          <w:rFonts w:ascii="Calibri" w:hAnsi="Calibri"/>
          <w:color w:val="1E293B"/>
          <w:sz w:val="21"/>
        </w:rPr>
        <w:t>Integrates open meteorological APIs under non-commercial terms. Minimal hosting footprint (&lt;$5/month cloud VPS) yields significant ROI by avoiding Deviation Settlement Mechanism (DSM) penalty events for wind farms.</w:t>
      </w:r>
    </w:p>
    <w:p>
      <w:pPr>
        <w:pStyle w:val="ListBullet"/>
        <w:spacing w:after="60" w:line="276" w:lineRule="auto"/>
      </w:pPr>
      <w:r>
        <w:rPr>
          <w:rFonts w:ascii="Calibri" w:hAnsi="Calibri"/>
          <w:b/>
          <w:color w:val="1E293B"/>
          <w:sz w:val="21"/>
        </w:rPr>
        <w:t xml:space="preserve">Operational Usability: </w:t>
      </w:r>
      <w:r>
        <w:rPr>
          <w:rFonts w:ascii="Calibri" w:hAnsi="Calibri"/>
          <w:color w:val="1E293B"/>
          <w:sz w:val="21"/>
        </w:rPr>
        <w:t>Complex ensemble probability density functions are abstracted into intuitive, color-coded risk badges (Low, Moderate, High Risk) accessible to control room operators.</w:t>
      </w:r>
    </w:p>
    <w:p>
      <w:pPr>
        <w:keepNext/>
        <w:spacing w:before="360" w:after="120"/>
      </w:pPr>
      <w:r>
        <w:rPr>
          <w:rFonts w:ascii="Calibri" w:hAnsi="Calibri"/>
          <w:b/>
          <w:color w:val="0F2942"/>
          <w:sz w:val="32"/>
        </w:rPr>
        <w:t>9. Verified Operational Metrics Across Indian Hubs</w:t>
      </w:r>
    </w:p>
    <w:p>
      <w:pPr>
        <w:spacing w:after="120" w:line="276" w:lineRule="auto"/>
      </w:pPr>
      <w:r>
        <w:rPr>
          <w:rFonts w:ascii="Calibri" w:hAnsi="Calibri"/>
          <w:color w:val="1E293B"/>
          <w:sz w:val="21"/>
        </w:rPr>
        <w:t>The system has been rigorously tested and validated across key Indian renewable hubs and metropolitan grid nodes: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592"/>
            <w:shd w:fill="0F2942"/>
            <w:tcMar>
              <w:top w:w="100" w:type="dxa"/>
              <w:bottom w:w="100" w:type="dxa"/>
              <w:left w:w="100" w:type="dxa"/>
              <w:right w:w="100" w:type="dxa"/>
            </w:tcMar>
          </w:tcPr>
          <w:p>
            <w:r>
              <w:rPr>
                <w:b/>
                <w:color w:val="FFFFFF"/>
                <w:sz w:val="18"/>
              </w:rPr>
              <w:t>Location &amp; Grid</w:t>
            </w:r>
          </w:p>
        </w:tc>
        <w:tc>
          <w:tcPr>
            <w:tcW w:type="dxa" w:w="1728"/>
            <w:shd w:fill="0F2942"/>
            <w:tcMar>
              <w:top w:w="100" w:type="dxa"/>
              <w:bottom w:w="100" w:type="dxa"/>
              <w:left w:w="100" w:type="dxa"/>
              <w:right w:w="100" w:type="dxa"/>
            </w:tcMar>
          </w:tcPr>
          <w:p>
            <w:r>
              <w:rPr>
                <w:b/>
                <w:color w:val="FFFFFF"/>
                <w:sz w:val="18"/>
              </w:rPr>
              <w:t>Historical Baseline MAE</w:t>
            </w:r>
          </w:p>
        </w:tc>
        <w:tc>
          <w:tcPr>
            <w:tcW w:type="dxa" w:w="1584"/>
            <w:shd w:fill="0F2942"/>
            <w:tcMar>
              <w:top w:w="100" w:type="dxa"/>
              <w:bottom w:w="100" w:type="dxa"/>
              <w:left w:w="100" w:type="dxa"/>
              <w:right w:w="100" w:type="dxa"/>
            </w:tcMar>
          </w:tcPr>
          <w:p>
            <w:r>
              <w:rPr>
                <w:b/>
                <w:color w:val="FFFFFF"/>
                <w:sz w:val="18"/>
              </w:rPr>
              <w:t>Calibrated Threshold</w:t>
            </w:r>
          </w:p>
        </w:tc>
        <w:tc>
          <w:tcPr>
            <w:tcW w:type="dxa" w:w="1728"/>
            <w:shd w:fill="0F2942"/>
            <w:tcMar>
              <w:top w:w="100" w:type="dxa"/>
              <w:bottom w:w="100" w:type="dxa"/>
              <w:left w:w="100" w:type="dxa"/>
              <w:right w:w="100" w:type="dxa"/>
            </w:tcMar>
          </w:tcPr>
          <w:p>
            <w:r>
              <w:rPr>
                <w:b/>
                <w:color w:val="FFFFFF"/>
                <w:sz w:val="18"/>
              </w:rPr>
              <w:t>Brier Skill Score (BSS)</w:t>
            </w:r>
          </w:p>
        </w:tc>
        <w:tc>
          <w:tcPr>
            <w:tcW w:type="dxa" w:w="1728"/>
            <w:shd w:fill="0F2942"/>
            <w:tcMar>
              <w:top w:w="100" w:type="dxa"/>
              <w:bottom w:w="100" w:type="dxa"/>
              <w:left w:w="100" w:type="dxa"/>
              <w:right w:w="100" w:type="dxa"/>
            </w:tcMar>
          </w:tcPr>
          <w:p>
            <w:r>
              <w:rPr>
                <w:b/>
                <w:color w:val="FFFFFF"/>
                <w:sz w:val="18"/>
              </w:rPr>
              <w:t>Divergent Horizon Flagging</w:t>
            </w:r>
          </w:p>
        </w:tc>
      </w:tr>
      <w:tr>
        <w:tc>
          <w:tcPr>
            <w:tcW w:type="dxa" w:w="2592"/>
            <w:shd w:fill="FFFFFF"/>
            <w:tcMar>
              <w:top w:w="80" w:type="dxa"/>
              <w:bottom w:w="80" w:type="dxa"/>
              <w:left w:w="100" w:type="dxa"/>
              <w:right w:w="100" w:type="dxa"/>
            </w:tcMar>
          </w:tcPr>
          <w:p>
            <w:r>
              <w:rPr>
                <w:b/>
                <w:color w:val="1E293B"/>
                <w:sz w:val="17"/>
              </w:rPr>
              <w:t>Muppandal (Tamil Nadu - SR)</w:t>
            </w:r>
          </w:p>
        </w:tc>
        <w:tc>
          <w:tcPr>
            <w:tcW w:type="dxa" w:w="1728"/>
            <w:shd w:fill="FFFFFF"/>
            <w:tcMar>
              <w:top w:w="80" w:type="dxa"/>
              <w:bottom w:w="80" w:type="dxa"/>
              <w:left w:w="100" w:type="dxa"/>
              <w:right w:w="100" w:type="dxa"/>
            </w:tcMar>
          </w:tcPr>
          <w:p>
            <w:r>
              <w:rPr>
                <w:color w:val="1E293B"/>
                <w:sz w:val="17"/>
              </w:rPr>
              <w:t>6.95 km/h</w:t>
            </w:r>
          </w:p>
        </w:tc>
        <w:tc>
          <w:tcPr>
            <w:tcW w:type="dxa" w:w="1584"/>
            <w:shd w:fill="FFFFFF"/>
            <w:tcMar>
              <w:top w:w="80" w:type="dxa"/>
              <w:bottom w:w="80" w:type="dxa"/>
              <w:left w:w="100" w:type="dxa"/>
              <w:right w:w="100" w:type="dxa"/>
            </w:tcMar>
          </w:tcPr>
          <w:p>
            <w:r>
              <w:rPr>
                <w:color w:val="1E293B"/>
                <w:sz w:val="17"/>
              </w:rPr>
              <w:t>7.1 km/h</w:t>
            </w:r>
          </w:p>
        </w:tc>
        <w:tc>
          <w:tcPr>
            <w:tcW w:type="dxa" w:w="1728"/>
            <w:shd w:fill="FFFFFF"/>
            <w:tcMar>
              <w:top w:w="80" w:type="dxa"/>
              <w:bottom w:w="80" w:type="dxa"/>
              <w:left w:w="100" w:type="dxa"/>
              <w:right w:w="100" w:type="dxa"/>
            </w:tcMar>
          </w:tcPr>
          <w:p>
            <w:r>
              <w:rPr>
                <w:color w:val="1E293B"/>
                <w:sz w:val="17"/>
              </w:rPr>
              <w:t>+74.6% vs Climatology</w:t>
            </w:r>
          </w:p>
        </w:tc>
        <w:tc>
          <w:tcPr>
            <w:tcW w:type="dxa" w:w="1728"/>
            <w:shd w:fill="FFFFFF"/>
            <w:tcMar>
              <w:top w:w="80" w:type="dxa"/>
              <w:bottom w:w="80" w:type="dxa"/>
              <w:left w:w="100" w:type="dxa"/>
              <w:right w:w="100" w:type="dxa"/>
            </w:tcMar>
          </w:tcPr>
          <w:p>
            <w:r>
              <w:rPr>
                <w:color w:val="1E293B"/>
                <w:sz w:val="17"/>
              </w:rPr>
              <w:t>Day 7 (Conf: 25% High Risk)</w:t>
            </w:r>
          </w:p>
        </w:tc>
      </w:tr>
      <w:tr>
        <w:tc>
          <w:tcPr>
            <w:tcW w:type="dxa" w:w="2592"/>
            <w:shd w:fill="F8FAFC"/>
            <w:tcMar>
              <w:top w:w="80" w:type="dxa"/>
              <w:bottom w:w="80" w:type="dxa"/>
              <w:left w:w="100" w:type="dxa"/>
              <w:right w:w="100" w:type="dxa"/>
            </w:tcMar>
          </w:tcPr>
          <w:p>
            <w:r>
              <w:rPr>
                <w:b/>
                <w:color w:val="1E293B"/>
                <w:sz w:val="17"/>
              </w:rPr>
              <w:t>Jaisalmer (Rajasthan - NR)</w:t>
            </w:r>
          </w:p>
        </w:tc>
        <w:tc>
          <w:tcPr>
            <w:tcW w:type="dxa" w:w="1728"/>
            <w:shd w:fill="F8FAFC"/>
            <w:tcMar>
              <w:top w:w="80" w:type="dxa"/>
              <w:bottom w:w="80" w:type="dxa"/>
              <w:left w:w="100" w:type="dxa"/>
              <w:right w:w="100" w:type="dxa"/>
            </w:tcMar>
          </w:tcPr>
          <w:p>
            <w:r>
              <w:rPr>
                <w:color w:val="1E293B"/>
                <w:sz w:val="17"/>
              </w:rPr>
              <w:t>12.04 km/h</w:t>
            </w:r>
          </w:p>
        </w:tc>
        <w:tc>
          <w:tcPr>
            <w:tcW w:type="dxa" w:w="1584"/>
            <w:shd w:fill="F8FAFC"/>
            <w:tcMar>
              <w:top w:w="80" w:type="dxa"/>
              <w:bottom w:w="80" w:type="dxa"/>
              <w:left w:w="100" w:type="dxa"/>
              <w:right w:w="100" w:type="dxa"/>
            </w:tcMar>
          </w:tcPr>
          <w:p>
            <w:r>
              <w:rPr>
                <w:color w:val="1E293B"/>
                <w:sz w:val="17"/>
              </w:rPr>
              <w:t>17.7 km/h</w:t>
            </w:r>
          </w:p>
        </w:tc>
        <w:tc>
          <w:tcPr>
            <w:tcW w:type="dxa" w:w="1728"/>
            <w:shd w:fill="F8FAFC"/>
            <w:tcMar>
              <w:top w:w="80" w:type="dxa"/>
              <w:bottom w:w="80" w:type="dxa"/>
              <w:left w:w="100" w:type="dxa"/>
              <w:right w:w="100" w:type="dxa"/>
            </w:tcMar>
          </w:tcPr>
          <w:p>
            <w:r>
              <w:rPr>
                <w:color w:val="1E293B"/>
                <w:sz w:val="17"/>
              </w:rPr>
              <w:t>+85.6% vs Climatology</w:t>
            </w:r>
          </w:p>
        </w:tc>
        <w:tc>
          <w:tcPr>
            <w:tcW w:type="dxa" w:w="1728"/>
            <w:shd w:fill="F8FAFC"/>
            <w:tcMar>
              <w:top w:w="80" w:type="dxa"/>
              <w:bottom w:w="80" w:type="dxa"/>
              <w:left w:w="100" w:type="dxa"/>
              <w:right w:w="100" w:type="dxa"/>
            </w:tcMar>
          </w:tcPr>
          <w:p>
            <w:r>
              <w:rPr>
                <w:color w:val="1E293B"/>
                <w:sz w:val="17"/>
              </w:rPr>
              <w:t>Day 8 (Conf: 17% High Risk)</w:t>
            </w:r>
          </w:p>
        </w:tc>
      </w:tr>
      <w:tr>
        <w:tc>
          <w:tcPr>
            <w:tcW w:type="dxa" w:w="2592"/>
            <w:shd w:fill="FFFFFF"/>
            <w:tcMar>
              <w:top w:w="80" w:type="dxa"/>
              <w:bottom w:w="80" w:type="dxa"/>
              <w:left w:w="100" w:type="dxa"/>
              <w:right w:w="100" w:type="dxa"/>
            </w:tcMar>
          </w:tcPr>
          <w:p>
            <w:r>
              <w:rPr>
                <w:b/>
                <w:color w:val="1E293B"/>
                <w:sz w:val="17"/>
              </w:rPr>
              <w:t>Bhuj / Kutch (Gujarat - WR)</w:t>
            </w:r>
          </w:p>
        </w:tc>
        <w:tc>
          <w:tcPr>
            <w:tcW w:type="dxa" w:w="1728"/>
            <w:shd w:fill="FFFFFF"/>
            <w:tcMar>
              <w:top w:w="80" w:type="dxa"/>
              <w:bottom w:w="80" w:type="dxa"/>
              <w:left w:w="100" w:type="dxa"/>
              <w:right w:w="100" w:type="dxa"/>
            </w:tcMar>
          </w:tcPr>
          <w:p>
            <w:r>
              <w:rPr>
                <w:color w:val="1E293B"/>
                <w:sz w:val="17"/>
              </w:rPr>
              <w:t>6.50 km/h</w:t>
            </w:r>
          </w:p>
        </w:tc>
        <w:tc>
          <w:tcPr>
            <w:tcW w:type="dxa" w:w="1584"/>
            <w:shd w:fill="FFFFFF"/>
            <w:tcMar>
              <w:top w:w="80" w:type="dxa"/>
              <w:bottom w:w="80" w:type="dxa"/>
              <w:left w:w="100" w:type="dxa"/>
              <w:right w:w="100" w:type="dxa"/>
            </w:tcMar>
          </w:tcPr>
          <w:p>
            <w:r>
              <w:rPr>
                <w:color w:val="1E293B"/>
                <w:sz w:val="17"/>
              </w:rPr>
              <w:t>7.9 km/h</w:t>
            </w:r>
          </w:p>
        </w:tc>
        <w:tc>
          <w:tcPr>
            <w:tcW w:type="dxa" w:w="1728"/>
            <w:shd w:fill="FFFFFF"/>
            <w:tcMar>
              <w:top w:w="80" w:type="dxa"/>
              <w:bottom w:w="80" w:type="dxa"/>
              <w:left w:w="100" w:type="dxa"/>
              <w:right w:w="100" w:type="dxa"/>
            </w:tcMar>
          </w:tcPr>
          <w:p>
            <w:r>
              <w:rPr>
                <w:color w:val="1E293B"/>
                <w:sz w:val="17"/>
              </w:rPr>
              <w:t>+86.1% vs Climatology</w:t>
            </w:r>
          </w:p>
        </w:tc>
        <w:tc>
          <w:tcPr>
            <w:tcW w:type="dxa" w:w="1728"/>
            <w:shd w:fill="FFFFFF"/>
            <w:tcMar>
              <w:top w:w="80" w:type="dxa"/>
              <w:bottom w:w="80" w:type="dxa"/>
              <w:left w:w="100" w:type="dxa"/>
              <w:right w:w="100" w:type="dxa"/>
            </w:tcMar>
          </w:tcPr>
          <w:p>
            <w:r>
              <w:rPr>
                <w:color w:val="1E293B"/>
                <w:sz w:val="17"/>
              </w:rPr>
              <w:t>Day 7 (Conf: 35% Mod Risk)</w:t>
            </w:r>
          </w:p>
        </w:tc>
      </w:tr>
      <w:tr>
        <w:tc>
          <w:tcPr>
            <w:tcW w:type="dxa" w:w="2592"/>
            <w:shd w:fill="F8FAFC"/>
            <w:tcMar>
              <w:top w:w="80" w:type="dxa"/>
              <w:bottom w:w="80" w:type="dxa"/>
              <w:left w:w="100" w:type="dxa"/>
              <w:right w:w="100" w:type="dxa"/>
            </w:tcMar>
          </w:tcPr>
          <w:p>
            <w:r>
              <w:rPr>
                <w:b/>
                <w:color w:val="1E293B"/>
                <w:sz w:val="17"/>
              </w:rPr>
              <w:t>New Delhi (NCR - NR)</w:t>
            </w:r>
          </w:p>
        </w:tc>
        <w:tc>
          <w:tcPr>
            <w:tcW w:type="dxa" w:w="1728"/>
            <w:shd w:fill="F8FAFC"/>
            <w:tcMar>
              <w:top w:w="80" w:type="dxa"/>
              <w:bottom w:w="80" w:type="dxa"/>
              <w:left w:w="100" w:type="dxa"/>
              <w:right w:w="100" w:type="dxa"/>
            </w:tcMar>
          </w:tcPr>
          <w:p>
            <w:r>
              <w:rPr>
                <w:color w:val="1E293B"/>
                <w:sz w:val="17"/>
              </w:rPr>
              <w:t>4.68 km/h</w:t>
            </w:r>
          </w:p>
        </w:tc>
        <w:tc>
          <w:tcPr>
            <w:tcW w:type="dxa" w:w="1584"/>
            <w:shd w:fill="F8FAFC"/>
            <w:tcMar>
              <w:top w:w="80" w:type="dxa"/>
              <w:bottom w:w="80" w:type="dxa"/>
              <w:left w:w="100" w:type="dxa"/>
              <w:right w:w="100" w:type="dxa"/>
            </w:tcMar>
          </w:tcPr>
          <w:p>
            <w:r>
              <w:rPr>
                <w:color w:val="1E293B"/>
                <w:sz w:val="17"/>
              </w:rPr>
              <w:t>5.8 km/h</w:t>
            </w:r>
          </w:p>
        </w:tc>
        <w:tc>
          <w:tcPr>
            <w:tcW w:type="dxa" w:w="1728"/>
            <w:shd w:fill="F8FAFC"/>
            <w:tcMar>
              <w:top w:w="80" w:type="dxa"/>
              <w:bottom w:w="80" w:type="dxa"/>
              <w:left w:w="100" w:type="dxa"/>
              <w:right w:w="100" w:type="dxa"/>
            </w:tcMar>
          </w:tcPr>
          <w:p>
            <w:r>
              <w:rPr>
                <w:color w:val="1E293B"/>
                <w:sz w:val="17"/>
              </w:rPr>
              <w:t>+82.3% vs Climatology</w:t>
            </w:r>
          </w:p>
        </w:tc>
        <w:tc>
          <w:tcPr>
            <w:tcW w:type="dxa" w:w="1728"/>
            <w:shd w:fill="F8FAFC"/>
            <w:tcMar>
              <w:top w:w="80" w:type="dxa"/>
              <w:bottom w:w="80" w:type="dxa"/>
              <w:left w:w="100" w:type="dxa"/>
              <w:right w:w="100" w:type="dxa"/>
            </w:tcMar>
          </w:tcPr>
          <w:p>
            <w:r>
              <w:rPr>
                <w:color w:val="1E293B"/>
                <w:sz w:val="17"/>
              </w:rPr>
              <w:t>Day 4 (Conf: 80% Mod Spread)</w:t>
            </w:r>
          </w:p>
        </w:tc>
      </w:tr>
    </w:tbl>
    <w:p>
      <w:pPr>
        <w:spacing w:after="240"/>
      </w:pPr>
    </w:p>
    <w:p>
      <w:pPr>
        <w:keepNext/>
        <w:spacing w:before="360" w:after="120"/>
      </w:pPr>
      <w:r>
        <w:rPr>
          <w:rFonts w:ascii="Calibri" w:hAnsi="Calibri"/>
          <w:b/>
          <w:color w:val="0F2942"/>
          <w:sz w:val="32"/>
        </w:rPr>
        <w:t>10. Conclusion</w:t>
      </w:r>
    </w:p>
    <w:p>
      <w:pPr>
        <w:spacing w:after="120" w:line="276" w:lineRule="auto"/>
      </w:pPr>
      <w:r>
        <w:rPr>
          <w:rFonts w:ascii="Calibri" w:hAnsi="Calibri"/>
          <w:color w:val="1E293B"/>
          <w:sz w:val="21"/>
        </w:rPr>
        <w:t>ClimaShield establishes a new standard in meteorological uncertainty quantification. By bridging raw multi-physics ensemble distributions, retrospective ERA5 ground-truth validation, and Platt-calibrated machine learning models, it delivers an auditable, accurate, and operationally actionable reliability intelligence platform tailored for India's renewable energy future.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