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Saudi Arabia FIFA World Cup 2034</w:t>
        <w:br/>
        <w:t>National Programme Management Office (PMO) Command Centre</w:t>
        <w:br/>
        <w:t>Creative Vision &amp; Experience Direction (Revised)</w:t>
      </w:r>
    </w:p>
    <w:p>
      <w:pPr>
        <w:pStyle w:val="Heading2"/>
      </w:pPr>
      <w:r>
        <w:t>Experience Vision</w:t>
      </w:r>
    </w:p>
    <w:p>
      <w:r>
        <w:rPr>
          <w:sz w:val="22"/>
        </w:rPr>
        <w:t>The defining characteristic of this platform is not the dashboard itself but the experience of moving through multiple executive perspectives of the national delivery programme. Leaders should be able to transition effortlessly between different visual representations of the same underlying programme data, with each view answering a different strategic question. Rather than navigating pages of reports, executives should feel as though they are exploring a living digital twin of Saudi Arabia's World Cup delivery ecosystem. Every view should preserve context while revealing a different dimension of programme performance, allowing leadership to move seamlessly from national oversight to project-level intervention.</w:t>
      </w:r>
    </w:p>
    <w:p>
      <w:pPr>
        <w:pStyle w:val="Heading2"/>
      </w:pPr>
      <w:r>
        <w:t>Executive Experience Philosophy</w:t>
      </w:r>
    </w:p>
    <w:p>
      <w:r>
        <w:rPr>
          <w:sz w:val="22"/>
        </w:rPr>
        <w:t>The command centre should be designed around immersive visual experiences instead of static dashboards. Each visual mode represents a different way of understanding programme health and collectively forms a complete executive operating picture. Switching between views should feel like changing lenses rather than opening different applications. The experience should encourage exploration, rapid pattern recognition and confident decision-making while maintaining a consistent visual language across the platform.</w:t>
      </w:r>
    </w:p>
    <w:p>
      <w:pPr>
        <w:pStyle w:val="Heading2"/>
      </w:pPr>
      <w:r>
        <w:t>Core Executive Views</w:t>
      </w:r>
    </w:p>
    <w:p>
      <w:pPr>
        <w:pStyle w:val="Heading3"/>
      </w:pPr>
      <w:r>
        <w:t>National Map View</w:t>
      </w:r>
    </w:p>
    <w:p>
      <w:r>
        <w:rPr>
          <w:sz w:val="22"/>
        </w:rPr>
        <w:t>An interactive map of Saudi Arabia acts as the primary navigation layer. Cities display overall readiness, project concentration, strategic risks, investment, and delivery confidence through dynamic overlays. Executives can instantly compare cities, identify hotspots and drill into individual locations.</w:t>
      </w:r>
    </w:p>
    <w:p>
      <w:pPr>
        <w:pStyle w:val="Heading3"/>
      </w:pPr>
      <w:r>
        <w:t>Portfolio View</w:t>
      </w:r>
    </w:p>
    <w:p>
      <w:r>
        <w:rPr>
          <w:sz w:val="22"/>
        </w:rPr>
        <w:t>A strategic portfolio management view groups projects by national programmes such as transport, stadiums, hospitality, digital infrastructure, security, sustainability and fan experience. This view focuses on portfolio health, investment, benefits realisation, delivery confidence, budget utilisation and cross-portfolio performance, enabling leaders to understand whether strategic objectives are being achieved rather than simply tracking individual projects.</w:t>
      </w:r>
    </w:p>
    <w:p>
      <w:pPr>
        <w:pStyle w:val="Heading3"/>
      </w:pPr>
      <w:r>
        <w:t>Programme &amp; Project Explorer</w:t>
      </w:r>
    </w:p>
    <w:p>
      <w:r>
        <w:rPr>
          <w:sz w:val="22"/>
        </w:rPr>
        <w:t>A structured PMO workspace for exploring programmes, portfolios, projects and milestones with schedule, budget, scope, issues, risks, contractors and delivery metrics while always retaining executive context.</w:t>
      </w:r>
    </w:p>
    <w:p>
      <w:pPr>
        <w:pStyle w:val="Heading3"/>
      </w:pPr>
      <w:r>
        <w:t>Critical Path View</w:t>
      </w:r>
    </w:p>
    <w:p>
      <w:r>
        <w:rPr>
          <w:sz w:val="22"/>
        </w:rPr>
        <w:t>A dynamic dependency network visualising the critical path across ministries, cities and programmes. Instead of a traditional Gantt chart, the experience should clearly communicate which projects unlock downstream delivery, where bottlenecks exist and which delays will have the greatest impact on FIFA readiness.</w:t>
      </w:r>
    </w:p>
    <w:p>
      <w:pPr>
        <w:pStyle w:val="Heading3"/>
      </w:pPr>
      <w:r>
        <w:t>Timeline &amp; Milestone View</w:t>
      </w:r>
    </w:p>
    <w:p>
      <w:r>
        <w:rPr>
          <w:sz w:val="22"/>
        </w:rPr>
        <w:t>A national timeline that brings together key milestones, construction phases, operational readiness events and testing activities, allowing executives to understand sequencing and upcoming decision points.</w:t>
      </w:r>
    </w:p>
    <w:p>
      <w:pPr>
        <w:pStyle w:val="Heading3"/>
      </w:pPr>
      <w:r>
        <w:t>Risk &amp; Dependency View</w:t>
      </w:r>
    </w:p>
    <w:p>
      <w:r>
        <w:rPr>
          <w:sz w:val="22"/>
        </w:rPr>
        <w:t>An interactive network highlighting strategic risks, interdependencies and cascading impacts across programmes. Selecting a risk immediately reveals affected projects, cities and mitigation actions.</w:t>
      </w:r>
    </w:p>
    <w:p>
      <w:pPr>
        <w:pStyle w:val="Heading3"/>
      </w:pPr>
      <w:r>
        <w:t>Readiness View</w:t>
      </w:r>
    </w:p>
    <w:p>
      <w:r>
        <w:rPr>
          <w:sz w:val="22"/>
        </w:rPr>
        <w:t>A comprehensive readiness dashboard combining venue readiness, transport readiness, accommodation readiness, operational readiness, security preparedness, sustainability targets and overall national readiness into a single executive score.</w:t>
      </w:r>
    </w:p>
    <w:p>
      <w:pPr>
        <w:pStyle w:val="Heading3"/>
      </w:pPr>
      <w:r>
        <w:t>Benefits &amp; Legacy View</w:t>
      </w:r>
    </w:p>
    <w:p>
      <w:r>
        <w:rPr>
          <w:sz w:val="22"/>
        </w:rPr>
        <w:t>A strategic perspective focused on long-term outcomes, demonstrating how investments contribute to Vision 2030 through economic impact, tourism, employment, sustainability and post-tournament legacy.</w:t>
      </w:r>
    </w:p>
    <w:p>
      <w:pPr>
        <w:pStyle w:val="Heading3"/>
      </w:pPr>
      <w:r>
        <w:t>Digital Twin View</w:t>
      </w:r>
    </w:p>
    <w:p>
      <w:r>
        <w:rPr>
          <w:sz w:val="22"/>
        </w:rPr>
        <w:t>A spatial 3D representation of cities, venues and infrastructure where construction progress, asset health and programme status are visualised directly within the built environment, creating a highly immersive executive experience.</w:t>
      </w:r>
    </w:p>
    <w:p>
      <w:pPr>
        <w:pStyle w:val="Heading2"/>
      </w:pPr>
      <w:r>
        <w:t>Design Implication</w:t>
      </w:r>
    </w:p>
    <w:p>
      <w:r>
        <w:rPr>
          <w:sz w:val="22"/>
        </w:rPr>
        <w:t>The success of the command centre will be measured by how naturally executives move between these visual perspectives. An executive might begin with the national map, identify a city showing reduced readiness, transition into the portfolio view to understand which programme is underperforming, open the critical path to identify upstream dependencies, review the associated risks, and finally inspect the individual project requiring intervention. This fluid movement between interconnected views should define the platform and distinguish it from conventional PMO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