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286" w:rsidRDefault="00690F66">
      <w:pPr>
        <w:rPr>
          <w:sz w:val="20"/>
          <w:szCs w:val="20"/>
        </w:rPr>
      </w:pPr>
      <w:bookmarkStart w:id="0" w:name="page1"/>
      <w:bookmarkEnd w:id="0"/>
      <w:r>
        <w:rPr>
          <w:rFonts w:eastAsia="Times New Roman"/>
          <w:b/>
          <w:bCs/>
          <w:sz w:val="32"/>
          <w:szCs w:val="32"/>
        </w:rPr>
        <w:t>Chapter 1</w:t>
      </w:r>
    </w:p>
    <w:p w:rsidR="00417286" w:rsidRDefault="00417286">
      <w:pPr>
        <w:spacing w:line="187" w:lineRule="exact"/>
        <w:rPr>
          <w:sz w:val="24"/>
          <w:szCs w:val="24"/>
        </w:rPr>
      </w:pPr>
    </w:p>
    <w:p w:rsidR="00417286" w:rsidRDefault="00690F66">
      <w:pPr>
        <w:ind w:right="20"/>
        <w:jc w:val="center"/>
        <w:rPr>
          <w:sz w:val="20"/>
          <w:szCs w:val="20"/>
        </w:rPr>
      </w:pPr>
      <w:r>
        <w:rPr>
          <w:rFonts w:eastAsia="Times New Roman"/>
          <w:b/>
          <w:bCs/>
          <w:sz w:val="36"/>
          <w:szCs w:val="36"/>
        </w:rPr>
        <w:t>INTRODUCTION</w:t>
      </w:r>
    </w:p>
    <w:p w:rsidR="00417286" w:rsidRDefault="00417286">
      <w:pPr>
        <w:spacing w:line="377" w:lineRule="exact"/>
        <w:rPr>
          <w:sz w:val="24"/>
          <w:szCs w:val="24"/>
        </w:rPr>
      </w:pPr>
    </w:p>
    <w:p w:rsidR="00417286" w:rsidRDefault="00690F66">
      <w:pPr>
        <w:spacing w:line="358" w:lineRule="auto"/>
        <w:jc w:val="both"/>
        <w:rPr>
          <w:rFonts w:eastAsia="Times New Roman"/>
          <w:sz w:val="24"/>
          <w:szCs w:val="24"/>
        </w:rPr>
      </w:pPr>
      <w:r>
        <w:rPr>
          <w:rFonts w:eastAsia="Times New Roman"/>
          <w:sz w:val="24"/>
          <w:szCs w:val="24"/>
        </w:rPr>
        <w:t>The Logistic regression is the most famous machine learning algorithm used for classification tasks. It uses a linear equation with independent predictors to predict a value. The predicted value can be anywhere between negative infinity to positive infinit</w:t>
      </w:r>
      <w:r>
        <w:rPr>
          <w:rFonts w:eastAsia="Times New Roman"/>
          <w:sz w:val="24"/>
          <w:szCs w:val="24"/>
        </w:rPr>
        <w:t xml:space="preserve">y. The output of the algorithm need to be class variable, i.e. 0-no, 1-yes. Therefore, one can squash the output of the linear equation into a range of [0,1]. In </w:t>
      </w:r>
      <w:hyperlink r:id="rId4">
        <w:r>
          <w:rPr>
            <w:rFonts w:eastAsia="Times New Roman"/>
            <w:sz w:val="24"/>
            <w:szCs w:val="24"/>
          </w:rPr>
          <w:t xml:space="preserve">regression analysis, </w:t>
        </w:r>
      </w:hyperlink>
      <w:r>
        <w:rPr>
          <w:rFonts w:eastAsia="Times New Roman"/>
          <w:sz w:val="24"/>
          <w:szCs w:val="24"/>
        </w:rPr>
        <w:t>logi</w:t>
      </w:r>
      <w:r>
        <w:rPr>
          <w:rFonts w:eastAsia="Times New Roman"/>
          <w:sz w:val="24"/>
          <w:szCs w:val="24"/>
        </w:rPr>
        <w:t xml:space="preserve">stic regression or logit regression is </w:t>
      </w:r>
      <w:hyperlink r:id="rId5">
        <w:r>
          <w:rPr>
            <w:rFonts w:eastAsia="Times New Roman"/>
            <w:sz w:val="24"/>
            <w:szCs w:val="24"/>
          </w:rPr>
          <w:t xml:space="preserve">estimating </w:t>
        </w:r>
      </w:hyperlink>
      <w:r>
        <w:rPr>
          <w:rFonts w:eastAsia="Times New Roman"/>
          <w:sz w:val="24"/>
          <w:szCs w:val="24"/>
        </w:rPr>
        <w:t xml:space="preserve">the parameters of a logistic model. More formally, a logistic model is one where the </w:t>
      </w:r>
      <w:hyperlink r:id="rId6">
        <w:r>
          <w:rPr>
            <w:rFonts w:eastAsia="Times New Roman"/>
            <w:sz w:val="24"/>
            <w:szCs w:val="24"/>
          </w:rPr>
          <w:t xml:space="preserve">log-odds </w:t>
        </w:r>
      </w:hyperlink>
      <w:r>
        <w:rPr>
          <w:rFonts w:eastAsia="Times New Roman"/>
          <w:sz w:val="24"/>
          <w:szCs w:val="24"/>
        </w:rPr>
        <w:t xml:space="preserve">of the probability of an event is a </w:t>
      </w:r>
      <w:hyperlink r:id="rId7">
        <w:r>
          <w:rPr>
            <w:rFonts w:eastAsia="Times New Roman"/>
            <w:sz w:val="24"/>
            <w:szCs w:val="24"/>
          </w:rPr>
          <w:t xml:space="preserve">linear combination </w:t>
        </w:r>
      </w:hyperlink>
      <w:r>
        <w:rPr>
          <w:rFonts w:eastAsia="Times New Roman"/>
          <w:sz w:val="24"/>
          <w:szCs w:val="24"/>
        </w:rPr>
        <w:t xml:space="preserve">of independent or predictor variables. The two possible dependent variable values are often </w:t>
      </w:r>
      <w:r>
        <w:rPr>
          <w:rFonts w:eastAsia="Times New Roman"/>
          <w:color w:val="222222"/>
          <w:sz w:val="24"/>
          <w:szCs w:val="24"/>
        </w:rPr>
        <w:t>labelled as "0" and</w:t>
      </w:r>
      <w:r>
        <w:rPr>
          <w:rFonts w:eastAsia="Times New Roman"/>
          <w:sz w:val="24"/>
          <w:szCs w:val="24"/>
        </w:rPr>
        <w:t xml:space="preserve"> </w:t>
      </w:r>
      <w:r>
        <w:rPr>
          <w:rFonts w:eastAsia="Times New Roman"/>
          <w:color w:val="222222"/>
          <w:sz w:val="24"/>
          <w:szCs w:val="24"/>
        </w:rPr>
        <w:t>"1", which represent outcomes such as pass/fail, win/lose, alive/dead or healthy/sick.</w:t>
      </w:r>
    </w:p>
    <w:p w:rsidR="00417286" w:rsidRDefault="00417286">
      <w:pPr>
        <w:spacing w:line="251" w:lineRule="exact"/>
        <w:rPr>
          <w:rFonts w:eastAsia="Times New Roman"/>
          <w:sz w:val="24"/>
          <w:szCs w:val="24"/>
        </w:rPr>
      </w:pPr>
    </w:p>
    <w:p w:rsidR="00417286" w:rsidRDefault="00690F66">
      <w:pPr>
        <w:rPr>
          <w:sz w:val="20"/>
          <w:szCs w:val="20"/>
        </w:rPr>
      </w:pPr>
      <w:r>
        <w:rPr>
          <w:rFonts w:eastAsia="Times New Roman"/>
          <w:b/>
          <w:bCs/>
          <w:sz w:val="28"/>
          <w:szCs w:val="28"/>
        </w:rPr>
        <w:t>1.1 About the Company</w:t>
      </w:r>
    </w:p>
    <w:p w:rsidR="00417286" w:rsidRDefault="00417286">
      <w:pPr>
        <w:spacing w:line="273" w:lineRule="exact"/>
        <w:rPr>
          <w:rFonts w:eastAsia="Times New Roman"/>
          <w:sz w:val="24"/>
          <w:szCs w:val="24"/>
        </w:rPr>
      </w:pPr>
    </w:p>
    <w:p w:rsidR="00417286" w:rsidRDefault="00690F66">
      <w:pPr>
        <w:spacing w:line="358" w:lineRule="auto"/>
        <w:ind w:right="20"/>
        <w:jc w:val="both"/>
        <w:rPr>
          <w:sz w:val="20"/>
          <w:szCs w:val="20"/>
        </w:rPr>
      </w:pPr>
      <w:r>
        <w:rPr>
          <w:rFonts w:eastAsia="Times New Roman"/>
          <w:sz w:val="24"/>
          <w:szCs w:val="24"/>
        </w:rPr>
        <w:t>TechieAid is an IT Services Company registered with Govt. of India, Ministry of Micro, Small and Medium Enterprises (MSME). Techie Aid is started</w:t>
      </w:r>
      <w:r>
        <w:rPr>
          <w:rFonts w:eastAsia="Times New Roman"/>
          <w:sz w:val="24"/>
          <w:szCs w:val="24"/>
        </w:rPr>
        <w:t xml:space="preserve"> by industry veterans with over 20+ years of experience. TechieAid provides training services, software development, testing services and staffing solutions to IT companies. TechieAid also offers customized training programs, workshops and internship progr</w:t>
      </w:r>
      <w:r>
        <w:rPr>
          <w:rFonts w:eastAsia="Times New Roman"/>
          <w:sz w:val="24"/>
          <w:szCs w:val="24"/>
        </w:rPr>
        <w:t>ams across engineering colleges in India. TechieAid Mission is to empower the students with necessary knowledge and industry skills for them to succeed in their future endeavors. Their value added services are professionally conducted and managed.</w:t>
      </w:r>
    </w:p>
    <w:p w:rsidR="00417286" w:rsidRDefault="00417286">
      <w:pPr>
        <w:spacing w:line="21" w:lineRule="exact"/>
        <w:rPr>
          <w:rFonts w:eastAsia="Times New Roman"/>
          <w:sz w:val="24"/>
          <w:szCs w:val="24"/>
        </w:rPr>
      </w:pPr>
    </w:p>
    <w:p w:rsidR="00417286" w:rsidRDefault="00690F66">
      <w:pPr>
        <w:spacing w:line="358" w:lineRule="auto"/>
        <w:ind w:right="20" w:firstLine="566"/>
        <w:jc w:val="both"/>
        <w:rPr>
          <w:sz w:val="20"/>
          <w:szCs w:val="20"/>
        </w:rPr>
      </w:pPr>
      <w:r>
        <w:rPr>
          <w:rFonts w:eastAsia="Times New Roman"/>
          <w:sz w:val="24"/>
          <w:szCs w:val="24"/>
        </w:rPr>
        <w:t>TechieA</w:t>
      </w:r>
      <w:r>
        <w:rPr>
          <w:rFonts w:eastAsia="Times New Roman"/>
          <w:sz w:val="24"/>
          <w:szCs w:val="24"/>
        </w:rPr>
        <w:t>id is a custom application development service provider on cutting edge technology solutions to solve complex problems, drive key business outcomes for small, mid-size and large enterprise clients. They provides services for web, mobile, cloud applications</w:t>
      </w:r>
      <w:r>
        <w:rPr>
          <w:rFonts w:eastAsia="Times New Roman"/>
          <w:sz w:val="24"/>
          <w:szCs w:val="24"/>
        </w:rPr>
        <w:t xml:space="preserve"> across wide range of platforms. They also provide solutions in digital transformation technologies such as Big Data, Data Analytics, IoT, Business Intelligence and Cloud computing. They have a unique mix of onsite, offsite/onshore and offshore application</w:t>
      </w:r>
      <w:r>
        <w:rPr>
          <w:rFonts w:eastAsia="Times New Roman"/>
          <w:sz w:val="24"/>
          <w:szCs w:val="24"/>
        </w:rPr>
        <w:t xml:space="preserve"> development services on time, cost effective and with high quality. They start from initial concept to requirement gathering, design, development, testing and deployment ensuring high level of customer satisfaction at each and every step. TechieAid perman</w:t>
      </w:r>
      <w:r>
        <w:rPr>
          <w:rFonts w:eastAsia="Times New Roman"/>
          <w:sz w:val="24"/>
          <w:szCs w:val="24"/>
        </w:rPr>
        <w:t>ent staffing solution will provide access to fully screened and qualified candidates.</w:t>
      </w:r>
    </w:p>
    <w:p w:rsidR="00417286" w:rsidRDefault="00690F66">
      <w:pPr>
        <w:spacing w:line="20" w:lineRule="exact"/>
        <w:rPr>
          <w:rFonts w:eastAsia="Times New Roman"/>
          <w:sz w:val="24"/>
          <w:szCs w:val="24"/>
        </w:rPr>
      </w:pPr>
      <w:r>
        <w:rPr>
          <w:rFonts w:eastAsia="Times New Roman"/>
          <w:noProof/>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419735</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4A2BD6B4"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33.05pt" to="452.8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" o:allowincell="f" filled="t" strokecolor="#823b0b" strokeweight="3pt">
                <v:stroke joinstyle="miter"/>
                <o:lock v:ext="edit" shapetype="f"/>
              </v:line>
            </w:pict>
          </mc:Fallback>
        </mc:AlternateContent>
      </w:r>
      <w:r>
        <w:rPr>
          <w:rFonts w:eastAsia="Times New Roman"/>
          <w:noProof/>
          <w:sz w:val="24"/>
          <w:szCs w:val="24"/>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452120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3">
                          <a:solidFill>
                            <a:srgbClr val="823B0B"/>
                          </a:solidFill>
                          <a:miter lim="800000"/>
                          <a:headEnd/>
                          <a:tailEnd/>
                        </a:ln>
                      </wps:spPr>
                      <wps:bodyPr/>
                    </wps:wsp>
                  </a:graphicData>
                </a:graphic>
              </wp:anchor>
            </w:drawing>
          </mc:Choice>
          <mc:Fallback>
            <w:pict>
              <v:line w14:anchorId="50C6FCC0"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35.6pt" to="452.8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UpvgEAAH8DAAAOAAAAZHJzL2Uyb0RvYy54bWysU8tu2zAQvAfoPxC815LlxH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" o:allowincell="f" filled="t" strokecolor="#823b0b" strokeweight=".25397mm">
                <v:stroke joinstyle="miter"/>
                <o:lock v:ext="edit" shapetype="f"/>
              </v:line>
            </w:pict>
          </mc:Fallback>
        </mc:AlternateContent>
      </w:r>
    </w:p>
    <w:p w:rsidR="00417286" w:rsidRDefault="00417286">
      <w:pPr>
        <w:sectPr w:rsidR="00417286">
          <w:pgSz w:w="11900" w:h="16838"/>
          <w:pgMar w:top="1437" w:right="1426" w:bottom="532" w:left="1440" w:header="0" w:footer="0" w:gutter="0"/>
          <w:cols w:space="720" w:equalWidth="0">
            <w:col w:w="9040"/>
          </w:cols>
        </w:sectPr>
      </w:pPr>
    </w:p>
    <w:p w:rsidR="00417286" w:rsidRDefault="00417286">
      <w:pPr>
        <w:spacing w:line="200" w:lineRule="exact"/>
        <w:rPr>
          <w:rFonts w:eastAsia="Times New Roman"/>
          <w:sz w:val="24"/>
          <w:szCs w:val="24"/>
        </w:rPr>
      </w:pPr>
    </w:p>
    <w:p w:rsidR="00417286" w:rsidRDefault="00417286">
      <w:pPr>
        <w:spacing w:line="200" w:lineRule="exact"/>
        <w:rPr>
          <w:rFonts w:eastAsia="Times New Roman"/>
          <w:sz w:val="24"/>
          <w:szCs w:val="24"/>
        </w:rPr>
      </w:pPr>
    </w:p>
    <w:p w:rsidR="00417286" w:rsidRDefault="00417286">
      <w:pPr>
        <w:spacing w:line="335" w:lineRule="exact"/>
        <w:rPr>
          <w:rFonts w:eastAsia="Times New Roman"/>
          <w:sz w:val="24"/>
          <w:szCs w:val="24"/>
        </w:rPr>
      </w:pPr>
    </w:p>
    <w:p w:rsidR="00417286" w:rsidRDefault="00690F66">
      <w:pPr>
        <w:tabs>
          <w:tab w:val="left" w:pos="4060"/>
          <w:tab w:val="left" w:pos="8900"/>
        </w:tabs>
        <w:rPr>
          <w:sz w:val="20"/>
          <w:szCs w:val="20"/>
        </w:rPr>
      </w:pPr>
      <w:r>
        <w:rPr>
          <w:rFonts w:eastAsia="Times New Roman"/>
          <w:sz w:val="20"/>
          <w:szCs w:val="20"/>
        </w:rPr>
        <w:t>Department of CSE</w:t>
      </w:r>
      <w:bookmarkStart w:id="1" w:name="_GoBack"/>
      <w:bookmarkEnd w:id="1"/>
      <w:r>
        <w:rPr>
          <w:rFonts w:eastAsia="Times New Roman"/>
          <w:sz w:val="20"/>
          <w:szCs w:val="20"/>
        </w:rPr>
        <w:t>, RNSIT</w:t>
      </w:r>
      <w:r>
        <w:rPr>
          <w:sz w:val="20"/>
          <w:szCs w:val="20"/>
        </w:rPr>
        <w:tab/>
      </w:r>
      <w:r>
        <w:rPr>
          <w:rFonts w:eastAsia="Times New Roman"/>
          <w:sz w:val="20"/>
          <w:szCs w:val="20"/>
        </w:rPr>
        <w:t>2018-2019</w:t>
      </w:r>
      <w:r>
        <w:rPr>
          <w:sz w:val="20"/>
          <w:szCs w:val="20"/>
        </w:rPr>
        <w:tab/>
      </w:r>
      <w:r>
        <w:rPr>
          <w:rFonts w:eastAsia="Times New Roman"/>
          <w:sz w:val="20"/>
          <w:szCs w:val="20"/>
        </w:rPr>
        <w:t>1</w:t>
      </w:r>
    </w:p>
    <w:sectPr w:rsidR="00417286">
      <w:type w:val="continuous"/>
      <w:pgSz w:w="11900" w:h="16838"/>
      <w:pgMar w:top="1437" w:right="1426" w:bottom="532"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286"/>
    <w:rsid w:val="00417286"/>
    <w:rsid w:val="0069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F3DA"/>
  <w15:docId w15:val="{D9EBA6F9-AF57-441E-B4BE-97EDF5C5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near_function_(calcul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og-odds" TargetMode="External"/><Relationship Id="rId5" Type="http://schemas.openxmlformats.org/officeDocument/2006/relationships/hyperlink" Target="https://en.wikipedia.org/wiki/Estimation_theory" TargetMode="External"/><Relationship Id="rId4" Type="http://schemas.openxmlformats.org/officeDocument/2006/relationships/hyperlink" Target="https://en.wikipedia.org/wiki/Regression_analys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2018-10-30T21:21:00Z</dcterms:created>
  <dcterms:modified xsi:type="dcterms:W3CDTF">2018-10-31T01:26:00Z</dcterms:modified>
</cp:coreProperties>
</file>