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C4E04C" w14:textId="77777777" w:rsidR="00683D12" w:rsidRDefault="00683D12"/>
    <w:p w14:paraId="1F327F39" w14:textId="77777777" w:rsidR="00683D12" w:rsidRDefault="00683D12" w:rsidP="00683D12">
      <w:r>
        <w:t xml:space="preserve">to offer a thorough examination of AI in healthcare that includes case studies from the real world, risk assessment, prioritizing, and mitigation </w:t>
      </w:r>
      <w:r>
        <w:t>techniques.</w:t>
      </w:r>
    </w:p>
    <w:p w14:paraId="1811E64F" w14:textId="667E87F4" w:rsidR="00683D12" w:rsidRDefault="00683D12" w:rsidP="00683D12">
      <w:r>
        <w:t xml:space="preserve"> Important</w:t>
      </w:r>
      <w:r>
        <w:t xml:space="preserve"> Points:</w:t>
      </w:r>
    </w:p>
    <w:p w14:paraId="01BD1E8C" w14:textId="77777777" w:rsidR="00683D12" w:rsidRDefault="00683D12" w:rsidP="00683D12"/>
    <w:p w14:paraId="4F499D07" w14:textId="77777777" w:rsidR="00683D12" w:rsidRDefault="00683D12" w:rsidP="00683D12">
      <w:r>
        <w:t>Identification of Risk:</w:t>
      </w:r>
    </w:p>
    <w:p w14:paraId="5619E9EA" w14:textId="77777777" w:rsidR="00683D12" w:rsidRDefault="00683D12" w:rsidP="00683D12"/>
    <w:p w14:paraId="3B2F94B8" w14:textId="77777777" w:rsidR="00683D12" w:rsidRDefault="00683D12" w:rsidP="00683D12">
      <w:r>
        <w:t>Technological risks include system failures, data quality and integrity, interpretability of models, and algorithmic bias.</w:t>
      </w:r>
    </w:p>
    <w:p w14:paraId="2B692119" w14:textId="77777777" w:rsidR="00683D12" w:rsidRDefault="00683D12" w:rsidP="00683D12">
      <w:r>
        <w:t>Operational risks include outages and system failures, as well as data quality and integrity.</w:t>
      </w:r>
    </w:p>
    <w:p w14:paraId="7B279624" w14:textId="77777777" w:rsidR="00683D12" w:rsidRDefault="00683D12" w:rsidP="00683D12">
      <w:r>
        <w:t>Human-factor risks include cybersecurity concerns and a lack of clinical skill.</w:t>
      </w:r>
    </w:p>
    <w:p w14:paraId="38B7F005" w14:textId="77777777" w:rsidR="00683D12" w:rsidRDefault="00683D12" w:rsidP="00683D12">
      <w:r>
        <w:t>Regulatory risks include laws pertaining to data security and privacy as well as moral dilemmas.</w:t>
      </w:r>
    </w:p>
    <w:p w14:paraId="037FBCEC" w14:textId="77777777" w:rsidR="00683D12" w:rsidRDefault="00683D12" w:rsidP="00683D12">
      <w:r>
        <w:t>Setting Risk Priorities:</w:t>
      </w:r>
    </w:p>
    <w:p w14:paraId="567F59B0" w14:textId="77777777" w:rsidR="00683D12" w:rsidRDefault="00683D12" w:rsidP="00683D12"/>
    <w:p w14:paraId="6EA0985D" w14:textId="77777777" w:rsidR="00683D12" w:rsidRDefault="00683D12" w:rsidP="00683D12">
      <w:r>
        <w:t>Each risk's impact and likelihood are evaluated using a risk matrix.</w:t>
      </w:r>
    </w:p>
    <w:p w14:paraId="2202296A" w14:textId="77777777" w:rsidR="00683D12" w:rsidRDefault="00683D12" w:rsidP="00683D12">
      <w:r>
        <w:t>Algorithmic bias, data integrity and quality, system failures, cybersecurity threats, data privacy and security laws, and ethical issues are among the high-priority hazards.</w:t>
      </w:r>
    </w:p>
    <w:p w14:paraId="47FB8446" w14:textId="77777777" w:rsidR="00683D12" w:rsidRDefault="00683D12" w:rsidP="00683D12">
      <w:r>
        <w:t>Strategies for Mitigation:</w:t>
      </w:r>
    </w:p>
    <w:p w14:paraId="170E572F" w14:textId="77777777" w:rsidR="00683D12" w:rsidRDefault="00683D12" w:rsidP="00683D12"/>
    <w:p w14:paraId="1C33732E" w14:textId="77777777" w:rsidR="00683D12" w:rsidRDefault="00683D12" w:rsidP="00683D12">
      <w:r>
        <w:t>Algorithmic Bias: Employ explainable AI methods, a variety of datasets, and frequent bias audits.</w:t>
      </w:r>
    </w:p>
    <w:p w14:paraId="7CD65BA9" w14:textId="77777777" w:rsidR="00683D12" w:rsidRDefault="00683D12" w:rsidP="00683D12">
      <w:r>
        <w:t>Data Integrity and Quality: Put data governance guidelines, data cleansing and validation processes, and data quality management technologies into practice.</w:t>
      </w:r>
    </w:p>
    <w:p w14:paraId="46876C30" w14:textId="77777777" w:rsidR="00683D12" w:rsidRDefault="00683D12" w:rsidP="00683D12">
      <w:r>
        <w:t>Implement redundancy, routine maintenance, disaster recovery plans, and cloud-based solutions to mitigate system failures and outages.</w:t>
      </w:r>
    </w:p>
    <w:p w14:paraId="544E48C6" w14:textId="77777777" w:rsidR="00683D12" w:rsidRDefault="00683D12" w:rsidP="00683D12">
      <w:r>
        <w:t>Strong access restrictions, frequent security audits, zero-trust security, and employee training are some of the cybersecurity threats.</w:t>
      </w:r>
    </w:p>
    <w:p w14:paraId="5A4ABDE1" w14:textId="77777777" w:rsidR="00683D12" w:rsidRDefault="00683D12" w:rsidP="00683D12">
      <w:r>
        <w:t>Regulations on Data Security and Privacy: Data minimization, privacy-by-design, compliance training, and impact studies on data privacy.</w:t>
      </w:r>
    </w:p>
    <w:p w14:paraId="00633470" w14:textId="77777777" w:rsidR="00683D12" w:rsidRDefault="00683D12" w:rsidP="00683D12">
      <w:r>
        <w:t>Ethical considerations include open communication, human oversight, and ethical standards.</w:t>
      </w:r>
    </w:p>
    <w:p w14:paraId="78DF5C0A" w14:textId="77777777" w:rsidR="00683D12" w:rsidRDefault="00683D12" w:rsidP="00683D12">
      <w:r>
        <w:t>Monitoring and Residual Risks:</w:t>
      </w:r>
    </w:p>
    <w:p w14:paraId="2BDAE40C" w14:textId="77777777" w:rsidR="00683D12" w:rsidRDefault="00683D12" w:rsidP="00683D12"/>
    <w:p w14:paraId="076B5E54" w14:textId="77777777" w:rsidR="00683D12" w:rsidRDefault="00683D12" w:rsidP="00683D12">
      <w:r>
        <w:t>Residual risks include new threats, changing rules, and unanticipated AI failures.</w:t>
      </w:r>
    </w:p>
    <w:p w14:paraId="3D0E784F" w14:textId="77777777" w:rsidR="00683D12" w:rsidRDefault="00683D12" w:rsidP="00683D12">
      <w:r>
        <w:lastRenderedPageBreak/>
        <w:t>Plan for Monitoring: Constant observation, frequent audits, preparation for handling incidents, and adjustment to new laws and technology.</w:t>
      </w:r>
    </w:p>
    <w:p w14:paraId="6F2A4696" w14:textId="77777777" w:rsidR="00683D12" w:rsidRDefault="00683D12" w:rsidP="00683D12">
      <w:r>
        <w:t>Actual Case Studies:</w:t>
      </w:r>
    </w:p>
    <w:p w14:paraId="43E2EB2B" w14:textId="77777777" w:rsidR="00683D12" w:rsidRDefault="00683D12" w:rsidP="00683D12"/>
    <w:p w14:paraId="7364A211" w14:textId="77777777" w:rsidR="00683D12" w:rsidRDefault="00683D12" w:rsidP="00683D12">
      <w:r>
        <w:t xml:space="preserve">Algorithmic Bias: AI systems have the potential to unfairly treat </w:t>
      </w:r>
      <w:proofErr w:type="gramStart"/>
      <w:r>
        <w:t>particular patient</w:t>
      </w:r>
      <w:proofErr w:type="gramEnd"/>
      <w:r>
        <w:t xml:space="preserve"> populations by reinforcing biases found in the training data.</w:t>
      </w:r>
    </w:p>
    <w:p w14:paraId="76AA5105" w14:textId="77777777" w:rsidR="00683D12" w:rsidRDefault="00683D12" w:rsidP="00683D12">
      <w:r>
        <w:t>Cybersecurity Vulnerabilities: Cyberattacks can jeopardize patient data and cause operational disruptions for healthcare businesses.</w:t>
      </w:r>
    </w:p>
    <w:p w14:paraId="7EF32DEA" w14:textId="77777777" w:rsidR="00683D12" w:rsidRDefault="00683D12" w:rsidP="00683D12">
      <w:r>
        <w:t>AI-Powered Medical Devices: Inaccurate diagnosis and treatments may result from flawed AI algorithms in medical devices.</w:t>
      </w:r>
    </w:p>
    <w:p w14:paraId="5C9A8EB0" w14:textId="52356903" w:rsidR="00683D12" w:rsidRDefault="00683D12" w:rsidP="00683D12">
      <w:r>
        <w:t>Healthcare companies can use AI to enhance patient outcomes while reducing potential drawbacks by being aware of and taking precautions against these risks.</w:t>
      </w:r>
    </w:p>
    <w:p w14:paraId="102EF304" w14:textId="77777777" w:rsidR="00683D12" w:rsidRDefault="00683D12"/>
    <w:p w14:paraId="1448DADC" w14:textId="77777777" w:rsidR="00683D12" w:rsidRDefault="00683D12"/>
    <w:p w14:paraId="483FBE32" w14:textId="742D98B9" w:rsidR="0016583C" w:rsidRDefault="00237B68">
      <w:r w:rsidRPr="00237B68">
        <w:t>Flow chart showing steps involved in U.S. Endangered Species Act (ESA) listing decisions (yellow boxes) and recovery decisions (orange boxes). Blue boxes show possible outcomes of listing decisions. Green boxes show examples of ways in which information on adaptive potential (based on genomics and other data) and other inferences from genomics can inform different steps of listing and recovery decision workflows. In this paper, we focus on how information on adaptive potential can be incorporated into models of extinction risk to improve ESA listing and recovery decisions (shown in bold red font). See text for details on how genomics and other approaches can be used to infer adaptive potential and how uncertainty in these inferences can be included in decision making.</w:t>
      </w:r>
    </w:p>
    <w:sectPr w:rsidR="00165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68"/>
    <w:rsid w:val="001460AA"/>
    <w:rsid w:val="0016583C"/>
    <w:rsid w:val="00237B68"/>
    <w:rsid w:val="004E331A"/>
    <w:rsid w:val="00646AF5"/>
    <w:rsid w:val="00683D12"/>
    <w:rsid w:val="00CB30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BB8A"/>
  <w15:chartTrackingRefBased/>
  <w15:docId w15:val="{CE77296D-887A-47C1-A930-6A3DACB3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68"/>
    <w:rPr>
      <w:rFonts w:eastAsiaTheme="majorEastAsia" w:cstheme="majorBidi"/>
      <w:color w:val="272727" w:themeColor="text1" w:themeTint="D8"/>
    </w:rPr>
  </w:style>
  <w:style w:type="paragraph" w:styleId="Title">
    <w:name w:val="Title"/>
    <w:basedOn w:val="Normal"/>
    <w:next w:val="Normal"/>
    <w:link w:val="TitleChar"/>
    <w:uiPriority w:val="10"/>
    <w:qFormat/>
    <w:rsid w:val="00237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68"/>
    <w:pPr>
      <w:spacing w:before="160"/>
      <w:jc w:val="center"/>
    </w:pPr>
    <w:rPr>
      <w:i/>
      <w:iCs/>
      <w:color w:val="404040" w:themeColor="text1" w:themeTint="BF"/>
    </w:rPr>
  </w:style>
  <w:style w:type="character" w:customStyle="1" w:styleId="QuoteChar">
    <w:name w:val="Quote Char"/>
    <w:basedOn w:val="DefaultParagraphFont"/>
    <w:link w:val="Quote"/>
    <w:uiPriority w:val="29"/>
    <w:rsid w:val="00237B68"/>
    <w:rPr>
      <w:i/>
      <w:iCs/>
      <w:color w:val="404040" w:themeColor="text1" w:themeTint="BF"/>
    </w:rPr>
  </w:style>
  <w:style w:type="paragraph" w:styleId="ListParagraph">
    <w:name w:val="List Paragraph"/>
    <w:basedOn w:val="Normal"/>
    <w:uiPriority w:val="34"/>
    <w:qFormat/>
    <w:rsid w:val="00237B68"/>
    <w:pPr>
      <w:ind w:left="720"/>
      <w:contextualSpacing/>
    </w:pPr>
  </w:style>
  <w:style w:type="character" w:styleId="IntenseEmphasis">
    <w:name w:val="Intense Emphasis"/>
    <w:basedOn w:val="DefaultParagraphFont"/>
    <w:uiPriority w:val="21"/>
    <w:qFormat/>
    <w:rsid w:val="00237B68"/>
    <w:rPr>
      <w:i/>
      <w:iCs/>
      <w:color w:val="0F4761" w:themeColor="accent1" w:themeShade="BF"/>
    </w:rPr>
  </w:style>
  <w:style w:type="paragraph" w:styleId="IntenseQuote">
    <w:name w:val="Intense Quote"/>
    <w:basedOn w:val="Normal"/>
    <w:next w:val="Normal"/>
    <w:link w:val="IntenseQuoteChar"/>
    <w:uiPriority w:val="30"/>
    <w:qFormat/>
    <w:rsid w:val="00237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B68"/>
    <w:rPr>
      <w:i/>
      <w:iCs/>
      <w:color w:val="0F4761" w:themeColor="accent1" w:themeShade="BF"/>
    </w:rPr>
  </w:style>
  <w:style w:type="character" w:styleId="IntenseReference">
    <w:name w:val="Intense Reference"/>
    <w:basedOn w:val="DefaultParagraphFont"/>
    <w:uiPriority w:val="32"/>
    <w:qFormat/>
    <w:rsid w:val="00237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1</cp:revision>
  <dcterms:created xsi:type="dcterms:W3CDTF">2024-12-05T00:21:00Z</dcterms:created>
  <dcterms:modified xsi:type="dcterms:W3CDTF">2024-12-05T01:08:00Z</dcterms:modified>
</cp:coreProperties>
</file>