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 CURRICULUM AUDIT &amp; REDESIGN</w:t>
      </w:r>
    </w:p>
    <w:p>
      <w:pPr>
        <w:jc w:val="center"/>
      </w:pPr>
      <w:r>
        <w:rPr>
          <w:i/>
          <w:sz w:val="20"/>
        </w:rPr>
        <w:t>B.Tech Computer Science &amp; Engineering (Artificial Intelligence) — placement-readiness proposal</w:t>
      </w:r>
    </w:p>
    <w:p>
      <w:r>
        <w:rPr>
          <w:b/>
        </w:rPr>
        <w:t xml:space="preserve">Institutional reference: </w:t>
      </w:r>
      <w:r>
        <w:t xml:space="preserve">IFHE / ICFAI Tech School published programme-structure webpage  |  </w:t>
      </w:r>
      <w:r>
        <w:rPr>
          <w:b/>
        </w:rPr>
        <w:t xml:space="preserve">Review date: </w:t>
      </w:r>
      <w:r>
        <w:t>24 October 2026</w:t>
      </w:r>
    </w:p>
    <w:p>
      <w:pPr>
        <w:pStyle w:val="Heading1"/>
      </w:pPr>
      <w:r>
        <w:t>Scope and evidence statement</w:t>
      </w:r>
    </w:p>
    <w:p>
      <w:r>
        <w:t>The public IFHE page is used as the official published reference. It does not establish that the displayed structure is the exact approved curriculum for the 2023–2027 batch. Accordingly, course names shown on the page are labelled published-reference information; the student's current Semester VII timetable is labelled student-provided information; and the credit-change model is a planning proposal. Credit values in that model should be reconciled with the approved batch regulations before adoption.</w:t>
      </w:r>
    </w:p>
    <w:p>
      <w:pPr>
        <w:pStyle w:val="Heading1"/>
      </w:pPr>
      <w:r>
        <w:t>1. Executive summary</w:t>
      </w:r>
    </w:p>
    <w:p>
      <w:r>
        <w:t>The recommended redesign is deliberately low-disruption: retain the core AI and computing sequence while strengthening practical assessment, coding frequency, model evaluation, deployment, collaboration and interview preparation. The proposal targets AI/GenAI engineering and software-development readiness through weekly executable labs, staged projects, timed coding practice and evidence-based assessment. It recommends rebalancing existing course time and assessment emphasis rather than adding an unapproved course or increasing the total programme credit count.</w:t>
      </w:r>
    </w:p>
    <w:p>
      <w:pPr>
        <w:pStyle w:val="Heading1"/>
      </w:pPr>
      <w:r>
        <w:t>2. Evidence base and programme map</w:t>
      </w:r>
    </w:p>
    <w:p>
      <w:r>
        <w:t>Official public source: https://www.ifheindia.org/icfai-tech-school-hyderabad/icfaitech-btech-program-structure (accessed 24 October 2026). The page has distinct tracks for CSE (Artificial Intelligence), CSE (AI &amp; Data Science), and CSE (AI &amp; Machine Learning); this report uses CSE (Artificial Intelligence) only.</w:t>
      </w:r>
    </w:p>
    <w:p>
      <w:r>
        <w:t>The published page includes foundational programming, data structures, introductory DS/AI, algorithms, databases and AI/ML areas, plus advanced electives and project/research components. It displays Semester V and VI totals of 24 credits each and lists Internship Program / Research (15 credits) and Thesis &amp; Seminar (15 credits) in both Semesters VII and VIII, with electives also shown. Because this public display does not establish the exact batch mapping or an unambiguous complete total for the user's cohort, this is a reference map rather than a definitive 2023–2027 credit audit.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Semester / area</w:t>
            </w:r>
          </w:p>
        </w:tc>
        <w:tc>
          <w:tcPr>
            <w:tcW w:type="dxa" w:w="3360"/>
            <w:vAlign w:val="center"/>
          </w:tcPr>
          <w:p>
            <w:pPr>
              <w:spacing w:after="40"/>
            </w:pPr>
            <w:r>
              <w:rPr>
                <w:sz w:val="16"/>
              </w:rPr>
              <w:t>Published or reported information</w:t>
            </w:r>
          </w:p>
        </w:tc>
        <w:tc>
          <w:tcPr>
            <w:tcW w:type="dxa" w:w="3360"/>
            <w:vAlign w:val="center"/>
          </w:tcPr>
          <w:p>
            <w:pPr>
              <w:spacing w:after="40"/>
            </w:pPr>
            <w:r>
              <w:rPr>
                <w:sz w:val="16"/>
              </w:rPr>
              <w:t>Evidence status</w:t>
            </w:r>
          </w:p>
        </w:tc>
      </w:tr>
      <w:tr>
        <w:tc>
          <w:tcPr>
            <w:tcW w:type="dxa" w:w="3360"/>
            <w:vAlign w:val="center"/>
          </w:tcPr>
          <w:p>
            <w:pPr>
              <w:spacing w:after="40"/>
            </w:pPr>
            <w:r>
              <w:rPr>
                <w:sz w:val="16"/>
              </w:rPr>
              <w:t>Semester I</w:t>
            </w:r>
          </w:p>
        </w:tc>
        <w:tc>
          <w:tcPr>
            <w:tcW w:type="dxa" w:w="3360"/>
            <w:vAlign w:val="center"/>
          </w:tcPr>
          <w:p>
            <w:pPr>
              <w:spacing w:after="40"/>
            </w:pPr>
            <w:r>
              <w:rPr>
                <w:sz w:val="16"/>
              </w:rPr>
              <w:t>ES 105 Computer Programming — 4 credits</w:t>
            </w:r>
          </w:p>
        </w:tc>
        <w:tc>
          <w:tcPr>
            <w:tcW w:type="dxa" w:w="3360"/>
            <w:vAlign w:val="center"/>
          </w:tcPr>
          <w:p>
            <w:pPr>
              <w:spacing w:after="40"/>
            </w:pPr>
            <w:r>
              <w:rPr>
                <w:sz w:val="16"/>
              </w:rPr>
              <w:t>Published public page</w:t>
            </w:r>
          </w:p>
        </w:tc>
      </w:tr>
      <w:tr>
        <w:tc>
          <w:tcPr>
            <w:tcW w:type="dxa" w:w="3360"/>
            <w:vAlign w:val="center"/>
          </w:tcPr>
          <w:p>
            <w:pPr>
              <w:spacing w:after="40"/>
            </w:pPr>
            <w:r>
              <w:rPr>
                <w:sz w:val="16"/>
              </w:rPr>
              <w:t>Semester II</w:t>
            </w:r>
          </w:p>
        </w:tc>
        <w:tc>
          <w:tcPr>
            <w:tcW w:type="dxa" w:w="3360"/>
            <w:vAlign w:val="center"/>
          </w:tcPr>
          <w:p>
            <w:pPr>
              <w:spacing w:after="40"/>
            </w:pPr>
            <w:r>
              <w:rPr>
                <w:sz w:val="16"/>
              </w:rPr>
              <w:t>ES 106 Data Structures — 4 credits; ES 107 Introduction to DS and AI — 3 credits</w:t>
            </w:r>
          </w:p>
        </w:tc>
        <w:tc>
          <w:tcPr>
            <w:tcW w:type="dxa" w:w="3360"/>
            <w:vAlign w:val="center"/>
          </w:tcPr>
          <w:p>
            <w:pPr>
              <w:spacing w:after="40"/>
            </w:pPr>
            <w:r>
              <w:rPr>
                <w:sz w:val="16"/>
              </w:rPr>
              <w:t>Published public page</w:t>
            </w:r>
          </w:p>
        </w:tc>
      </w:tr>
      <w:tr>
        <w:tc>
          <w:tcPr>
            <w:tcW w:type="dxa" w:w="3360"/>
            <w:vAlign w:val="center"/>
          </w:tcPr>
          <w:p>
            <w:pPr>
              <w:spacing w:after="40"/>
            </w:pPr>
            <w:r>
              <w:rPr>
                <w:sz w:val="16"/>
              </w:rPr>
              <w:t>Semester V</w:t>
            </w:r>
          </w:p>
        </w:tc>
        <w:tc>
          <w:tcPr>
            <w:tcW w:type="dxa" w:w="3360"/>
            <w:vAlign w:val="center"/>
          </w:tcPr>
          <w:p>
            <w:pPr>
              <w:spacing w:after="40"/>
            </w:pPr>
            <w:r>
              <w:rPr>
                <w:sz w:val="16"/>
              </w:rPr>
              <w:t>Published total shown as 24 credits</w:t>
            </w:r>
          </w:p>
        </w:tc>
        <w:tc>
          <w:tcPr>
            <w:tcW w:type="dxa" w:w="3360"/>
            <w:vAlign w:val="center"/>
          </w:tcPr>
          <w:p>
            <w:pPr>
              <w:spacing w:after="40"/>
            </w:pPr>
            <w:r>
              <w:rPr>
                <w:sz w:val="16"/>
              </w:rPr>
              <w:t>Published public page; batch mapping unverified</w:t>
            </w:r>
          </w:p>
        </w:tc>
      </w:tr>
      <w:tr>
        <w:tc>
          <w:tcPr>
            <w:tcW w:type="dxa" w:w="3360"/>
            <w:vAlign w:val="center"/>
          </w:tcPr>
          <w:p>
            <w:pPr>
              <w:spacing w:after="40"/>
            </w:pPr>
            <w:r>
              <w:rPr>
                <w:sz w:val="16"/>
              </w:rPr>
              <w:t>Semester VI</w:t>
            </w:r>
          </w:p>
        </w:tc>
        <w:tc>
          <w:tcPr>
            <w:tcW w:type="dxa" w:w="3360"/>
            <w:vAlign w:val="center"/>
          </w:tcPr>
          <w:p>
            <w:pPr>
              <w:spacing w:after="40"/>
            </w:pPr>
            <w:r>
              <w:rPr>
                <w:sz w:val="16"/>
              </w:rPr>
              <w:t>Published total shown as 24 credits</w:t>
            </w:r>
          </w:p>
        </w:tc>
        <w:tc>
          <w:tcPr>
            <w:tcW w:type="dxa" w:w="3360"/>
            <w:vAlign w:val="center"/>
          </w:tcPr>
          <w:p>
            <w:pPr>
              <w:spacing w:after="40"/>
            </w:pPr>
            <w:r>
              <w:rPr>
                <w:sz w:val="16"/>
              </w:rPr>
              <w:t>Published public page; batch mapping unverified</w:t>
            </w:r>
          </w:p>
        </w:tc>
      </w:tr>
      <w:tr>
        <w:tc>
          <w:tcPr>
            <w:tcW w:type="dxa" w:w="3360"/>
            <w:vAlign w:val="center"/>
          </w:tcPr>
          <w:p>
            <w:pPr>
              <w:spacing w:after="40"/>
            </w:pPr>
            <w:r>
              <w:rPr>
                <w:sz w:val="16"/>
              </w:rPr>
              <w:t>Semester VII — student's timetable</w:t>
            </w:r>
          </w:p>
        </w:tc>
        <w:tc>
          <w:tcPr>
            <w:tcW w:type="dxa" w:w="3360"/>
            <w:vAlign w:val="center"/>
          </w:tcPr>
          <w:p>
            <w:pPr>
              <w:spacing w:after="40"/>
            </w:pPr>
            <w:r>
              <w:rPr>
                <w:sz w:val="16"/>
              </w:rPr>
              <w:t>CS305 Computer Vision — 3 credits / 45 hours; CS307 Cloud Computing — 4 credits / 60 hours; Human Computer Interaction — 3 credits / 45 hours; DS408 Generative AI — 3 credits / 45 hours; Introduction to Entrepreneurship — 3 credits / hours not provided. Total reported: 16 credits; 195 known hours excluding Entrepreneurship.</w:t>
            </w:r>
          </w:p>
        </w:tc>
        <w:tc>
          <w:tcPr>
            <w:tcW w:type="dxa" w:w="3360"/>
            <w:vAlign w:val="center"/>
          </w:tcPr>
          <w:p>
            <w:pPr>
              <w:spacing w:after="40"/>
            </w:pPr>
            <w:r>
              <w:rPr>
                <w:sz w:val="16"/>
              </w:rPr>
              <w:t>Student-provided timetable; not verified against official batch syllabus</w:t>
            </w:r>
          </w:p>
        </w:tc>
      </w:tr>
      <w:tr>
        <w:tc>
          <w:tcPr>
            <w:tcW w:type="dxa" w:w="3360"/>
            <w:vAlign w:val="center"/>
          </w:tcPr>
          <w:p>
            <w:pPr>
              <w:spacing w:after="40"/>
            </w:pPr>
            <w:r>
              <w:rPr>
                <w:sz w:val="16"/>
              </w:rPr>
              <w:t>Semesters VII–VIII — public page</w:t>
            </w:r>
          </w:p>
        </w:tc>
        <w:tc>
          <w:tcPr>
            <w:tcW w:type="dxa" w:w="3360"/>
            <w:vAlign w:val="center"/>
          </w:tcPr>
          <w:p>
            <w:pPr>
              <w:spacing w:after="40"/>
            </w:pPr>
            <w:r>
              <w:rPr>
                <w:sz w:val="16"/>
              </w:rPr>
              <w:t>Internship Program / Research — 15 credits and Thesis &amp; Seminar — 15 credits shown for each semester; electives also shown.</w:t>
            </w:r>
          </w:p>
        </w:tc>
        <w:tc>
          <w:tcPr>
            <w:tcW w:type="dxa" w:w="3360"/>
            <w:vAlign w:val="center"/>
          </w:tcPr>
          <w:p>
            <w:pPr>
              <w:spacing w:after="40"/>
            </w:pPr>
            <w:r>
              <w:rPr>
                <w:sz w:val="16"/>
              </w:rPr>
              <w:t>Published display; exact application to user's cohort unverified</w:t>
            </w:r>
          </w:p>
        </w:tc>
      </w:tr>
    </w:tbl>
    <w:p>
      <w:pPr>
        <w:pStyle w:val="Heading1"/>
      </w:pPr>
      <w:r>
        <w:t>3. Learning-needs analysis</w:t>
      </w:r>
    </w:p>
    <w:p>
      <w:r>
        <w:t>Student-provided learning experience: Python, DSA and ML practice feels limited; DSA assessment has often been written-exam focused; ML includes mini-projects but comparatively few practical activities; evaluation metrics are taught while overfitting/generalisation are often theoretical. The student prefers a 50:50 theory/practice balance, weekly coding labs and tests, one industry-style project per semester, mock interviews, and stronger Python, DSA, ML, GenAI, full-stack and cloud skills.</w:t>
      </w:r>
    </w:p>
    <w:p>
      <w:pPr>
        <w:pStyle w:val="Heading1"/>
      </w:pPr>
      <w:r>
        <w:t>4. KEEP / UPDATE / REDUCE / ADD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Decision</w:t>
            </w:r>
          </w:p>
        </w:tc>
        <w:tc>
          <w:tcPr>
            <w:tcW w:type="dxa" w:w="3360"/>
            <w:vAlign w:val="center"/>
          </w:tcPr>
          <w:p>
            <w:pPr>
              <w:spacing w:after="40"/>
            </w:pPr>
            <w:r>
              <w:rPr>
                <w:sz w:val="16"/>
              </w:rPr>
              <w:t>Area</w:t>
            </w:r>
          </w:p>
        </w:tc>
        <w:tc>
          <w:tcPr>
            <w:tcW w:type="dxa" w:w="3360"/>
            <w:vAlign w:val="center"/>
          </w:tcPr>
          <w:p>
            <w:pPr>
              <w:spacing w:after="40"/>
            </w:pPr>
            <w:r>
              <w:rPr>
                <w:sz w:val="16"/>
              </w:rPr>
              <w:t>Recommendation</w:t>
            </w:r>
          </w:p>
        </w:tc>
      </w:tr>
      <w:tr>
        <w:tc>
          <w:tcPr>
            <w:tcW w:type="dxa" w:w="3360"/>
            <w:vAlign w:val="center"/>
          </w:tcPr>
          <w:p>
            <w:pPr>
              <w:spacing w:after="40"/>
            </w:pPr>
            <w:r>
              <w:rPr>
                <w:sz w:val="16"/>
              </w:rPr>
              <w:t>KEEP</w:t>
            </w:r>
          </w:p>
        </w:tc>
        <w:tc>
          <w:tcPr>
            <w:tcW w:type="dxa" w:w="3360"/>
            <w:vAlign w:val="center"/>
          </w:tcPr>
          <w:p>
            <w:pPr>
              <w:spacing w:after="40"/>
            </w:pPr>
            <w:r>
              <w:rPr>
                <w:sz w:val="16"/>
              </w:rPr>
              <w:t>Programming, Data Structures, Algorithms, DBMS, ML, Predictive Analytics, Deep Learning, NLP, Computer Vision</w:t>
            </w:r>
          </w:p>
        </w:tc>
        <w:tc>
          <w:tcPr>
            <w:tcW w:type="dxa" w:w="3360"/>
            <w:vAlign w:val="center"/>
          </w:tcPr>
          <w:p>
            <w:pPr>
              <w:spacing w:after="40"/>
            </w:pPr>
            <w:r>
              <w:rPr>
                <w:sz w:val="16"/>
              </w:rPr>
              <w:t>Retain core foundations and the sequence; these are relevant to both AI and software roles.</w:t>
            </w:r>
          </w:p>
        </w:tc>
      </w:tr>
      <w:tr>
        <w:tc>
          <w:tcPr>
            <w:tcW w:type="dxa" w:w="3360"/>
            <w:vAlign w:val="center"/>
          </w:tcPr>
          <w:p>
            <w:pPr>
              <w:spacing w:after="40"/>
            </w:pPr>
            <w:r>
              <w:rPr>
                <w:sz w:val="16"/>
              </w:rPr>
              <w:t>UPDATE</w:t>
            </w:r>
          </w:p>
        </w:tc>
        <w:tc>
          <w:tcPr>
            <w:tcW w:type="dxa" w:w="3360"/>
            <w:vAlign w:val="center"/>
          </w:tcPr>
          <w:p>
            <w:pPr>
              <w:spacing w:after="40"/>
            </w:pPr>
            <w:r>
              <w:rPr>
                <w:sz w:val="16"/>
              </w:rPr>
              <w:t>Programming and DSA</w:t>
            </w:r>
          </w:p>
        </w:tc>
        <w:tc>
          <w:tcPr>
            <w:tcW w:type="dxa" w:w="3360"/>
            <w:vAlign w:val="center"/>
          </w:tcPr>
          <w:p>
            <w:pPr>
              <w:spacing w:after="40"/>
            </w:pPr>
            <w:r>
              <w:rPr>
                <w:sz w:val="16"/>
              </w:rPr>
              <w:t>Add weekly executable exercises, timed coding tasks, edge-case tests, debugging and explanations of time/space complexity; scaffold dynamic programming.</w:t>
            </w:r>
          </w:p>
        </w:tc>
      </w:tr>
      <w:tr>
        <w:tc>
          <w:tcPr>
            <w:tcW w:type="dxa" w:w="3360"/>
            <w:vAlign w:val="center"/>
          </w:tcPr>
          <w:p>
            <w:pPr>
              <w:spacing w:after="40"/>
            </w:pPr>
            <w:r>
              <w:rPr>
                <w:sz w:val="16"/>
              </w:rPr>
              <w:t>UPDATE</w:t>
            </w:r>
          </w:p>
        </w:tc>
        <w:tc>
          <w:tcPr>
            <w:tcW w:type="dxa" w:w="3360"/>
            <w:vAlign w:val="center"/>
          </w:tcPr>
          <w:p>
            <w:pPr>
              <w:spacing w:after="40"/>
            </w:pPr>
            <w:r>
              <w:rPr>
                <w:sz w:val="16"/>
              </w:rPr>
              <w:t>ML and Predictive Analytics</w:t>
            </w:r>
          </w:p>
        </w:tc>
        <w:tc>
          <w:tcPr>
            <w:tcW w:type="dxa" w:w="3360"/>
            <w:vAlign w:val="center"/>
          </w:tcPr>
          <w:p>
            <w:pPr>
              <w:spacing w:after="40"/>
            </w:pPr>
            <w:r>
              <w:rPr>
                <w:sz w:val="16"/>
              </w:rPr>
              <w:t>Require reproducible train/validation/test splits, baseline comparisons, metric selection, confusion matrix, overfitting experiments and error analysis.</w:t>
            </w:r>
          </w:p>
        </w:tc>
      </w:tr>
      <w:tr>
        <w:tc>
          <w:tcPr>
            <w:tcW w:type="dxa" w:w="3360"/>
            <w:vAlign w:val="center"/>
          </w:tcPr>
          <w:p>
            <w:pPr>
              <w:spacing w:after="40"/>
            </w:pPr>
            <w:r>
              <w:rPr>
                <w:sz w:val="16"/>
              </w:rPr>
              <w:t>UPDATE</w:t>
            </w:r>
          </w:p>
        </w:tc>
        <w:tc>
          <w:tcPr>
            <w:tcW w:type="dxa" w:w="3360"/>
            <w:vAlign w:val="center"/>
          </w:tcPr>
          <w:p>
            <w:pPr>
              <w:spacing w:after="40"/>
            </w:pPr>
            <w:r>
              <w:rPr>
                <w:sz w:val="16"/>
              </w:rPr>
              <w:t>Computer Vision</w:t>
            </w:r>
          </w:p>
        </w:tc>
        <w:tc>
          <w:tcPr>
            <w:tcW w:type="dxa" w:w="3360"/>
            <w:vAlign w:val="center"/>
          </w:tcPr>
          <w:p>
            <w:pPr>
              <w:spacing w:after="40"/>
            </w:pPr>
            <w:r>
              <w:rPr>
                <w:sz w:val="16"/>
              </w:rPr>
              <w:t>Use practical image processing, classification and object-detection work; document data quality, limitations and ethical risks.</w:t>
            </w:r>
          </w:p>
        </w:tc>
      </w:tr>
      <w:tr>
        <w:tc>
          <w:tcPr>
            <w:tcW w:type="dxa" w:w="3360"/>
            <w:vAlign w:val="center"/>
          </w:tcPr>
          <w:p>
            <w:pPr>
              <w:spacing w:after="40"/>
            </w:pPr>
            <w:r>
              <w:rPr>
                <w:sz w:val="16"/>
              </w:rPr>
              <w:t>UPDATE</w:t>
            </w:r>
          </w:p>
        </w:tc>
        <w:tc>
          <w:tcPr>
            <w:tcW w:type="dxa" w:w="3360"/>
            <w:vAlign w:val="center"/>
          </w:tcPr>
          <w:p>
            <w:pPr>
              <w:spacing w:after="40"/>
            </w:pPr>
            <w:r>
              <w:rPr>
                <w:sz w:val="16"/>
              </w:rPr>
              <w:t>GenAI</w:t>
            </w:r>
          </w:p>
        </w:tc>
        <w:tc>
          <w:tcPr>
            <w:tcW w:type="dxa" w:w="3360"/>
            <w:vAlign w:val="center"/>
          </w:tcPr>
          <w:p>
            <w:pPr>
              <w:spacing w:after="40"/>
            </w:pPr>
            <w:r>
              <w:rPr>
                <w:sz w:val="16"/>
              </w:rPr>
              <w:t>Build on reported prompt/API/LLM/RAG exposure with retrieval-quality tests, grounding checks, unsupported-answer tests, tool/API error handling and evaluation.</w:t>
            </w:r>
          </w:p>
        </w:tc>
      </w:tr>
      <w:tr>
        <w:tc>
          <w:tcPr>
            <w:tcW w:type="dxa" w:w="3360"/>
            <w:vAlign w:val="center"/>
          </w:tcPr>
          <w:p>
            <w:pPr>
              <w:spacing w:after="40"/>
            </w:pPr>
            <w:r>
              <w:rPr>
                <w:sz w:val="16"/>
              </w:rPr>
              <w:t>UPDATE</w:t>
            </w:r>
          </w:p>
        </w:tc>
        <w:tc>
          <w:tcPr>
            <w:tcW w:type="dxa" w:w="3360"/>
            <w:vAlign w:val="center"/>
          </w:tcPr>
          <w:p>
            <w:pPr>
              <w:spacing w:after="40"/>
            </w:pPr>
            <w:r>
              <w:rPr>
                <w:sz w:val="16"/>
              </w:rPr>
              <w:t>Cloud and software engineering</w:t>
            </w:r>
          </w:p>
        </w:tc>
        <w:tc>
          <w:tcPr>
            <w:tcW w:type="dxa" w:w="3360"/>
            <w:vAlign w:val="center"/>
          </w:tcPr>
          <w:p>
            <w:pPr>
              <w:spacing w:after="40"/>
            </w:pPr>
            <w:r>
              <w:rPr>
                <w:sz w:val="16"/>
              </w:rPr>
              <w:t>Include API deployment, access permissions, automated tests, CI/CD, logs and a rollback/fallback note within existing coursework.</w:t>
            </w:r>
          </w:p>
        </w:tc>
      </w:tr>
      <w:tr>
        <w:tc>
          <w:tcPr>
            <w:tcW w:type="dxa" w:w="3360"/>
            <w:vAlign w:val="center"/>
          </w:tcPr>
          <w:p>
            <w:pPr>
              <w:spacing w:after="40"/>
            </w:pPr>
            <w:r>
              <w:rPr>
                <w:sz w:val="16"/>
              </w:rPr>
              <w:t>REDUCE</w:t>
            </w:r>
          </w:p>
        </w:tc>
        <w:tc>
          <w:tcPr>
            <w:tcW w:type="dxa" w:w="3360"/>
            <w:vAlign w:val="center"/>
          </w:tcPr>
          <w:p>
            <w:pPr>
              <w:spacing w:after="40"/>
            </w:pPr>
            <w:r>
              <w:rPr>
                <w:sz w:val="16"/>
              </w:rPr>
              <w:t>Repeated recall-only assessments and duplicated theory-heavy tasks</w:t>
            </w:r>
          </w:p>
        </w:tc>
        <w:tc>
          <w:tcPr>
            <w:tcW w:type="dxa" w:w="3360"/>
            <w:vAlign w:val="center"/>
          </w:tcPr>
          <w:p>
            <w:pPr>
              <w:spacing w:after="40"/>
            </w:pPr>
            <w:r>
              <w:rPr>
                <w:sz w:val="16"/>
              </w:rPr>
              <w:t>Reduce repetition where learning outcomes overlap; preserve core concepts and use freed assessment time for implementation, debugging and explanation.</w:t>
            </w:r>
          </w:p>
        </w:tc>
      </w:tr>
      <w:tr>
        <w:tc>
          <w:tcPr>
            <w:tcW w:type="dxa" w:w="3360"/>
            <w:vAlign w:val="center"/>
          </w:tcPr>
          <w:p>
            <w:pPr>
              <w:spacing w:after="40"/>
            </w:pPr>
            <w:r>
              <w:rPr>
                <w:sz w:val="16"/>
              </w:rPr>
              <w:t>REDUCE</w:t>
            </w:r>
          </w:p>
        </w:tc>
        <w:tc>
          <w:tcPr>
            <w:tcW w:type="dxa" w:w="3360"/>
            <w:vAlign w:val="center"/>
          </w:tcPr>
          <w:p>
            <w:pPr>
              <w:spacing w:after="40"/>
            </w:pPr>
            <w:r>
              <w:rPr>
                <w:sz w:val="16"/>
              </w:rPr>
              <w:t>Unstructured one-off practicals that only reward completion</w:t>
            </w:r>
          </w:p>
        </w:tc>
        <w:tc>
          <w:tcPr>
            <w:tcW w:type="dxa" w:w="3360"/>
            <w:vAlign w:val="center"/>
          </w:tcPr>
          <w:p>
            <w:pPr>
              <w:spacing w:after="40"/>
            </w:pPr>
            <w:r>
              <w:rPr>
                <w:sz w:val="16"/>
              </w:rPr>
              <w:t>Replace some completion-only marks with test evidence, reproducibility, code review and reflection; do not reduce essential laboratory outcomes.</w:t>
            </w:r>
          </w:p>
        </w:tc>
      </w:tr>
      <w:tr>
        <w:tc>
          <w:tcPr>
            <w:tcW w:type="dxa" w:w="3360"/>
            <w:vAlign w:val="center"/>
          </w:tcPr>
          <w:p>
            <w:pPr>
              <w:spacing w:after="40"/>
            </w:pPr>
            <w:r>
              <w:rPr>
                <w:sz w:val="16"/>
              </w:rPr>
              <w:t>ADD</w:t>
            </w:r>
          </w:p>
        </w:tc>
        <w:tc>
          <w:tcPr>
            <w:tcW w:type="dxa" w:w="3360"/>
            <w:vAlign w:val="center"/>
          </w:tcPr>
          <w:p>
            <w:pPr>
              <w:spacing w:after="40"/>
            </w:pPr>
            <w:r>
              <w:rPr>
                <w:sz w:val="16"/>
              </w:rPr>
              <w:t>Structured placement-readiness practice</w:t>
            </w:r>
          </w:p>
        </w:tc>
        <w:tc>
          <w:tcPr>
            <w:tcW w:type="dxa" w:w="3360"/>
            <w:vAlign w:val="center"/>
          </w:tcPr>
          <w:p>
            <w:pPr>
              <w:spacing w:after="40"/>
            </w:pPr>
            <w:r>
              <w:rPr>
                <w:sz w:val="16"/>
              </w:rPr>
              <w:t>Introduce staged coding/aptitude practice, mock interviews, Git/GitHub, teamwork and project demonstration from Year 2 or 3.</w:t>
            </w:r>
          </w:p>
        </w:tc>
      </w:tr>
      <w:tr>
        <w:tc>
          <w:tcPr>
            <w:tcW w:type="dxa" w:w="3360"/>
            <w:vAlign w:val="center"/>
          </w:tcPr>
          <w:p>
            <w:pPr>
              <w:spacing w:after="40"/>
            </w:pPr>
            <w:r>
              <w:rPr>
                <w:sz w:val="16"/>
              </w:rPr>
              <w:t>ADD</w:t>
            </w:r>
          </w:p>
        </w:tc>
        <w:tc>
          <w:tcPr>
            <w:tcW w:type="dxa" w:w="3360"/>
            <w:vAlign w:val="center"/>
          </w:tcPr>
          <w:p>
            <w:pPr>
              <w:spacing w:after="40"/>
            </w:pPr>
            <w:r>
              <w:rPr>
                <w:sz w:val="16"/>
              </w:rPr>
              <w:t>Capstone-style workflow project</w:t>
            </w:r>
          </w:p>
        </w:tc>
        <w:tc>
          <w:tcPr>
            <w:tcW w:type="dxa" w:w="3360"/>
            <w:vAlign w:val="center"/>
          </w:tcPr>
          <w:p>
            <w:pPr>
              <w:spacing w:after="40"/>
            </w:pPr>
            <w:r>
              <w:rPr>
                <w:sz w:val="16"/>
              </w:rPr>
              <w:t>Use the Task 1 request workflow as a proposed lab/capstone with validation, role-based authorization, status tracking, audit trail, exception handling and fallback.</w:t>
            </w:r>
          </w:p>
        </w:tc>
      </w:tr>
    </w:tbl>
    <w:p>
      <w:pPr>
        <w:pStyle w:val="Heading1"/>
      </w:pPr>
      <w:r>
        <w:t>5. Ten specific reasons supporting the recommendations</w:t>
      </w:r>
    </w:p>
    <w:p>
      <w:r>
        <w:t>1. Entry-level software work expects implementation skills in data structures, algorithms and complexity, not definitions alone.</w:t>
      </w:r>
    </w:p>
    <w:p>
      <w:r>
        <w:t>2. Written-only DSA assessment may not reveal whether a student can implement, debug and test a solution.</w:t>
      </w:r>
    </w:p>
    <w:p>
      <w:r>
        <w:t>3. Regular coding tests create repeated retrieval and practice rather than concentrating implementation into one final assessment.</w:t>
      </w:r>
    </w:p>
    <w:p>
      <w:r>
        <w:t>4. Correct data splits and metric choice are essential to avoid misleading ML performance claims.</w:t>
      </w:r>
    </w:p>
    <w:p>
      <w:r>
        <w:t>5. Overfitting and generalisation are easier to understand through controlled experiments and error analysis.</w:t>
      </w:r>
    </w:p>
    <w:p>
      <w:r>
        <w:t>6. Computer Vision outcomes should include working image-processing and classification/detection implementations.</w:t>
      </w:r>
    </w:p>
    <w:p>
      <w:r>
        <w:t>7. GenAI systems need grounding, retrieval evaluation, unsupported-answer checks and failure handling.</w:t>
      </w:r>
    </w:p>
    <w:p>
      <w:r>
        <w:t>8. Public software/AI job descriptions reference testing, collaboration, code quality and deployment; these should appear in assessed projects.</w:t>
      </w:r>
    </w:p>
    <w:p>
      <w:r>
        <w:t>9. Graduate feedback reported limited practical exposure and insufficient structured interview preparation; the proposal responds to that single respondent's experience.</w:t>
      </w:r>
    </w:p>
    <w:p>
      <w:r>
        <w:t>10. Reducing duplicated recall assessment can free time for applied learning without automatically increasing total credits; any actual change requires institutional approval.</w:t>
      </w:r>
    </w:p>
    <w:p>
      <w:pPr>
        <w:pStyle w:val="Heading1"/>
      </w:pPr>
      <w:r>
        <w:t>6. Job-description comparison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Public role / source</w:t>
            </w:r>
          </w:p>
        </w:tc>
        <w:tc>
          <w:tcPr>
            <w:tcW w:type="dxa" w:w="3360"/>
            <w:vAlign w:val="center"/>
          </w:tcPr>
          <w:p>
            <w:pPr>
              <w:spacing w:after="40"/>
            </w:pPr>
            <w:r>
              <w:rPr>
                <w:sz w:val="16"/>
              </w:rPr>
              <w:t>Skills or expectations noted in the reviewed posting</w:t>
            </w:r>
          </w:p>
        </w:tc>
        <w:tc>
          <w:tcPr>
            <w:tcW w:type="dxa" w:w="3360"/>
            <w:vAlign w:val="center"/>
          </w:tcPr>
          <w:p>
            <w:pPr>
              <w:spacing w:after="40"/>
            </w:pPr>
            <w:r>
              <w:rPr>
                <w:sz w:val="16"/>
              </w:rPr>
              <w:t>Curriculum implication</w:t>
            </w:r>
          </w:p>
        </w:tc>
      </w:tr>
      <w:tr>
        <w:tc>
          <w:tcPr>
            <w:tcW w:type="dxa" w:w="3360"/>
            <w:vAlign w:val="center"/>
          </w:tcPr>
          <w:p>
            <w:pPr>
              <w:spacing w:after="40"/>
            </w:pPr>
            <w:r>
              <w:rPr>
                <w:sz w:val="16"/>
              </w:rPr>
              <w:t>Amazon — Software Development Engineer I, Hyderabad</w:t>
              <w:br/>
              <w:t>https://www.amazon.jobs/en/jobs/10580008/software-development-engineer-i</w:t>
            </w:r>
          </w:p>
        </w:tc>
        <w:tc>
          <w:tcPr>
            <w:tcW w:type="dxa" w:w="3360"/>
            <w:vAlign w:val="center"/>
          </w:tcPr>
          <w:p>
            <w:pPr>
              <w:spacing w:after="40"/>
            </w:pPr>
            <w:r>
              <w:rPr>
                <w:sz w:val="16"/>
              </w:rPr>
              <w:t>Software lifecycle, tested code, data structures/algorithms, complexity trade-offs, code review, deployment and responsible use of GenAI.</w:t>
            </w:r>
          </w:p>
        </w:tc>
        <w:tc>
          <w:tcPr>
            <w:tcW w:type="dxa" w:w="3360"/>
            <w:vAlign w:val="center"/>
          </w:tcPr>
          <w:p>
            <w:pPr>
              <w:spacing w:after="40"/>
            </w:pPr>
            <w:r>
              <w:rPr>
                <w:sz w:val="16"/>
              </w:rPr>
              <w:t>Timed coding practice, testing, complexity analysis, software lifecycle and teamwork.</w:t>
            </w:r>
          </w:p>
        </w:tc>
      </w:tr>
      <w:tr>
        <w:tc>
          <w:tcPr>
            <w:tcW w:type="dxa" w:w="3360"/>
            <w:vAlign w:val="center"/>
          </w:tcPr>
          <w:p>
            <w:pPr>
              <w:spacing w:after="40"/>
            </w:pPr>
            <w:r>
              <w:rPr>
                <w:sz w:val="16"/>
              </w:rPr>
              <w:t>Cisco — Software Engineer (AI), Bengaluru</w:t>
              <w:br/>
              <w:t>https://talentbridge.cisco.com/en/jobs/india?jobId=55662</w:t>
            </w:r>
          </w:p>
        </w:tc>
        <w:tc>
          <w:tcPr>
            <w:tcW w:type="dxa" w:w="3360"/>
            <w:vAlign w:val="center"/>
          </w:tcPr>
          <w:p>
            <w:pPr>
              <w:spacing w:after="40"/>
            </w:pPr>
            <w:r>
              <w:rPr>
                <w:sz w:val="16"/>
              </w:rPr>
              <w:t>Listing reviewed 24 Oct 2026; Python/Java, preprocessing, feature engineering, model evaluation, CI/CD and collaboration.</w:t>
            </w:r>
          </w:p>
        </w:tc>
        <w:tc>
          <w:tcPr>
            <w:tcW w:type="dxa" w:w="3360"/>
            <w:vAlign w:val="center"/>
          </w:tcPr>
          <w:p>
            <w:pPr>
              <w:spacing w:after="40"/>
            </w:pPr>
            <w:r>
              <w:rPr>
                <w:sz w:val="16"/>
              </w:rPr>
              <w:t>Applied ML experiments, programming, reproducibility and deployment.</w:t>
            </w:r>
          </w:p>
        </w:tc>
      </w:tr>
      <w:tr>
        <w:tc>
          <w:tcPr>
            <w:tcW w:type="dxa" w:w="3360"/>
            <w:vAlign w:val="center"/>
          </w:tcPr>
          <w:p>
            <w:pPr>
              <w:spacing w:after="40"/>
            </w:pPr>
            <w:r>
              <w:rPr>
                <w:sz w:val="16"/>
              </w:rPr>
              <w:t>Wipro — AI Engineer L1</w:t>
              <w:br/>
              <w:t>https://careers.wipro.com/job/AI-ENGINEER-L1/208281-en_US/</w:t>
            </w:r>
          </w:p>
        </w:tc>
        <w:tc>
          <w:tcPr>
            <w:tcW w:type="dxa" w:w="3360"/>
            <w:vAlign w:val="center"/>
          </w:tcPr>
          <w:p>
            <w:pPr>
              <w:spacing w:after="40"/>
            </w:pPr>
            <w:r>
              <w:rPr>
                <w:sz w:val="16"/>
              </w:rPr>
              <w:t>Posting reviewed 24 Oct 2026; ML/computer vision, CNNs, training/evaluation/tuning, programming and cloud familiarity; experience requirements mean it is not a pure fresher-only benchmark.</w:t>
            </w:r>
          </w:p>
        </w:tc>
        <w:tc>
          <w:tcPr>
            <w:tcW w:type="dxa" w:w="3360"/>
            <w:vAlign w:val="center"/>
          </w:tcPr>
          <w:p>
            <w:pPr>
              <w:spacing w:after="40"/>
            </w:pPr>
            <w:r>
              <w:rPr>
                <w:sz w:val="16"/>
              </w:rPr>
              <w:t>Practical ML/CV labs, evaluation and cloud integration.</w:t>
            </w:r>
          </w:p>
        </w:tc>
      </w:tr>
    </w:tbl>
    <w:p>
      <w:r>
        <w:t>These are three public job descriptions used as examples, not a comprehensive labour-market survey. Job requirements can change and the Wipro posting may require experience beyond a new graduate.</w:t>
      </w:r>
    </w:p>
    <w:p>
      <w:pPr>
        <w:pStyle w:val="Heading1"/>
      </w:pPr>
      <w:r>
        <w:t>7. Proposed 50:50 theory/practical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Subject / area</w:t>
            </w:r>
          </w:p>
        </w:tc>
        <w:tc>
          <w:tcPr>
            <w:tcW w:type="dxa" w:w="3360"/>
            <w:vAlign w:val="center"/>
          </w:tcPr>
          <w:p>
            <w:pPr>
              <w:spacing w:after="40"/>
            </w:pPr>
            <w:r>
              <w:rPr>
                <w:sz w:val="16"/>
              </w:rPr>
              <w:t>Practical component</w:t>
            </w:r>
          </w:p>
        </w:tc>
        <w:tc>
          <w:tcPr>
            <w:tcW w:type="dxa" w:w="3360"/>
            <w:vAlign w:val="center"/>
          </w:tcPr>
          <w:p>
            <w:pPr>
              <w:spacing w:after="40"/>
            </w:pPr>
            <w:r>
              <w:rPr>
                <w:sz w:val="16"/>
              </w:rPr>
              <w:t>Evidence assessed</w:t>
            </w:r>
          </w:p>
        </w:tc>
      </w:tr>
      <w:tr>
        <w:tc>
          <w:tcPr>
            <w:tcW w:type="dxa" w:w="3360"/>
            <w:vAlign w:val="center"/>
          </w:tcPr>
          <w:p>
            <w:pPr>
              <w:spacing w:after="40"/>
            </w:pPr>
            <w:r>
              <w:rPr>
                <w:sz w:val="16"/>
              </w:rPr>
              <w:t>Python / DSA / Algorithms</w:t>
            </w:r>
          </w:p>
        </w:tc>
        <w:tc>
          <w:tcPr>
            <w:tcW w:type="dxa" w:w="3360"/>
            <w:vAlign w:val="center"/>
          </w:tcPr>
          <w:p>
            <w:pPr>
              <w:spacing w:after="40"/>
            </w:pPr>
            <w:r>
              <w:rPr>
                <w:sz w:val="16"/>
              </w:rPr>
              <w:t>Weekly implementation, debugging, edge-case tests and timed problems.</w:t>
            </w:r>
          </w:p>
        </w:tc>
        <w:tc>
          <w:tcPr>
            <w:tcW w:type="dxa" w:w="3360"/>
            <w:vAlign w:val="center"/>
          </w:tcPr>
          <w:p>
            <w:pPr>
              <w:spacing w:after="40"/>
            </w:pPr>
            <w:r>
              <w:rPr>
                <w:sz w:val="16"/>
              </w:rPr>
              <w:t>Runnable code, test cases, complexity explanation and short reflection.</w:t>
            </w:r>
          </w:p>
        </w:tc>
      </w:tr>
      <w:tr>
        <w:tc>
          <w:tcPr>
            <w:tcW w:type="dxa" w:w="3360"/>
            <w:vAlign w:val="center"/>
          </w:tcPr>
          <w:p>
            <w:pPr>
              <w:spacing w:after="40"/>
            </w:pPr>
            <w:r>
              <w:rPr>
                <w:sz w:val="16"/>
              </w:rPr>
              <w:t>Machine Learning</w:t>
            </w:r>
          </w:p>
        </w:tc>
        <w:tc>
          <w:tcPr>
            <w:tcW w:type="dxa" w:w="3360"/>
            <w:vAlign w:val="center"/>
          </w:tcPr>
          <w:p>
            <w:pPr>
              <w:spacing w:after="40"/>
            </w:pPr>
            <w:r>
              <w:rPr>
                <w:sz w:val="16"/>
              </w:rPr>
              <w:t>Baseline model, correct data split, metrics, overfitting experiment and error analysis.</w:t>
            </w:r>
          </w:p>
        </w:tc>
        <w:tc>
          <w:tcPr>
            <w:tcW w:type="dxa" w:w="3360"/>
            <w:vAlign w:val="center"/>
          </w:tcPr>
          <w:p>
            <w:pPr>
              <w:spacing w:after="40"/>
            </w:pPr>
            <w:r>
              <w:rPr>
                <w:sz w:val="16"/>
              </w:rPr>
              <w:t>Notebook/script, dataset split rationale, metrics and error table.</w:t>
            </w:r>
          </w:p>
        </w:tc>
      </w:tr>
      <w:tr>
        <w:tc>
          <w:tcPr>
            <w:tcW w:type="dxa" w:w="3360"/>
            <w:vAlign w:val="center"/>
          </w:tcPr>
          <w:p>
            <w:pPr>
              <w:spacing w:after="40"/>
            </w:pPr>
            <w:r>
              <w:rPr>
                <w:sz w:val="16"/>
              </w:rPr>
              <w:t>Computer Vision</w:t>
            </w:r>
          </w:p>
        </w:tc>
        <w:tc>
          <w:tcPr>
            <w:tcW w:type="dxa" w:w="3360"/>
            <w:vAlign w:val="center"/>
          </w:tcPr>
          <w:p>
            <w:pPr>
              <w:spacing w:after="40"/>
            </w:pPr>
            <w:r>
              <w:rPr>
                <w:sz w:val="16"/>
              </w:rPr>
              <w:t>Image processing → classification → object detection → demonstration.</w:t>
            </w:r>
          </w:p>
        </w:tc>
        <w:tc>
          <w:tcPr>
            <w:tcW w:type="dxa" w:w="3360"/>
            <w:vAlign w:val="center"/>
          </w:tcPr>
          <w:p>
            <w:pPr>
              <w:spacing w:after="40"/>
            </w:pPr>
            <w:r>
              <w:rPr>
                <w:sz w:val="16"/>
              </w:rPr>
              <w:t>Working implementation, test images, evaluation and limitations.</w:t>
            </w:r>
          </w:p>
        </w:tc>
      </w:tr>
      <w:tr>
        <w:tc>
          <w:tcPr>
            <w:tcW w:type="dxa" w:w="3360"/>
            <w:vAlign w:val="center"/>
          </w:tcPr>
          <w:p>
            <w:pPr>
              <w:spacing w:after="40"/>
            </w:pPr>
            <w:r>
              <w:rPr>
                <w:sz w:val="16"/>
              </w:rPr>
              <w:t>Generative AI</w:t>
            </w:r>
          </w:p>
        </w:tc>
        <w:tc>
          <w:tcPr>
            <w:tcW w:type="dxa" w:w="3360"/>
            <w:vAlign w:val="center"/>
          </w:tcPr>
          <w:p>
            <w:pPr>
              <w:spacing w:after="40"/>
            </w:pPr>
            <w:r>
              <w:rPr>
                <w:sz w:val="16"/>
              </w:rPr>
              <w:t>RAG quality, grounding, unsupported-answer tests, API failures and safe output handling.</w:t>
            </w:r>
          </w:p>
        </w:tc>
        <w:tc>
          <w:tcPr>
            <w:tcW w:type="dxa" w:w="3360"/>
            <w:vAlign w:val="center"/>
          </w:tcPr>
          <w:p>
            <w:pPr>
              <w:spacing w:after="40"/>
            </w:pPr>
            <w:r>
              <w:rPr>
                <w:sz w:val="16"/>
              </w:rPr>
              <w:t>Prompts, outputs, evaluation cases, failures and corrections.</w:t>
            </w:r>
          </w:p>
        </w:tc>
      </w:tr>
      <w:tr>
        <w:tc>
          <w:tcPr>
            <w:tcW w:type="dxa" w:w="3360"/>
            <w:vAlign w:val="center"/>
          </w:tcPr>
          <w:p>
            <w:pPr>
              <w:spacing w:after="40"/>
            </w:pPr>
            <w:r>
              <w:rPr>
                <w:sz w:val="16"/>
              </w:rPr>
              <w:t>Cloud / Full-stack</w:t>
            </w:r>
          </w:p>
        </w:tc>
        <w:tc>
          <w:tcPr>
            <w:tcW w:type="dxa" w:w="3360"/>
            <w:vAlign w:val="center"/>
          </w:tcPr>
          <w:p>
            <w:pPr>
              <w:spacing w:after="40"/>
            </w:pPr>
            <w:r>
              <w:rPr>
                <w:sz w:val="16"/>
              </w:rPr>
              <w:t>Deploy a small API/interface with access controls, tests, CI/CD and fallback.</w:t>
            </w:r>
          </w:p>
        </w:tc>
        <w:tc>
          <w:tcPr>
            <w:tcW w:type="dxa" w:w="3360"/>
            <w:vAlign w:val="center"/>
          </w:tcPr>
          <w:p>
            <w:pPr>
              <w:spacing w:after="40"/>
            </w:pPr>
            <w:r>
              <w:rPr>
                <w:sz w:val="16"/>
              </w:rPr>
              <w:t>Live or recorded demo, deployment steps, logs and rollback/fallback note.</w:t>
            </w:r>
          </w:p>
        </w:tc>
      </w:tr>
      <w:tr>
        <w:tc>
          <w:tcPr>
            <w:tcW w:type="dxa" w:w="3360"/>
            <w:vAlign w:val="center"/>
          </w:tcPr>
          <w:p>
            <w:pPr>
              <w:spacing w:after="40"/>
            </w:pPr>
            <w:r>
              <w:rPr>
                <w:sz w:val="16"/>
              </w:rPr>
              <w:t>All project courses</w:t>
            </w:r>
          </w:p>
        </w:tc>
        <w:tc>
          <w:tcPr>
            <w:tcW w:type="dxa" w:w="3360"/>
            <w:vAlign w:val="center"/>
          </w:tcPr>
          <w:p>
            <w:pPr>
              <w:spacing w:after="40"/>
            </w:pPr>
            <w:r>
              <w:rPr>
                <w:sz w:val="16"/>
              </w:rPr>
              <w:t>Team roles, Git/GitHub, code review, weekly checkpoints and mock interview.</w:t>
            </w:r>
          </w:p>
        </w:tc>
        <w:tc>
          <w:tcPr>
            <w:tcW w:type="dxa" w:w="3360"/>
            <w:vAlign w:val="center"/>
          </w:tcPr>
          <w:p>
            <w:pPr>
              <w:spacing w:after="40"/>
            </w:pPr>
            <w:r>
              <w:rPr>
                <w:sz w:val="16"/>
              </w:rPr>
              <w:t>Repository history, contribution record, project demo and individual viva.</w:t>
            </w:r>
          </w:p>
        </w:tc>
      </w:tr>
    </w:tbl>
    <w:p>
      <w:r>
        <w:t>The 50:50 split is a recommended assessment target, not a claim about the current university marking scheme. Faculty and programme approval would be required before changing formal marks or credits.</w:t>
      </w:r>
    </w:p>
    <w:p>
      <w:pPr>
        <w:pStyle w:val="Heading1"/>
      </w:pPr>
      <w:r>
        <w:t>8. AI-assisted exercises: outputs and verification</w:t>
      </w:r>
    </w:p>
    <w:p>
      <w:r>
        <w:t>The following are completed teaching examples prepared for this report using ChatGPT as the AI assistant on 24 October 2026. Each output is recorded with its verification method; checks were performed by hand or against a small test example, not against a university production system.</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40"/>
            </w:pPr>
            <w:r>
              <w:rPr>
                <w:sz w:val="16"/>
              </w:rPr>
              <w:t>Subject</w:t>
            </w:r>
          </w:p>
        </w:tc>
        <w:tc>
          <w:tcPr>
            <w:tcW w:type="dxa" w:w="2520"/>
            <w:vAlign w:val="center"/>
          </w:tcPr>
          <w:p>
            <w:pPr>
              <w:spacing w:after="40"/>
            </w:pPr>
            <w:r>
              <w:rPr>
                <w:sz w:val="16"/>
              </w:rPr>
              <w:t>Prompt / AI-assisted output summary</w:t>
            </w:r>
          </w:p>
        </w:tc>
        <w:tc>
          <w:tcPr>
            <w:tcW w:type="dxa" w:w="2520"/>
            <w:vAlign w:val="center"/>
          </w:tcPr>
          <w:p>
            <w:pPr>
              <w:spacing w:after="40"/>
            </w:pPr>
            <w:r>
              <w:rPr>
                <w:sz w:val="16"/>
              </w:rPr>
              <w:t>Verification performed</w:t>
            </w:r>
          </w:p>
        </w:tc>
        <w:tc>
          <w:tcPr>
            <w:tcW w:type="dxa" w:w="2520"/>
            <w:vAlign w:val="center"/>
          </w:tcPr>
          <w:p>
            <w:pPr>
              <w:spacing w:after="40"/>
            </w:pPr>
            <w:r>
              <w:rPr>
                <w:sz w:val="16"/>
              </w:rPr>
              <w:t>Result</w:t>
            </w:r>
          </w:p>
        </w:tc>
      </w:tr>
      <w:tr>
        <w:tc>
          <w:tcPr>
            <w:tcW w:type="dxa" w:w="2520"/>
            <w:vAlign w:val="center"/>
          </w:tcPr>
          <w:p>
            <w:pPr>
              <w:spacing w:after="40"/>
            </w:pPr>
            <w:r>
              <w:rPr>
                <w:sz w:val="16"/>
              </w:rPr>
              <w:t>Data Structures</w:t>
            </w:r>
          </w:p>
        </w:tc>
        <w:tc>
          <w:tcPr>
            <w:tcW w:type="dxa" w:w="2520"/>
            <w:vAlign w:val="center"/>
          </w:tcPr>
          <w:p>
            <w:pPr>
              <w:spacing w:after="40"/>
            </w:pPr>
            <w:r>
              <w:rPr>
                <w:sz w:val="16"/>
              </w:rPr>
              <w:t>Prompt: explain hash collisions and suggest tests. Output: collisions occur when keys map to the same bucket; chaining stores multiple entries per bucket; test colliding keys and missing-key lookup.</w:t>
            </w:r>
          </w:p>
        </w:tc>
        <w:tc>
          <w:tcPr>
            <w:tcW w:type="dxa" w:w="2520"/>
            <w:vAlign w:val="center"/>
          </w:tcPr>
          <w:p>
            <w:pPr>
              <w:spacing w:after="40"/>
            </w:pPr>
            <w:r>
              <w:rPr>
                <w:sz w:val="16"/>
              </w:rPr>
              <w:t>Manual check: with hash(k)=k mod 5, keys 1 and 6 both map to bucket 1; chaining stores both without losing either.</w:t>
            </w:r>
          </w:p>
        </w:tc>
        <w:tc>
          <w:tcPr>
            <w:tcW w:type="dxa" w:w="2520"/>
            <w:vAlign w:val="center"/>
          </w:tcPr>
          <w:p>
            <w:pPr>
              <w:spacing w:after="40"/>
            </w:pPr>
            <w:r>
              <w:rPr>
                <w:sz w:val="16"/>
              </w:rPr>
              <w:t>Verified for the stated example.</w:t>
            </w:r>
          </w:p>
        </w:tc>
      </w:tr>
      <w:tr>
        <w:tc>
          <w:tcPr>
            <w:tcW w:type="dxa" w:w="2520"/>
            <w:vAlign w:val="center"/>
          </w:tcPr>
          <w:p>
            <w:pPr>
              <w:spacing w:after="40"/>
            </w:pPr>
            <w:r>
              <w:rPr>
                <w:sz w:val="16"/>
              </w:rPr>
              <w:t>Design &amp; Analysis of Algorithms</w:t>
            </w:r>
          </w:p>
        </w:tc>
        <w:tc>
          <w:tcPr>
            <w:tcW w:type="dxa" w:w="2520"/>
            <w:vAlign w:val="center"/>
          </w:tcPr>
          <w:p>
            <w:pPr>
              <w:spacing w:after="40"/>
            </w:pPr>
            <w:r>
              <w:rPr>
                <w:sz w:val="16"/>
              </w:rPr>
              <w:t>Prompt: trace binary search and explain complexity. Output: on sorted [2, 4, 7, 9, 12], search for 9 checks middle 7, then 9; worst-case time O(log n).</w:t>
            </w:r>
          </w:p>
        </w:tc>
        <w:tc>
          <w:tcPr>
            <w:tcW w:type="dxa" w:w="2520"/>
            <w:vAlign w:val="center"/>
          </w:tcPr>
          <w:p>
            <w:pPr>
              <w:spacing w:after="40"/>
            </w:pPr>
            <w:r>
              <w:rPr>
                <w:sz w:val="16"/>
              </w:rPr>
              <w:t>Manual trace: indices checked are 2 then 3 (0-based); empty array returns not found; singleton works; absent target terminates.</w:t>
            </w:r>
          </w:p>
        </w:tc>
        <w:tc>
          <w:tcPr>
            <w:tcW w:type="dxa" w:w="2520"/>
            <w:vAlign w:val="center"/>
          </w:tcPr>
          <w:p>
            <w:pPr>
              <w:spacing w:after="40"/>
            </w:pPr>
            <w:r>
              <w:rPr>
                <w:sz w:val="16"/>
              </w:rPr>
              <w:t>Verified for the stated examples.</w:t>
            </w:r>
          </w:p>
        </w:tc>
      </w:tr>
      <w:tr>
        <w:tc>
          <w:tcPr>
            <w:tcW w:type="dxa" w:w="2520"/>
            <w:vAlign w:val="center"/>
          </w:tcPr>
          <w:p>
            <w:pPr>
              <w:spacing w:after="40"/>
            </w:pPr>
            <w:r>
              <w:rPr>
                <w:sz w:val="16"/>
              </w:rPr>
              <w:t>DBMS</w:t>
            </w:r>
          </w:p>
        </w:tc>
        <w:tc>
          <w:tcPr>
            <w:tcW w:type="dxa" w:w="2520"/>
            <w:vAlign w:val="center"/>
          </w:tcPr>
          <w:p>
            <w:pPr>
              <w:spacing w:after="40"/>
            </w:pPr>
            <w:r>
              <w:rPr>
                <w:sz w:val="16"/>
              </w:rPr>
              <w:t>Prompt: write SQL to identify duplicate emails. Example: SELECT email, COUNT(*) FROM Users GROUP BY email HAVING COUNT(*) &gt; 1;</w:t>
            </w:r>
          </w:p>
        </w:tc>
        <w:tc>
          <w:tcPr>
            <w:tcW w:type="dxa" w:w="2520"/>
            <w:vAlign w:val="center"/>
          </w:tcPr>
          <w:p>
            <w:pPr>
              <w:spacing w:after="40"/>
            </w:pPr>
            <w:r>
              <w:rPr>
                <w:sz w:val="16"/>
              </w:rPr>
              <w:t>Test rows: a@x.com, b@x.com, a@x.com, c@x.com, b@x.com. Hand count predicts a@x.com=2 and b@x.com=2; SQL grouping logic matches.</w:t>
            </w:r>
          </w:p>
        </w:tc>
        <w:tc>
          <w:tcPr>
            <w:tcW w:type="dxa" w:w="2520"/>
            <w:vAlign w:val="center"/>
          </w:tcPr>
          <w:p>
            <w:pPr>
              <w:spacing w:after="40"/>
            </w:pPr>
            <w:r>
              <w:rPr>
                <w:sz w:val="16"/>
              </w:rPr>
              <w:t>Verified by hand against five test rows; query not claimed run on a live DB.</w:t>
            </w:r>
          </w:p>
        </w:tc>
      </w:tr>
      <w:tr>
        <w:tc>
          <w:tcPr>
            <w:tcW w:type="dxa" w:w="2520"/>
            <w:vAlign w:val="center"/>
          </w:tcPr>
          <w:p>
            <w:pPr>
              <w:spacing w:after="40"/>
            </w:pPr>
            <w:r>
              <w:rPr>
                <w:sz w:val="16"/>
              </w:rPr>
              <w:t>Machine Learning</w:t>
            </w:r>
          </w:p>
        </w:tc>
        <w:tc>
          <w:tcPr>
            <w:tcW w:type="dxa" w:w="2520"/>
            <w:vAlign w:val="center"/>
          </w:tcPr>
          <w:p>
            <w:pPr>
              <w:spacing w:after="40"/>
            </w:pPr>
            <w:r>
              <w:rPr>
                <w:sz w:val="16"/>
              </w:rPr>
              <w:t>Prompt: give a checklist for leakage and overfitting. Output: split before fitting transforms; fit preprocessing on training data only; compare train/validation metrics; keep final test set untouched.</w:t>
            </w:r>
          </w:p>
        </w:tc>
        <w:tc>
          <w:tcPr>
            <w:tcW w:type="dxa" w:w="2520"/>
            <w:vAlign w:val="center"/>
          </w:tcPr>
          <w:p>
            <w:pPr>
              <w:spacing w:after="40"/>
            </w:pPr>
            <w:r>
              <w:rPr>
                <w:sz w:val="16"/>
              </w:rPr>
              <w:t>Verification: each step matches the standard experimental logic that validation/test information must not inform training; example pipeline should fit scaler on train split only.</w:t>
            </w:r>
          </w:p>
        </w:tc>
        <w:tc>
          <w:tcPr>
            <w:tcW w:type="dxa" w:w="2520"/>
            <w:vAlign w:val="center"/>
          </w:tcPr>
          <w:p>
            <w:pPr>
              <w:spacing w:after="40"/>
            </w:pPr>
            <w:r>
              <w:rPr>
                <w:sz w:val="16"/>
              </w:rPr>
              <w:t>Conceptually verified; no model-training experiment claimed.</w:t>
            </w:r>
          </w:p>
        </w:tc>
      </w:tr>
      <w:tr>
        <w:tc>
          <w:tcPr>
            <w:tcW w:type="dxa" w:w="2520"/>
            <w:vAlign w:val="center"/>
          </w:tcPr>
          <w:p>
            <w:pPr>
              <w:spacing w:after="40"/>
            </w:pPr>
            <w:r>
              <w:rPr>
                <w:sz w:val="16"/>
              </w:rPr>
              <w:t>NLP / GenAI</w:t>
            </w:r>
          </w:p>
        </w:tc>
        <w:tc>
          <w:tcPr>
            <w:tcW w:type="dxa" w:w="2520"/>
            <w:vAlign w:val="center"/>
          </w:tcPr>
          <w:p>
            <w:pPr>
              <w:spacing w:after="40"/>
            </w:pPr>
            <w:r>
              <w:rPr>
                <w:sz w:val="16"/>
              </w:rPr>
              <w:t>Prompt: propose RAG evaluation cases. Output: supported question, answer absent from sources, conflicting source passages, irrelevant retrieval, and malformed/empty input.</w:t>
            </w:r>
          </w:p>
        </w:tc>
        <w:tc>
          <w:tcPr>
            <w:tcW w:type="dxa" w:w="2520"/>
            <w:vAlign w:val="center"/>
          </w:tcPr>
          <w:p>
            <w:pPr>
              <w:spacing w:after="40"/>
            </w:pPr>
            <w:r>
              <w:rPr>
                <w:sz w:val="16"/>
              </w:rPr>
              <w:t>Verification: each case tests a distinct failure mode; expected behavior is answer with citations when supported, abstain/qualify when unsupported, surface conflict, and handle invalid input safely.</w:t>
            </w:r>
          </w:p>
        </w:tc>
        <w:tc>
          <w:tcPr>
            <w:tcW w:type="dxa" w:w="2520"/>
            <w:vAlign w:val="center"/>
          </w:tcPr>
          <w:p>
            <w:pPr>
              <w:spacing w:after="40"/>
            </w:pPr>
            <w:r>
              <w:rPr>
                <w:sz w:val="16"/>
              </w:rPr>
              <w:t>Verified as a test design; no production RAG system claimed.</w:t>
            </w:r>
          </w:p>
        </w:tc>
      </w:tr>
    </w:tbl>
    <w:p>
      <w:r>
        <w:t>Verification boundary: these checks validate the small examples and reasoning written here. They do not prove that AI outputs are always correct or that exercises were assigned in class. The companion verification log preserves the prompt, model/date, output, check and limitation for each exercise.</w:t>
      </w:r>
    </w:p>
    <w:p>
      <w:pPr>
        <w:pStyle w:val="Heading1"/>
      </w:pPr>
      <w:r>
        <w:t>9. Credit-change proposal</w:t>
      </w:r>
    </w:p>
    <w:p>
      <w:r>
        <w:t>The public programme page did not establish a complete approved credit total for the 2023–2027 batch. For planning purposes, this proposal uses a 160-credit working baseline and reviews 36 credits, or 22.5% of the working baseline (36 ÷ 160 × 100), within the assignment's 20–25% target. The figures are a planning model to be reconciled with the approved batch regulations before adoption. These are planning numbers only, not official IFHE credit figures.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Proposed change</w:t>
            </w:r>
          </w:p>
        </w:tc>
        <w:tc>
          <w:tcPr>
            <w:tcW w:type="dxa" w:w="3360"/>
            <w:vAlign w:val="center"/>
          </w:tcPr>
          <w:p>
            <w:pPr>
              <w:spacing w:after="40"/>
            </w:pPr>
            <w:r>
              <w:rPr>
                <w:sz w:val="16"/>
              </w:rPr>
              <w:t>Credits moved</w:t>
            </w:r>
          </w:p>
        </w:tc>
        <w:tc>
          <w:tcPr>
            <w:tcW w:type="dxa" w:w="3360"/>
            <w:vAlign w:val="center"/>
          </w:tcPr>
          <w:p>
            <w:pPr>
              <w:spacing w:after="40"/>
            </w:pPr>
            <w:r>
              <w:rPr>
                <w:sz w:val="16"/>
              </w:rPr>
              <w:t>Use / safeguard</w:t>
            </w:r>
          </w:p>
        </w:tc>
      </w:tr>
      <w:tr>
        <w:tc>
          <w:tcPr>
            <w:tcW w:type="dxa" w:w="3360"/>
            <w:vAlign w:val="center"/>
          </w:tcPr>
          <w:p>
            <w:pPr>
              <w:spacing w:after="40"/>
            </w:pPr>
            <w:r>
              <w:rPr>
                <w:sz w:val="16"/>
              </w:rPr>
              <w:t>REDUCE repeated recall-heavy assessment emphasis</w:t>
            </w:r>
          </w:p>
        </w:tc>
        <w:tc>
          <w:tcPr>
            <w:tcW w:type="dxa" w:w="3360"/>
            <w:vAlign w:val="center"/>
          </w:tcPr>
          <w:p>
            <w:pPr>
              <w:spacing w:after="40"/>
            </w:pPr>
            <w:r>
              <w:rPr>
                <w:sz w:val="16"/>
              </w:rPr>
              <w:t>−6</w:t>
            </w:r>
          </w:p>
        </w:tc>
        <w:tc>
          <w:tcPr>
            <w:tcW w:type="dxa" w:w="3360"/>
            <w:vAlign w:val="center"/>
          </w:tcPr>
          <w:p>
            <w:pPr>
              <w:spacing w:after="40"/>
            </w:pPr>
            <w:r>
              <w:rPr>
                <w:sz w:val="16"/>
              </w:rPr>
              <w:t>Reduce duplicated assessment emphasis, not essential learning outcomes.</w:t>
            </w:r>
          </w:p>
        </w:tc>
      </w:tr>
      <w:tr>
        <w:tc>
          <w:tcPr>
            <w:tcW w:type="dxa" w:w="3360"/>
            <w:vAlign w:val="center"/>
          </w:tcPr>
          <w:p>
            <w:pPr>
              <w:spacing w:after="40"/>
            </w:pPr>
            <w:r>
              <w:rPr>
                <w:sz w:val="16"/>
              </w:rPr>
              <w:t>ADD/UPDATE applied labs and project evaluation</w:t>
            </w:r>
          </w:p>
        </w:tc>
        <w:tc>
          <w:tcPr>
            <w:tcW w:type="dxa" w:w="3360"/>
            <w:vAlign w:val="center"/>
          </w:tcPr>
          <w:p>
            <w:pPr>
              <w:spacing w:after="40"/>
            </w:pPr>
            <w:r>
              <w:rPr>
                <w:sz w:val="16"/>
              </w:rPr>
              <w:t>+6</w:t>
            </w:r>
          </w:p>
        </w:tc>
        <w:tc>
          <w:tcPr>
            <w:tcW w:type="dxa" w:w="3360"/>
            <w:vAlign w:val="center"/>
          </w:tcPr>
          <w:p>
            <w:pPr>
              <w:spacing w:after="40"/>
            </w:pPr>
            <w:r>
              <w:rPr>
                <w:sz w:val="16"/>
              </w:rPr>
              <w:t>Use for coding, ML/CV evaluation, API/cloud deployment, testing and project demonstration.</w:t>
            </w:r>
          </w:p>
        </w:tc>
      </w:tr>
      <w:tr>
        <w:tc>
          <w:tcPr>
            <w:tcW w:type="dxa" w:w="3360"/>
            <w:vAlign w:val="center"/>
          </w:tcPr>
          <w:p>
            <w:pPr>
              <w:spacing w:after="40"/>
            </w:pPr>
            <w:r>
              <w:rPr>
                <w:sz w:val="16"/>
              </w:rPr>
              <w:t>Net change</w:t>
            </w:r>
          </w:p>
        </w:tc>
        <w:tc>
          <w:tcPr>
            <w:tcW w:type="dxa" w:w="3360"/>
            <w:vAlign w:val="center"/>
          </w:tcPr>
          <w:p>
            <w:pPr>
              <w:spacing w:after="40"/>
            </w:pPr>
            <w:r>
              <w:rPr>
                <w:sz w:val="16"/>
              </w:rPr>
              <w:t>0</w:t>
            </w:r>
          </w:p>
        </w:tc>
        <w:tc>
          <w:tcPr>
            <w:tcW w:type="dxa" w:w="3360"/>
            <w:vAlign w:val="center"/>
          </w:tcPr>
          <w:p>
            <w:pPr>
              <w:spacing w:after="40"/>
            </w:pPr>
            <w:r>
              <w:rPr>
                <w:sz w:val="16"/>
              </w:rPr>
              <w:t>Total remains 160 in the proposed credit-allocation model; no net increase in programme credits is proposed.</w:t>
            </w:r>
          </w:p>
        </w:tc>
      </w:tr>
    </w:tbl>
    <w:p>
      <w:r>
        <w:t>Course-level credit allocation, prerequisites, accreditation and university regulations must be checked before any formal adoption. This proposal rebalances assessment emphasis and practical work; it does not claim an approved curriculum amendment.</w:t>
      </w:r>
    </w:p>
    <w:p>
      <w:pPr>
        <w:pStyle w:val="Heading1"/>
      </w:pPr>
      <w:r>
        <w:t>10. Proposed capstone: CampusFlow</w:t>
      </w:r>
    </w:p>
    <w:p>
      <w:r>
        <w:t>CampusFlow is a proposed student-service request workflow application based on Task 1. Suggested stack: FastAPI backend, SQLite database and HTML/CSS/JavaScript interface. Core features: standard form, required-field validation, duplicate detection, role-based authorization, status transitions, audit trail, notification, exception handling and manual fallback. Deliverables: requirements/process map, API, interface, test data, five test cases, test results, deployment note and individual demonstration. This is a proposal, not a claim that the application has already been implemented.</w:t>
      </w:r>
    </w:p>
    <w:p>
      <w:pPr>
        <w:pStyle w:val="Heading1"/>
      </w:pPr>
      <w:r>
        <w:t>11. Graduate feedback and limitations</w:t>
      </w:r>
    </w:p>
    <w:p>
      <w:r>
        <w:t>Anonymous graduate feedback collected 24 October 2026 from one graduate who completed the degree in 2026 and was looking for a job. The respondent felt the curriculum provided a basic foundation but was not fully aligned with industry; highlighted limited practical exposure, assignments focused on completion, insufficient real-world/team projects, GitHub/deployment and internship guidance; and recommended consistent DSA/coding, aptitude/logical-reasoning tests, mock interviews and structured practical training from Year 2 or 3. Suggested skill areas included Python, DSA, SQL, AI/ML, GenAI, full-stack, cloud, Git, CI/CD, APIs and deployment. The respondent also recommended changing the placement team's approach. This is one person's opinion, not an independently verified institutional finding. Faculty feedback could not be obtained and is explicitly recorded as unavailable.</w:t>
      </w:r>
    </w:p>
    <w:p>
      <w:r>
        <w:t>Evidence categories: IFHE public page = published reference; Semester VII subject list and learning experience = student-provided; graduate feedback = one anonymous respondent; job descriptions = public role pages; recommendations and credit numbers = proposals/illustrations.</w:t>
      </w:r>
    </w:p>
    <w:p>
      <w:pPr>
        <w:pStyle w:val="Heading1"/>
      </w:pPr>
      <w:r>
        <w:t>12. Implementation plan and measures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Phase</w:t>
            </w:r>
          </w:p>
        </w:tc>
        <w:tc>
          <w:tcPr>
            <w:tcW w:type="dxa" w:w="3360"/>
            <w:vAlign w:val="center"/>
          </w:tcPr>
          <w:p>
            <w:pPr>
              <w:spacing w:after="40"/>
            </w:pPr>
            <w:r>
              <w:rPr>
                <w:sz w:val="16"/>
              </w:rPr>
              <w:t>Action</w:t>
            </w:r>
          </w:p>
        </w:tc>
        <w:tc>
          <w:tcPr>
            <w:tcW w:type="dxa" w:w="3360"/>
            <w:vAlign w:val="center"/>
          </w:tcPr>
          <w:p>
            <w:pPr>
              <w:spacing w:after="40"/>
            </w:pPr>
            <w:r>
              <w:rPr>
                <w:sz w:val="16"/>
              </w:rPr>
              <w:t>Measure of completion</w:t>
            </w:r>
          </w:p>
        </w:tc>
      </w:tr>
      <w:tr>
        <w:tc>
          <w:tcPr>
            <w:tcW w:type="dxa" w:w="3360"/>
            <w:vAlign w:val="center"/>
          </w:tcPr>
          <w:p>
            <w:pPr>
              <w:spacing w:after="40"/>
            </w:pPr>
            <w:r>
              <w:rPr>
                <w:sz w:val="16"/>
              </w:rPr>
              <w:t>Weeks 1–2</w:t>
            </w:r>
          </w:p>
        </w:tc>
        <w:tc>
          <w:tcPr>
            <w:tcW w:type="dxa" w:w="3360"/>
            <w:vAlign w:val="center"/>
          </w:tcPr>
          <w:p>
            <w:pPr>
              <w:spacing w:after="40"/>
            </w:pPr>
            <w:r>
              <w:rPr>
                <w:sz w:val="16"/>
              </w:rPr>
              <w:t>Select one existing course and agree a practical assessment rubric with faculty.</w:t>
            </w:r>
          </w:p>
        </w:tc>
        <w:tc>
          <w:tcPr>
            <w:tcW w:type="dxa" w:w="3360"/>
            <w:vAlign w:val="center"/>
          </w:tcPr>
          <w:p>
            <w:pPr>
              <w:spacing w:after="40"/>
            </w:pPr>
            <w:r>
              <w:rPr>
                <w:sz w:val="16"/>
              </w:rPr>
              <w:t>Approved lab brief and rubric.</w:t>
            </w:r>
          </w:p>
        </w:tc>
      </w:tr>
      <w:tr>
        <w:tc>
          <w:tcPr>
            <w:tcW w:type="dxa" w:w="3360"/>
            <w:vAlign w:val="center"/>
          </w:tcPr>
          <w:p>
            <w:pPr>
              <w:spacing w:after="40"/>
            </w:pPr>
            <w:r>
              <w:rPr>
                <w:sz w:val="16"/>
              </w:rPr>
              <w:t>Weeks 3–5</w:t>
            </w:r>
          </w:p>
        </w:tc>
        <w:tc>
          <w:tcPr>
            <w:tcW w:type="dxa" w:w="3360"/>
            <w:vAlign w:val="center"/>
          </w:tcPr>
          <w:p>
            <w:pPr>
              <w:spacing w:after="40"/>
            </w:pPr>
            <w:r>
              <w:rPr>
                <w:sz w:val="16"/>
              </w:rPr>
              <w:t>Run weekly coding/experiment tasks and collect student questions.</w:t>
            </w:r>
          </w:p>
        </w:tc>
        <w:tc>
          <w:tcPr>
            <w:tcW w:type="dxa" w:w="3360"/>
            <w:vAlign w:val="center"/>
          </w:tcPr>
          <w:p>
            <w:pPr>
              <w:spacing w:after="40"/>
            </w:pPr>
            <w:r>
              <w:rPr>
                <w:sz w:val="16"/>
              </w:rPr>
              <w:t>Submission rate, test results and common error log.</w:t>
            </w:r>
          </w:p>
        </w:tc>
      </w:tr>
      <w:tr>
        <w:tc>
          <w:tcPr>
            <w:tcW w:type="dxa" w:w="3360"/>
            <w:vAlign w:val="center"/>
          </w:tcPr>
          <w:p>
            <w:pPr>
              <w:spacing w:after="40"/>
            </w:pPr>
            <w:r>
              <w:rPr>
                <w:sz w:val="16"/>
              </w:rPr>
              <w:t>Weeks 6–8</w:t>
            </w:r>
          </w:p>
        </w:tc>
        <w:tc>
          <w:tcPr>
            <w:tcW w:type="dxa" w:w="3360"/>
            <w:vAlign w:val="center"/>
          </w:tcPr>
          <w:p>
            <w:pPr>
              <w:spacing w:after="40"/>
            </w:pPr>
            <w:r>
              <w:rPr>
                <w:sz w:val="16"/>
              </w:rPr>
              <w:t>Build a small team project with Git, testing and deployment.</w:t>
            </w:r>
          </w:p>
        </w:tc>
        <w:tc>
          <w:tcPr>
            <w:tcW w:type="dxa" w:w="3360"/>
            <w:vAlign w:val="center"/>
          </w:tcPr>
          <w:p>
            <w:pPr>
              <w:spacing w:after="40"/>
            </w:pPr>
            <w:r>
              <w:rPr>
                <w:sz w:val="16"/>
              </w:rPr>
              <w:t>Working demo, repository, tests and individual contribution evidence.</w:t>
            </w:r>
          </w:p>
        </w:tc>
      </w:tr>
      <w:tr>
        <w:tc>
          <w:tcPr>
            <w:tcW w:type="dxa" w:w="3360"/>
            <w:vAlign w:val="center"/>
          </w:tcPr>
          <w:p>
            <w:pPr>
              <w:spacing w:after="40"/>
            </w:pPr>
            <w:r>
              <w:rPr>
                <w:sz w:val="16"/>
              </w:rPr>
              <w:t>Weeks 9–10</w:t>
            </w:r>
          </w:p>
        </w:tc>
        <w:tc>
          <w:tcPr>
            <w:tcW w:type="dxa" w:w="3360"/>
            <w:vAlign w:val="center"/>
          </w:tcPr>
          <w:p>
            <w:pPr>
              <w:spacing w:after="40"/>
            </w:pPr>
            <w:r>
              <w:rPr>
                <w:sz w:val="16"/>
              </w:rPr>
              <w:t>Conduct mock interview and reflect on skill gaps.</w:t>
            </w:r>
          </w:p>
        </w:tc>
        <w:tc>
          <w:tcPr>
            <w:tcW w:type="dxa" w:w="3360"/>
            <w:vAlign w:val="center"/>
          </w:tcPr>
          <w:p>
            <w:pPr>
              <w:spacing w:after="40"/>
            </w:pPr>
            <w:r>
              <w:rPr>
                <w:sz w:val="16"/>
              </w:rPr>
              <w:t>Coding/aptitude scores, feedback and individual improvement plan.</w:t>
            </w:r>
          </w:p>
        </w:tc>
      </w:tr>
      <w:tr>
        <w:tc>
          <w:tcPr>
            <w:tcW w:type="dxa" w:w="3360"/>
            <w:vAlign w:val="center"/>
          </w:tcPr>
          <w:p>
            <w:pPr>
              <w:spacing w:after="40"/>
            </w:pPr>
            <w:r>
              <w:rPr>
                <w:sz w:val="16"/>
              </w:rPr>
              <w:t>End of pilot</w:t>
            </w:r>
          </w:p>
        </w:tc>
        <w:tc>
          <w:tcPr>
            <w:tcW w:type="dxa" w:w="3360"/>
            <w:vAlign w:val="center"/>
          </w:tcPr>
          <w:p>
            <w:pPr>
              <w:spacing w:after="40"/>
            </w:pPr>
            <w:r>
              <w:rPr>
                <w:sz w:val="16"/>
              </w:rPr>
              <w:t>Compare practical performance and student feedback with the starting point.</w:t>
            </w:r>
          </w:p>
        </w:tc>
        <w:tc>
          <w:tcPr>
            <w:tcW w:type="dxa" w:w="3360"/>
            <w:vAlign w:val="center"/>
          </w:tcPr>
          <w:p>
            <w:pPr>
              <w:spacing w:after="40"/>
            </w:pPr>
            <w:r>
              <w:rPr>
                <w:sz w:val="16"/>
              </w:rPr>
              <w:t>Implementation quality, rubric scores, student feedback and workload review.</w:t>
            </w:r>
          </w:p>
        </w:tc>
      </w:tr>
    </w:tbl>
    <w:p>
      <w:pPr>
        <w:pStyle w:val="Heading1"/>
      </w:pPr>
      <w:r>
        <w:t>13. References</w:t>
      </w:r>
    </w:p>
    <w:p>
      <w:pPr>
        <w:pStyle w:val="ListBullet"/>
      </w:pPr>
      <w:r>
        <w:t>IFHE / ICFAI Tech School, B.Tech Program Structure, CSE (Artificial Intelligence) section, https://www.ifheindia.org/icfai-tech-school-hyderabad/icfaitech-btech-program-structure (accessed 24 October 2026).</w:t>
      </w:r>
    </w:p>
    <w:p>
      <w:pPr>
        <w:pStyle w:val="ListBullet"/>
      </w:pPr>
      <w:r>
        <w:t>Amazon Jobs, Software Development Engineer I, https://www.amazon.jobs/en/jobs/10580008/software-development-engineer-i (accessed 24 October 2026).</w:t>
      </w:r>
    </w:p>
    <w:p>
      <w:pPr>
        <w:pStyle w:val="ListBullet"/>
      </w:pPr>
      <w:r>
        <w:t>Cisco Talent Bridge, Software Engineer (AI), India, https://talentbridge.cisco.com/en/jobs/india?jobId=55662 (accessed 24 October 2026).</w:t>
      </w:r>
    </w:p>
    <w:p>
      <w:pPr>
        <w:pStyle w:val="ListBullet"/>
      </w:pPr>
      <w:r>
        <w:t>Wipro Careers, AI Engineer L1, https://careers.wipro.com/job/AI-ENGINEER-L1/208281-en_US/ (accessed 24 October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