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 | COLLEGE WORKFLOW INVESTIGATION</w:t>
      </w:r>
    </w:p>
    <w:p>
      <w:pPr>
        <w:jc w:val="center"/>
      </w:pPr>
      <w:r>
        <w:rPr>
          <w:i/>
          <w:sz w:val="20"/>
        </w:rPr>
        <w:t>Student administrative request workflow: process analysis and redesign</w:t>
      </w:r>
    </w:p>
    <w:p>
      <w:r>
        <w:rPr>
          <w:b/>
        </w:rPr>
        <w:t xml:space="preserve">Prepared: </w:t>
      </w:r>
      <w:r>
        <w:t xml:space="preserve">24 October 2026  |  </w:t>
      </w:r>
      <w:r>
        <w:rPr>
          <w:b/>
        </w:rPr>
        <w:t xml:space="preserve">Case status: </w:t>
      </w:r>
      <w:r>
        <w:t>Completed using generated teaching data</w:t>
      </w:r>
    </w:p>
    <w:p>
      <w:pPr>
        <w:pStyle w:val="Heading1"/>
      </w:pPr>
      <w:r>
        <w:t>Data and scope statement</w:t>
      </w:r>
    </w:p>
    <w:p>
      <w:r>
        <w:t>This report models a student administrative request workflow for process-improvement analysis. The request records, timestamps, staff roles, process times, outcomes and calculated rates are working analysis inputs, not audited institutional records. The current-state workflow is a proposed baseline for evaluation and should be confirmed with the responsible college office before operational adoption. The process is framed as a plausible student request for an academic document or record-related service; any real implementation would require permission and policy validation.</w:t>
      </w:r>
    </w:p>
    <w:p>
      <w:pPr>
        <w:pStyle w:val="Heading1"/>
      </w:pPr>
      <w:r>
        <w:t>1. Objective and process boundary</w:t>
      </w:r>
    </w:p>
    <w:p>
      <w:r>
        <w:t>Objective: map a bounded student-facing workflow, identify rework and control risks, design an improved process, specify five exception tests, and estimate net active staff time saved. The boundary starts when a student submits a request and ends when the request is completed, returned for information, rejected because authorization is missing, or escalated for manual review.</w:t>
      </w:r>
    </w:p>
    <w:p>
      <w:pPr>
        <w:pStyle w:val="Heading1"/>
      </w:pPr>
      <w:r>
        <w:t>2. Simulated current-state workflow (AS-IS)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40"/>
            </w:pPr>
            <w:r>
              <w:rPr>
                <w:sz w:val="16"/>
              </w:rPr>
              <w:t>Step</w:t>
            </w:r>
          </w:p>
        </w:tc>
        <w:tc>
          <w:tcPr>
            <w:tcW w:type="dxa" w:w="2520"/>
            <w:vAlign w:val="center"/>
          </w:tcPr>
          <w:p>
            <w:pPr>
              <w:spacing w:after="40"/>
            </w:pPr>
            <w:r>
              <w:rPr>
                <w:sz w:val="16"/>
              </w:rPr>
              <w:t>Role (assumed)</w:t>
            </w:r>
          </w:p>
        </w:tc>
        <w:tc>
          <w:tcPr>
            <w:tcW w:type="dxa" w:w="2520"/>
            <w:vAlign w:val="center"/>
          </w:tcPr>
          <w:p>
            <w:pPr>
              <w:spacing w:after="40"/>
            </w:pPr>
            <w:r>
              <w:rPr>
                <w:sz w:val="16"/>
              </w:rPr>
              <w:t>Activity / handoff</w:t>
            </w:r>
          </w:p>
        </w:tc>
        <w:tc>
          <w:tcPr>
            <w:tcW w:type="dxa" w:w="2520"/>
            <w:vAlign w:val="center"/>
          </w:tcPr>
          <w:p>
            <w:pPr>
              <w:spacing w:after="40"/>
            </w:pPr>
            <w:r>
              <w:rPr>
                <w:sz w:val="16"/>
              </w:rPr>
              <w:t>Likely failure point</w:t>
            </w:r>
          </w:p>
        </w:tc>
      </w:tr>
      <w:tr>
        <w:tc>
          <w:tcPr>
            <w:tcW w:type="dxa" w:w="2520"/>
            <w:vAlign w:val="center"/>
          </w:tcPr>
          <w:p>
            <w:pPr>
              <w:spacing w:after="40"/>
            </w:pPr>
            <w:r>
              <w:rPr>
                <w:sz w:val="16"/>
              </w:rPr>
              <w:t>1. Submit</w:t>
            </w:r>
          </w:p>
        </w:tc>
        <w:tc>
          <w:tcPr>
            <w:tcW w:type="dxa" w:w="2520"/>
            <w:vAlign w:val="center"/>
          </w:tcPr>
          <w:p>
            <w:pPr>
              <w:spacing w:after="40"/>
            </w:pPr>
            <w:r>
              <w:rPr>
                <w:sz w:val="16"/>
              </w:rPr>
              <w:t>Student</w:t>
            </w:r>
          </w:p>
        </w:tc>
        <w:tc>
          <w:tcPr>
            <w:tcW w:type="dxa" w:w="2520"/>
            <w:vAlign w:val="center"/>
          </w:tcPr>
          <w:p>
            <w:pPr>
              <w:spacing w:after="40"/>
            </w:pPr>
            <w:r>
              <w:rPr>
                <w:sz w:val="16"/>
              </w:rPr>
              <w:t>Send request type, student identifier, purpose and supporting details.</w:t>
            </w:r>
          </w:p>
        </w:tc>
        <w:tc>
          <w:tcPr>
            <w:tcW w:type="dxa" w:w="2520"/>
            <w:vAlign w:val="center"/>
          </w:tcPr>
          <w:p>
            <w:pPr>
              <w:spacing w:after="40"/>
            </w:pPr>
            <w:r>
              <w:rPr>
                <w:sz w:val="16"/>
              </w:rPr>
              <w:t>Missing fields or attachments.</w:t>
            </w:r>
          </w:p>
        </w:tc>
      </w:tr>
      <w:tr>
        <w:tc>
          <w:tcPr>
            <w:tcW w:type="dxa" w:w="2520"/>
            <w:vAlign w:val="center"/>
          </w:tcPr>
          <w:p>
            <w:pPr>
              <w:spacing w:after="40"/>
            </w:pPr>
            <w:r>
              <w:rPr>
                <w:sz w:val="16"/>
              </w:rPr>
              <w:t>2. Intake check</w:t>
            </w:r>
          </w:p>
        </w:tc>
        <w:tc>
          <w:tcPr>
            <w:tcW w:type="dxa" w:w="2520"/>
            <w:vAlign w:val="center"/>
          </w:tcPr>
          <w:p>
            <w:pPr>
              <w:spacing w:after="40"/>
            </w:pPr>
            <w:r>
              <w:rPr>
                <w:sz w:val="16"/>
              </w:rPr>
              <w:t>Administrative intake staff</w:t>
            </w:r>
          </w:p>
        </w:tc>
        <w:tc>
          <w:tcPr>
            <w:tcW w:type="dxa" w:w="2520"/>
            <w:vAlign w:val="center"/>
          </w:tcPr>
          <w:p>
            <w:pPr>
              <w:spacing w:after="40"/>
            </w:pPr>
            <w:r>
              <w:rPr>
                <w:sz w:val="16"/>
              </w:rPr>
              <w:t>Check completeness; ask student to correct incomplete requests.</w:t>
            </w:r>
          </w:p>
        </w:tc>
        <w:tc>
          <w:tcPr>
            <w:tcW w:type="dxa" w:w="2520"/>
            <w:vAlign w:val="center"/>
          </w:tcPr>
          <w:p>
            <w:pPr>
              <w:spacing w:after="40"/>
            </w:pPr>
            <w:r>
              <w:rPr>
                <w:sz w:val="16"/>
              </w:rPr>
              <w:t>Back-and-forth messages and unclear requirements.</w:t>
            </w:r>
          </w:p>
        </w:tc>
      </w:tr>
      <w:tr>
        <w:tc>
          <w:tcPr>
            <w:tcW w:type="dxa" w:w="2520"/>
            <w:vAlign w:val="center"/>
          </w:tcPr>
          <w:p>
            <w:pPr>
              <w:spacing w:after="40"/>
            </w:pPr>
            <w:r>
              <w:rPr>
                <w:sz w:val="16"/>
              </w:rPr>
              <w:t>3. Identity/authority check</w:t>
            </w:r>
          </w:p>
        </w:tc>
        <w:tc>
          <w:tcPr>
            <w:tcW w:type="dxa" w:w="2520"/>
            <w:vAlign w:val="center"/>
          </w:tcPr>
          <w:p>
            <w:pPr>
              <w:spacing w:after="40"/>
            </w:pPr>
            <w:r>
              <w:rPr>
                <w:sz w:val="16"/>
              </w:rPr>
              <w:t>Authorized staff</w:t>
            </w:r>
          </w:p>
        </w:tc>
        <w:tc>
          <w:tcPr>
            <w:tcW w:type="dxa" w:w="2520"/>
            <w:vAlign w:val="center"/>
          </w:tcPr>
          <w:p>
            <w:pPr>
              <w:spacing w:after="40"/>
            </w:pPr>
            <w:r>
              <w:rPr>
                <w:sz w:val="16"/>
              </w:rPr>
              <w:t>Confirm requester identity and whether the request is permitted.</w:t>
            </w:r>
          </w:p>
        </w:tc>
        <w:tc>
          <w:tcPr>
            <w:tcW w:type="dxa" w:w="2520"/>
            <w:vAlign w:val="center"/>
          </w:tcPr>
          <w:p>
            <w:pPr>
              <w:spacing w:after="40"/>
            </w:pPr>
            <w:r>
              <w:rPr>
                <w:sz w:val="16"/>
              </w:rPr>
              <w:t>Unauthorized request or unclear approval boundary.</w:t>
            </w:r>
          </w:p>
        </w:tc>
      </w:tr>
      <w:tr>
        <w:tc>
          <w:tcPr>
            <w:tcW w:type="dxa" w:w="2520"/>
            <w:vAlign w:val="center"/>
          </w:tcPr>
          <w:p>
            <w:pPr>
              <w:spacing w:after="40"/>
            </w:pPr>
            <w:r>
              <w:rPr>
                <w:sz w:val="16"/>
              </w:rPr>
              <w:t>4. Route</w:t>
            </w:r>
          </w:p>
        </w:tc>
        <w:tc>
          <w:tcPr>
            <w:tcW w:type="dxa" w:w="2520"/>
            <w:vAlign w:val="center"/>
          </w:tcPr>
          <w:p>
            <w:pPr>
              <w:spacing w:after="40"/>
            </w:pPr>
            <w:r>
              <w:rPr>
                <w:sz w:val="16"/>
              </w:rPr>
              <w:t>Intake staff / relevant office</w:t>
            </w:r>
          </w:p>
        </w:tc>
        <w:tc>
          <w:tcPr>
            <w:tcW w:type="dxa" w:w="2520"/>
            <w:vAlign w:val="center"/>
          </w:tcPr>
          <w:p>
            <w:pPr>
              <w:spacing w:after="40"/>
            </w:pPr>
            <w:r>
              <w:rPr>
                <w:sz w:val="16"/>
              </w:rPr>
              <w:t>Forward request to the appropriate reviewer.</w:t>
            </w:r>
          </w:p>
        </w:tc>
        <w:tc>
          <w:tcPr>
            <w:tcW w:type="dxa" w:w="2520"/>
            <w:vAlign w:val="center"/>
          </w:tcPr>
          <w:p>
            <w:pPr>
              <w:spacing w:after="40"/>
            </w:pPr>
            <w:r>
              <w:rPr>
                <w:sz w:val="16"/>
              </w:rPr>
              <w:t>Wrong routing or repeated handoffs.</w:t>
            </w:r>
          </w:p>
        </w:tc>
      </w:tr>
      <w:tr>
        <w:tc>
          <w:tcPr>
            <w:tcW w:type="dxa" w:w="2520"/>
            <w:vAlign w:val="center"/>
          </w:tcPr>
          <w:p>
            <w:pPr>
              <w:spacing w:after="40"/>
            </w:pPr>
            <w:r>
              <w:rPr>
                <w:sz w:val="16"/>
              </w:rPr>
              <w:t>5. Review/decision</w:t>
            </w:r>
          </w:p>
        </w:tc>
        <w:tc>
          <w:tcPr>
            <w:tcW w:type="dxa" w:w="2520"/>
            <w:vAlign w:val="center"/>
          </w:tcPr>
          <w:p>
            <w:pPr>
              <w:spacing w:after="40"/>
            </w:pPr>
            <w:r>
              <w:rPr>
                <w:sz w:val="16"/>
              </w:rPr>
              <w:t>Authorized reviewer</w:t>
            </w:r>
          </w:p>
        </w:tc>
        <w:tc>
          <w:tcPr>
            <w:tcW w:type="dxa" w:w="2520"/>
            <w:vAlign w:val="center"/>
          </w:tcPr>
          <w:p>
            <w:pPr>
              <w:spacing w:after="40"/>
            </w:pPr>
            <w:r>
              <w:rPr>
                <w:sz w:val="16"/>
              </w:rPr>
              <w:t>Review request and approve, reject or ask for clarification.</w:t>
            </w:r>
          </w:p>
        </w:tc>
        <w:tc>
          <w:tcPr>
            <w:tcW w:type="dxa" w:w="2520"/>
            <w:vAlign w:val="center"/>
          </w:tcPr>
          <w:p>
            <w:pPr>
              <w:spacing w:after="40"/>
            </w:pPr>
            <w:r>
              <w:rPr>
                <w:sz w:val="16"/>
              </w:rPr>
              <w:t>Waiting, inconsistent status updates.</w:t>
            </w:r>
          </w:p>
        </w:tc>
      </w:tr>
      <w:tr>
        <w:tc>
          <w:tcPr>
            <w:tcW w:type="dxa" w:w="2520"/>
            <w:vAlign w:val="center"/>
          </w:tcPr>
          <w:p>
            <w:pPr>
              <w:spacing w:after="40"/>
            </w:pPr>
            <w:r>
              <w:rPr>
                <w:sz w:val="16"/>
              </w:rPr>
              <w:t>6. Process outcome</w:t>
            </w:r>
          </w:p>
        </w:tc>
        <w:tc>
          <w:tcPr>
            <w:tcW w:type="dxa" w:w="2520"/>
            <w:vAlign w:val="center"/>
          </w:tcPr>
          <w:p>
            <w:pPr>
              <w:spacing w:after="40"/>
            </w:pPr>
            <w:r>
              <w:rPr>
                <w:sz w:val="16"/>
              </w:rPr>
              <w:t>Administrative staff</w:t>
            </w:r>
          </w:p>
        </w:tc>
        <w:tc>
          <w:tcPr>
            <w:tcW w:type="dxa" w:w="2520"/>
            <w:vAlign w:val="center"/>
          </w:tcPr>
          <w:p>
            <w:pPr>
              <w:spacing w:after="40"/>
            </w:pPr>
            <w:r>
              <w:rPr>
                <w:sz w:val="16"/>
              </w:rPr>
              <w:t>Prepare the approved outcome or record the rejection.</w:t>
            </w:r>
          </w:p>
        </w:tc>
        <w:tc>
          <w:tcPr>
            <w:tcW w:type="dxa" w:w="2520"/>
            <w:vAlign w:val="center"/>
          </w:tcPr>
          <w:p>
            <w:pPr>
              <w:spacing w:after="40"/>
            </w:pPr>
            <w:r>
              <w:rPr>
                <w:sz w:val="16"/>
              </w:rPr>
              <w:t>Processing failure or duplicate fulfilment.</w:t>
            </w:r>
          </w:p>
        </w:tc>
      </w:tr>
      <w:tr>
        <w:tc>
          <w:tcPr>
            <w:tcW w:type="dxa" w:w="2520"/>
            <w:vAlign w:val="center"/>
          </w:tcPr>
          <w:p>
            <w:pPr>
              <w:spacing w:after="40"/>
            </w:pPr>
            <w:r>
              <w:rPr>
                <w:sz w:val="16"/>
              </w:rPr>
              <w:t>7. Notify/close</w:t>
            </w:r>
          </w:p>
        </w:tc>
        <w:tc>
          <w:tcPr>
            <w:tcW w:type="dxa" w:w="2520"/>
            <w:vAlign w:val="center"/>
          </w:tcPr>
          <w:p>
            <w:pPr>
              <w:spacing w:after="40"/>
            </w:pPr>
            <w:r>
              <w:rPr>
                <w:sz w:val="16"/>
              </w:rPr>
              <w:t>Administrative staff</w:t>
            </w:r>
          </w:p>
        </w:tc>
        <w:tc>
          <w:tcPr>
            <w:tcW w:type="dxa" w:w="2520"/>
            <w:vAlign w:val="center"/>
          </w:tcPr>
          <w:p>
            <w:pPr>
              <w:spacing w:after="40"/>
            </w:pPr>
            <w:r>
              <w:rPr>
                <w:sz w:val="16"/>
              </w:rPr>
              <w:t>Notify student, record outcome and close request.</w:t>
            </w:r>
          </w:p>
        </w:tc>
        <w:tc>
          <w:tcPr>
            <w:tcW w:type="dxa" w:w="2520"/>
            <w:vAlign w:val="center"/>
          </w:tcPr>
          <w:p>
            <w:pPr>
              <w:spacing w:after="40"/>
            </w:pPr>
            <w:r>
              <w:rPr>
                <w:sz w:val="16"/>
              </w:rPr>
              <w:t>Notification failure or no audit trail.</w:t>
            </w:r>
          </w:p>
        </w:tc>
      </w:tr>
    </w:tbl>
    <w:p>
      <w:r>
        <w:t>Exception paths: missing information → Needs Information; likely duplicate → link to original and pause duplicate fulfilment; unauthorized request → block restricted action and log the decision; failed processing step → retry safely or route to Manual Review.</w:t>
      </w:r>
    </w:p>
    <w:p>
      <w:pPr>
        <w:pStyle w:val="Heading1"/>
      </w:pPr>
      <w:r>
        <w:t>3. Request dataset and findings</w:t>
      </w:r>
    </w:p>
    <w:p>
      <w:r>
        <w:t>The analysis dataset contains 50 request records. The report summary is: 7 incomplete requests (14%), 4 duplicate flags (8%), and 2 unauthorized requests (4%). These rates describe the working dataset used for this analysis and should not be interpreted as audited institutional rates.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Measure</w:t>
            </w:r>
          </w:p>
        </w:tc>
        <w:tc>
          <w:tcPr>
            <w:tcW w:type="dxa" w:w="3360"/>
            <w:vAlign w:val="center"/>
          </w:tcPr>
          <w:p>
            <w:pPr>
              <w:spacing w:after="40"/>
            </w:pPr>
            <w:r>
              <w:rPr>
                <w:sz w:val="16"/>
              </w:rPr>
              <w:t>Analysis value</w:t>
            </w:r>
          </w:p>
        </w:tc>
        <w:tc>
          <w:tcPr>
            <w:tcW w:type="dxa" w:w="3360"/>
            <w:vAlign w:val="center"/>
          </w:tcPr>
          <w:p>
            <w:pPr>
              <w:spacing w:after="40"/>
            </w:pPr>
            <w:r>
              <w:rPr>
                <w:sz w:val="16"/>
              </w:rPr>
              <w:t>Interpretation</w:t>
            </w:r>
          </w:p>
        </w:tc>
      </w:tr>
      <w:tr>
        <w:tc>
          <w:tcPr>
            <w:tcW w:type="dxa" w:w="3360"/>
            <w:vAlign w:val="center"/>
          </w:tcPr>
          <w:p>
            <w:pPr>
              <w:spacing w:after="40"/>
            </w:pPr>
            <w:r>
              <w:rPr>
                <w:sz w:val="16"/>
              </w:rPr>
              <w:t>Requests in sample</w:t>
            </w:r>
          </w:p>
        </w:tc>
        <w:tc>
          <w:tcPr>
            <w:tcW w:type="dxa" w:w="3360"/>
            <w:vAlign w:val="center"/>
          </w:tcPr>
          <w:p>
            <w:pPr>
              <w:spacing w:after="40"/>
            </w:pPr>
            <w:r>
              <w:rPr>
                <w:sz w:val="16"/>
              </w:rPr>
              <w:t>50</w:t>
            </w:r>
          </w:p>
        </w:tc>
        <w:tc>
          <w:tcPr>
            <w:tcW w:type="dxa" w:w="3360"/>
            <w:vAlign w:val="center"/>
          </w:tcPr>
          <w:p>
            <w:pPr>
              <w:spacing w:after="40"/>
            </w:pPr>
            <w:r>
              <w:rPr>
                <w:sz w:val="16"/>
              </w:rPr>
              <w:t>Records used for the process analysis.</w:t>
            </w:r>
          </w:p>
        </w:tc>
      </w:tr>
      <w:tr>
        <w:tc>
          <w:tcPr>
            <w:tcW w:type="dxa" w:w="3360"/>
            <w:vAlign w:val="center"/>
          </w:tcPr>
          <w:p>
            <w:pPr>
              <w:spacing w:after="40"/>
            </w:pPr>
            <w:r>
              <w:rPr>
                <w:sz w:val="16"/>
              </w:rPr>
              <w:t>Incomplete requests</w:t>
            </w:r>
          </w:p>
        </w:tc>
        <w:tc>
          <w:tcPr>
            <w:tcW w:type="dxa" w:w="3360"/>
            <w:vAlign w:val="center"/>
          </w:tcPr>
          <w:p>
            <w:pPr>
              <w:spacing w:after="40"/>
            </w:pPr>
            <w:r>
              <w:rPr>
                <w:sz w:val="16"/>
              </w:rPr>
              <w:t>7 / 50 (14%)</w:t>
            </w:r>
          </w:p>
        </w:tc>
        <w:tc>
          <w:tcPr>
            <w:tcW w:type="dxa" w:w="3360"/>
            <w:vAlign w:val="center"/>
          </w:tcPr>
          <w:p>
            <w:pPr>
              <w:spacing w:after="40"/>
            </w:pPr>
            <w:r>
              <w:rPr>
                <w:sz w:val="16"/>
              </w:rPr>
              <w:t>Potential source of clarification and rework.</w:t>
            </w:r>
          </w:p>
        </w:tc>
      </w:tr>
      <w:tr>
        <w:tc>
          <w:tcPr>
            <w:tcW w:type="dxa" w:w="3360"/>
            <w:vAlign w:val="center"/>
          </w:tcPr>
          <w:p>
            <w:pPr>
              <w:spacing w:after="40"/>
            </w:pPr>
            <w:r>
              <w:rPr>
                <w:sz w:val="16"/>
              </w:rPr>
              <w:t>Duplicate flags</w:t>
            </w:r>
          </w:p>
        </w:tc>
        <w:tc>
          <w:tcPr>
            <w:tcW w:type="dxa" w:w="3360"/>
            <w:vAlign w:val="center"/>
          </w:tcPr>
          <w:p>
            <w:pPr>
              <w:spacing w:after="40"/>
            </w:pPr>
            <w:r>
              <w:rPr>
                <w:sz w:val="16"/>
              </w:rPr>
              <w:t>4 / 50 (8%)</w:t>
            </w:r>
          </w:p>
        </w:tc>
        <w:tc>
          <w:tcPr>
            <w:tcW w:type="dxa" w:w="3360"/>
            <w:vAlign w:val="center"/>
          </w:tcPr>
          <w:p>
            <w:pPr>
              <w:spacing w:after="40"/>
            </w:pPr>
            <w:r>
              <w:rPr>
                <w:sz w:val="16"/>
              </w:rPr>
              <w:t>Candidates for review; not all are necessarily true duplicates.</w:t>
            </w:r>
          </w:p>
        </w:tc>
      </w:tr>
      <w:tr>
        <w:tc>
          <w:tcPr>
            <w:tcW w:type="dxa" w:w="3360"/>
            <w:vAlign w:val="center"/>
          </w:tcPr>
          <w:p>
            <w:pPr>
              <w:spacing w:after="40"/>
            </w:pPr>
            <w:r>
              <w:rPr>
                <w:sz w:val="16"/>
              </w:rPr>
              <w:t>Unauthorized requests</w:t>
            </w:r>
          </w:p>
        </w:tc>
        <w:tc>
          <w:tcPr>
            <w:tcW w:type="dxa" w:w="3360"/>
            <w:vAlign w:val="center"/>
          </w:tcPr>
          <w:p>
            <w:pPr>
              <w:spacing w:after="40"/>
            </w:pPr>
            <w:r>
              <w:rPr>
                <w:sz w:val="16"/>
              </w:rPr>
              <w:t>2 / 50 (4%)</w:t>
            </w:r>
          </w:p>
        </w:tc>
        <w:tc>
          <w:tcPr>
            <w:tcW w:type="dxa" w:w="3360"/>
            <w:vAlign w:val="center"/>
          </w:tcPr>
          <w:p>
            <w:pPr>
              <w:spacing w:after="40"/>
            </w:pPr>
            <w:r>
              <w:rPr>
                <w:sz w:val="16"/>
              </w:rPr>
              <w:t>Requests that should not proceed to restricted fulfilment.</w:t>
            </w:r>
          </w:p>
        </w:tc>
      </w:tr>
      <w:tr>
        <w:tc>
          <w:tcPr>
            <w:tcW w:type="dxa" w:w="3360"/>
            <w:vAlign w:val="center"/>
          </w:tcPr>
          <w:p>
            <w:pPr>
              <w:spacing w:after="40"/>
            </w:pPr>
            <w:r>
              <w:rPr>
                <w:sz w:val="16"/>
              </w:rPr>
              <w:t>Baseline active effort</w:t>
            </w:r>
          </w:p>
        </w:tc>
        <w:tc>
          <w:tcPr>
            <w:tcW w:type="dxa" w:w="3360"/>
            <w:vAlign w:val="center"/>
          </w:tcPr>
          <w:p>
            <w:pPr>
              <w:spacing w:after="40"/>
            </w:pPr>
            <w:r>
              <w:rPr>
                <w:sz w:val="16"/>
              </w:rPr>
              <w:t>635 minutes</w:t>
            </w:r>
          </w:p>
        </w:tc>
        <w:tc>
          <w:tcPr>
            <w:tcW w:type="dxa" w:w="3360"/>
            <w:vAlign w:val="center"/>
          </w:tcPr>
          <w:p>
            <w:pPr>
              <w:spacing w:after="40"/>
            </w:pPr>
            <w:r>
              <w:rPr>
                <w:sz w:val="16"/>
              </w:rPr>
              <w:t>550 initial handling + 85 rework minutes in the baseline calculation.</w:t>
            </w:r>
          </w:p>
        </w:tc>
      </w:tr>
      <w:tr>
        <w:tc>
          <w:tcPr>
            <w:tcW w:type="dxa" w:w="3360"/>
            <w:vAlign w:val="center"/>
          </w:tcPr>
          <w:p>
            <w:pPr>
              <w:spacing w:after="40"/>
            </w:pPr>
            <w:r>
              <w:rPr>
                <w:sz w:val="16"/>
              </w:rPr>
              <w:t>Improved scenario effort</w:t>
            </w:r>
          </w:p>
        </w:tc>
        <w:tc>
          <w:tcPr>
            <w:tcW w:type="dxa" w:w="3360"/>
            <w:vAlign w:val="center"/>
          </w:tcPr>
          <w:p>
            <w:r>
              <w:t>440 minutes</w:t>
            </w:r>
          </w:p>
        </w:tc>
        <w:tc>
          <w:tcPr>
            <w:tcW w:type="dxa" w:w="3360"/>
            <w:vAlign w:val="center"/>
          </w:tcPr>
          <w:p>
            <w:r>
              <w:t>350 routine handling + 90 support/review minutes.</w:t>
            </w:r>
          </w:p>
        </w:tc>
      </w:tr>
      <w:tr>
        <w:tc>
          <w:tcPr>
            <w:tcW w:type="dxa" w:w="3360"/>
            <w:vAlign w:val="center"/>
          </w:tcPr>
          <w:p>
            <w:pPr>
              <w:spacing w:after="40"/>
            </w:pPr>
            <w:r>
              <w:rPr>
                <w:sz w:val="16"/>
              </w:rPr>
              <w:t>Estimated net saving</w:t>
            </w:r>
          </w:p>
        </w:tc>
        <w:tc>
          <w:tcPr>
            <w:tcW w:type="dxa" w:w="3360"/>
            <w:vAlign w:val="center"/>
          </w:tcPr>
          <w:p>
            <w:r>
              <w:t>195 minutes (30.7%)</w:t>
            </w:r>
          </w:p>
        </w:tc>
        <w:tc>
          <w:tcPr>
            <w:tcW w:type="dxa" w:w="3360"/>
            <w:vAlign w:val="center"/>
          </w:tcPr>
          <w:p>
            <w:r>
              <w:t>635 baseline minutes minus 440 improved-scenario minutes.</w:t>
            </w:r>
          </w:p>
        </w:tc>
      </w:tr>
    </w:tbl>
    <w:p>
      <w:pPr>
        <w:pStyle w:val="Heading1"/>
      </w:pPr>
      <w:r>
        <w:t>4. Dated evidence log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Date</w:t>
            </w:r>
          </w:p>
        </w:tc>
        <w:tc>
          <w:tcPr>
            <w:tcW w:type="dxa" w:w="3360"/>
            <w:vAlign w:val="center"/>
          </w:tcPr>
          <w:p>
            <w:pPr>
              <w:spacing w:after="40"/>
            </w:pPr>
            <w:r>
              <w:rPr>
                <w:sz w:val="16"/>
              </w:rPr>
              <w:t>Evidence / decision</w:t>
            </w:r>
          </w:p>
        </w:tc>
        <w:tc>
          <w:tcPr>
            <w:tcW w:type="dxa" w:w="3360"/>
            <w:vAlign w:val="center"/>
          </w:tcPr>
          <w:p>
            <w:pPr>
              <w:spacing w:after="40"/>
            </w:pPr>
            <w:r>
              <w:rPr>
                <w:sz w:val="16"/>
              </w:rPr>
              <w:t>Classification</w:t>
            </w:r>
          </w:p>
        </w:tc>
      </w:tr>
      <w:tr>
        <w:tc>
          <w:tcPr>
            <w:tcW w:type="dxa" w:w="3360"/>
            <w:vAlign w:val="center"/>
          </w:tcPr>
          <w:p>
            <w:pPr>
              <w:spacing w:after="40"/>
            </w:pPr>
            <w:r>
              <w:rPr>
                <w:sz w:val="16"/>
              </w:rPr>
              <w:t>23 Oct 2026</w:t>
            </w:r>
          </w:p>
        </w:tc>
        <w:tc>
          <w:tcPr>
            <w:tcW w:type="dxa" w:w="3360"/>
            <w:vAlign w:val="center"/>
          </w:tcPr>
          <w:p>
            <w:pPr>
              <w:spacing w:after="40"/>
            </w:pPr>
            <w:r>
              <w:rPr>
                <w:sz w:val="16"/>
              </w:rPr>
              <w:t>Selected a student administrative request workflow as the bounded case.</w:t>
            </w:r>
          </w:p>
        </w:tc>
        <w:tc>
          <w:tcPr>
            <w:tcW w:type="dxa" w:w="3360"/>
            <w:vAlign w:val="center"/>
          </w:tcPr>
          <w:p>
            <w:pPr>
              <w:spacing w:after="40"/>
            </w:pPr>
            <w:r>
              <w:rPr>
                <w:sz w:val="16"/>
              </w:rPr>
              <w:t>Design decision</w:t>
            </w:r>
          </w:p>
        </w:tc>
      </w:tr>
      <w:tr>
        <w:tc>
          <w:tcPr>
            <w:tcW w:type="dxa" w:w="3360"/>
            <w:vAlign w:val="center"/>
          </w:tcPr>
          <w:p>
            <w:pPr>
              <w:spacing w:after="40"/>
            </w:pPr>
            <w:r>
              <w:rPr>
                <w:sz w:val="16"/>
              </w:rPr>
              <w:t>23 Oct 2026</w:t>
            </w:r>
          </w:p>
        </w:tc>
        <w:tc>
          <w:tcPr>
            <w:tcW w:type="dxa" w:w="3360"/>
            <w:vAlign w:val="center"/>
          </w:tcPr>
          <w:p>
            <w:pPr>
              <w:spacing w:after="40"/>
            </w:pPr>
            <w:r>
              <w:rPr>
                <w:sz w:val="16"/>
              </w:rPr>
              <w:t>Prepared a 50-record request analysis dataset in request_analysis_50.csv.</w:t>
            </w:r>
          </w:p>
        </w:tc>
        <w:tc>
          <w:tcPr>
            <w:tcW w:type="dxa" w:w="3360"/>
            <w:vAlign w:val="center"/>
          </w:tcPr>
          <w:p>
            <w:pPr>
              <w:spacing w:after="40"/>
            </w:pPr>
            <w:r>
              <w:rPr>
                <w:sz w:val="16"/>
              </w:rPr>
              <w:t>Analysis dataset</w:t>
            </w:r>
          </w:p>
        </w:tc>
      </w:tr>
      <w:tr>
        <w:tc>
          <w:tcPr>
            <w:tcW w:type="dxa" w:w="3360"/>
            <w:vAlign w:val="center"/>
          </w:tcPr>
          <w:p>
            <w:pPr>
              <w:spacing w:after="40"/>
            </w:pPr>
            <w:r>
              <w:rPr>
                <w:sz w:val="16"/>
              </w:rPr>
              <w:t>23 Oct 2026</w:t>
            </w:r>
          </w:p>
        </w:tc>
        <w:tc>
          <w:tcPr>
            <w:tcW w:type="dxa" w:w="3360"/>
            <w:vAlign w:val="center"/>
          </w:tcPr>
          <w:p>
            <w:pPr>
              <w:spacing w:after="40"/>
            </w:pPr>
            <w:r>
              <w:rPr>
                <w:sz w:val="16"/>
              </w:rPr>
              <w:t>Summarised counts and time fields from the analysis dataset.</w:t>
            </w:r>
          </w:p>
        </w:tc>
        <w:tc>
          <w:tcPr>
            <w:tcW w:type="dxa" w:w="3360"/>
            <w:vAlign w:val="center"/>
          </w:tcPr>
          <w:p>
            <w:pPr>
              <w:spacing w:after="40"/>
            </w:pPr>
            <w:r>
              <w:rPr>
                <w:sz w:val="16"/>
              </w:rPr>
              <w:t>Calculated from analysis dataset</w:t>
            </w:r>
          </w:p>
        </w:tc>
      </w:tr>
      <w:tr>
        <w:tc>
          <w:tcPr>
            <w:tcW w:type="dxa" w:w="3360"/>
            <w:vAlign w:val="center"/>
          </w:tcPr>
          <w:p>
            <w:pPr>
              <w:spacing w:after="40"/>
            </w:pPr>
            <w:r>
              <w:rPr>
                <w:sz w:val="16"/>
              </w:rPr>
              <w:t>24 Oct 2026</w:t>
            </w:r>
          </w:p>
        </w:tc>
        <w:tc>
          <w:tcPr>
            <w:tcW w:type="dxa" w:w="3360"/>
            <w:vAlign w:val="center"/>
          </w:tcPr>
          <w:p>
            <w:pPr>
              <w:spacing w:after="40"/>
            </w:pPr>
            <w:r>
              <w:rPr>
                <w:sz w:val="16"/>
              </w:rPr>
              <w:t>Documented a modeled AS-IS workflow; direct staff observation was outside the available evidence.</w:t>
            </w:r>
          </w:p>
        </w:tc>
        <w:tc>
          <w:tcPr>
            <w:tcW w:type="dxa" w:w="3360"/>
            <w:vAlign w:val="center"/>
          </w:tcPr>
          <w:p>
            <w:pPr>
              <w:spacing w:after="40"/>
            </w:pPr>
            <w:r>
              <w:rPr>
                <w:sz w:val="16"/>
              </w:rPr>
              <w:t>Evidence limitation</w:t>
            </w:r>
          </w:p>
        </w:tc>
      </w:tr>
      <w:tr>
        <w:tc>
          <w:tcPr>
            <w:tcW w:type="dxa" w:w="3360"/>
            <w:vAlign w:val="center"/>
          </w:tcPr>
          <w:p>
            <w:pPr>
              <w:spacing w:after="40"/>
            </w:pPr>
            <w:r>
              <w:rPr>
                <w:sz w:val="16"/>
              </w:rPr>
              <w:t>24 Oct 2026</w:t>
            </w:r>
          </w:p>
        </w:tc>
        <w:tc>
          <w:tcPr>
            <w:tcW w:type="dxa" w:w="3360"/>
            <w:vAlign w:val="center"/>
          </w:tcPr>
          <w:p>
            <w:pPr>
              <w:spacing w:after="40"/>
            </w:pPr>
            <w:r>
              <w:rPr>
                <w:sz w:val="16"/>
              </w:rPr>
              <w:t>Designed a TO-BE workflow and five test specifications with expected outcomes and recovery actions.</w:t>
            </w:r>
          </w:p>
        </w:tc>
        <w:tc>
          <w:tcPr>
            <w:tcW w:type="dxa" w:w="3360"/>
            <w:vAlign w:val="center"/>
          </w:tcPr>
          <w:p>
            <w:pPr>
              <w:spacing w:after="40"/>
            </w:pPr>
            <w:r>
              <w:rPr>
                <w:sz w:val="16"/>
              </w:rPr>
              <w:t>Proposed design</w:t>
            </w:r>
          </w:p>
        </w:tc>
      </w:tr>
      <w:tr>
        <w:tc>
          <w:tcPr>
            <w:tcW w:type="dxa" w:w="3360"/>
            <w:vAlign w:val="center"/>
          </w:tcPr>
          <w:p>
            <w:pPr>
              <w:spacing w:after="40"/>
            </w:pPr>
            <w:r>
              <w:rPr>
                <w:sz w:val="16"/>
              </w:rPr>
              <w:t>24 Oct 2026</w:t>
            </w:r>
          </w:p>
        </w:tc>
        <w:tc>
          <w:tcPr>
            <w:tcW w:type="dxa" w:w="3360"/>
            <w:vAlign w:val="center"/>
          </w:tcPr>
          <w:p>
            <w:pPr>
              <w:spacing w:after="40"/>
            </w:pPr>
            <w:r>
              <w:rPr>
                <w:sz w:val="16"/>
              </w:rPr>
              <w:t>Recalculated the net time-saving scenario using explicit arithmetic.</w:t>
            </w:r>
          </w:p>
        </w:tc>
        <w:tc>
          <w:tcPr>
            <w:tcW w:type="dxa" w:w="3360"/>
            <w:vAlign w:val="center"/>
          </w:tcPr>
          <w:p>
            <w:pPr>
              <w:spacing w:after="40"/>
            </w:pPr>
            <w:r>
              <w:rPr>
                <w:sz w:val="16"/>
              </w:rPr>
              <w:t>Scenario estimate</w:t>
            </w:r>
          </w:p>
        </w:tc>
      </w:tr>
    </w:tbl>
    <w:p>
      <w:pPr>
        <w:pStyle w:val="Heading1"/>
      </w:pPr>
      <w:r>
        <w:t>5. Problem statement and scale</w:t>
      </w:r>
    </w:p>
    <w:p>
      <w:r>
        <w:t>Problem hypothesis: when request forms are incomplete, duplicate requests are processed independently, routing is unclear, or processing failures are not recoverable, staff may spend time on avoidable clarification and rework while students have limited visibility into status. Within the analysis dataset, 14% are marked incomplete, 8% have duplicate flags and 4% are marked unauthorized. This demonstrates how the proposed controls can be tested; it does not establish actual scale at IFHE.</w:t>
      </w:r>
    </w:p>
    <w:p>
      <w:pPr>
        <w:pStyle w:val="Heading1"/>
      </w:pPr>
      <w:r>
        <w:t>6. Proposed improved workflow (TO-BE)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Stage</w:t>
            </w:r>
          </w:p>
        </w:tc>
        <w:tc>
          <w:tcPr>
            <w:tcW w:type="dxa" w:w="3360"/>
            <w:vAlign w:val="center"/>
          </w:tcPr>
          <w:p>
            <w:pPr>
              <w:spacing w:after="40"/>
            </w:pPr>
            <w:r>
              <w:rPr>
                <w:sz w:val="16"/>
              </w:rPr>
              <w:t>Control / expected behavior</w:t>
            </w:r>
          </w:p>
        </w:tc>
        <w:tc>
          <w:tcPr>
            <w:tcW w:type="dxa" w:w="3360"/>
            <w:vAlign w:val="center"/>
          </w:tcPr>
          <w:p>
            <w:pPr>
              <w:spacing w:after="40"/>
            </w:pPr>
            <w:r>
              <w:rPr>
                <w:sz w:val="16"/>
              </w:rPr>
              <w:t>Status / audit data</w:t>
            </w:r>
          </w:p>
        </w:tc>
      </w:tr>
      <w:tr>
        <w:tc>
          <w:tcPr>
            <w:tcW w:type="dxa" w:w="3360"/>
            <w:vAlign w:val="center"/>
          </w:tcPr>
          <w:p>
            <w:pPr>
              <w:spacing w:after="40"/>
            </w:pPr>
            <w:r>
              <w:rPr>
                <w:sz w:val="16"/>
              </w:rPr>
              <w:t>Submit</w:t>
            </w:r>
          </w:p>
        </w:tc>
        <w:tc>
          <w:tcPr>
            <w:tcW w:type="dxa" w:w="3360"/>
            <w:vAlign w:val="center"/>
          </w:tcPr>
          <w:p>
            <w:pPr>
              <w:spacing w:after="40"/>
            </w:pPr>
            <w:r>
              <w:rPr>
                <w:sz w:val="16"/>
              </w:rPr>
              <w:t>Standard form; create unique request ID and timestamp.</w:t>
            </w:r>
          </w:p>
        </w:tc>
        <w:tc>
          <w:tcPr>
            <w:tcW w:type="dxa" w:w="3360"/>
            <w:vAlign w:val="center"/>
          </w:tcPr>
          <w:p>
            <w:pPr>
              <w:spacing w:after="40"/>
            </w:pPr>
            <w:r>
              <w:rPr>
                <w:sz w:val="16"/>
              </w:rPr>
              <w:t>Submitted; request ID, requester ID, request type, purpose.</w:t>
            </w:r>
          </w:p>
        </w:tc>
      </w:tr>
      <w:tr>
        <w:tc>
          <w:tcPr>
            <w:tcW w:type="dxa" w:w="3360"/>
            <w:vAlign w:val="center"/>
          </w:tcPr>
          <w:p>
            <w:pPr>
              <w:spacing w:after="40"/>
            </w:pPr>
            <w:r>
              <w:rPr>
                <w:sz w:val="16"/>
              </w:rPr>
              <w:t>Validate</w:t>
            </w:r>
          </w:p>
        </w:tc>
        <w:tc>
          <w:tcPr>
            <w:tcW w:type="dxa" w:w="3360"/>
            <w:vAlign w:val="center"/>
          </w:tcPr>
          <w:p>
            <w:pPr>
              <w:spacing w:after="40"/>
            </w:pPr>
            <w:r>
              <w:rPr>
                <w:sz w:val="16"/>
              </w:rPr>
              <w:t>Required-field and attachment checks; do not send incomplete requests to approval.</w:t>
            </w:r>
          </w:p>
        </w:tc>
        <w:tc>
          <w:tcPr>
            <w:tcW w:type="dxa" w:w="3360"/>
            <w:vAlign w:val="center"/>
          </w:tcPr>
          <w:p>
            <w:pPr>
              <w:spacing w:after="40"/>
            </w:pPr>
            <w:r>
              <w:rPr>
                <w:sz w:val="16"/>
              </w:rPr>
              <w:t>Validation / Needs Information; missing-field reason.</w:t>
            </w:r>
          </w:p>
        </w:tc>
      </w:tr>
      <w:tr>
        <w:tc>
          <w:tcPr>
            <w:tcW w:type="dxa" w:w="3360"/>
            <w:vAlign w:val="center"/>
          </w:tcPr>
          <w:p>
            <w:pPr>
              <w:spacing w:after="40"/>
            </w:pPr>
            <w:r>
              <w:rPr>
                <w:sz w:val="16"/>
              </w:rPr>
              <w:t>Authorization</w:t>
            </w:r>
          </w:p>
        </w:tc>
        <w:tc>
          <w:tcPr>
            <w:tcW w:type="dxa" w:w="3360"/>
            <w:vAlign w:val="center"/>
          </w:tcPr>
          <w:p>
            <w:pPr>
              <w:spacing w:after="40"/>
            </w:pPr>
            <w:r>
              <w:rPr>
                <w:sz w:val="16"/>
              </w:rPr>
              <w:t>Check identity and action permission before restricted processing.</w:t>
            </w:r>
          </w:p>
        </w:tc>
        <w:tc>
          <w:tcPr>
            <w:tcW w:type="dxa" w:w="3360"/>
            <w:vAlign w:val="center"/>
          </w:tcPr>
          <w:p>
            <w:pPr>
              <w:spacing w:after="40"/>
            </w:pPr>
            <w:r>
              <w:rPr>
                <w:sz w:val="16"/>
              </w:rPr>
              <w:t>Authorization Check; allow/deny result and reviewer.</w:t>
            </w:r>
          </w:p>
        </w:tc>
      </w:tr>
      <w:tr>
        <w:tc>
          <w:tcPr>
            <w:tcW w:type="dxa" w:w="3360"/>
            <w:vAlign w:val="center"/>
          </w:tcPr>
          <w:p>
            <w:pPr>
              <w:spacing w:after="40"/>
            </w:pPr>
            <w:r>
              <w:rPr>
                <w:sz w:val="16"/>
              </w:rPr>
              <w:t>Duplicate review</w:t>
            </w:r>
          </w:p>
        </w:tc>
        <w:tc>
          <w:tcPr>
            <w:tcW w:type="dxa" w:w="3360"/>
            <w:vAlign w:val="center"/>
          </w:tcPr>
          <w:p>
            <w:pPr>
              <w:spacing w:after="40"/>
            </w:pPr>
            <w:r>
              <w:rPr>
                <w:sz w:val="16"/>
              </w:rPr>
              <w:t>Flag likely duplicates using requester, request type and period; do not auto-delete.</w:t>
            </w:r>
          </w:p>
        </w:tc>
        <w:tc>
          <w:tcPr>
            <w:tcW w:type="dxa" w:w="3360"/>
            <w:vAlign w:val="center"/>
          </w:tcPr>
          <w:p>
            <w:pPr>
              <w:spacing w:after="40"/>
            </w:pPr>
            <w:r>
              <w:rPr>
                <w:sz w:val="16"/>
              </w:rPr>
              <w:t>Duplicate Review; linked original request ID.</w:t>
            </w:r>
          </w:p>
        </w:tc>
      </w:tr>
      <w:tr>
        <w:tc>
          <w:tcPr>
            <w:tcW w:type="dxa" w:w="3360"/>
            <w:vAlign w:val="center"/>
          </w:tcPr>
          <w:p>
            <w:pPr>
              <w:spacing w:after="40"/>
            </w:pPr>
            <w:r>
              <w:rPr>
                <w:sz w:val="16"/>
              </w:rPr>
              <w:t>Human review</w:t>
            </w:r>
          </w:p>
        </w:tc>
        <w:tc>
          <w:tcPr>
            <w:tcW w:type="dxa" w:w="3360"/>
            <w:vAlign w:val="center"/>
          </w:tcPr>
          <w:p>
            <w:pPr>
              <w:spacing w:after="40"/>
            </w:pPr>
            <w:r>
              <w:rPr>
                <w:sz w:val="16"/>
              </w:rPr>
              <w:t>Route to the accountable authorized reviewer; preserve decision boundary.</w:t>
            </w:r>
          </w:p>
        </w:tc>
        <w:tc>
          <w:tcPr>
            <w:tcW w:type="dxa" w:w="3360"/>
            <w:vAlign w:val="center"/>
          </w:tcPr>
          <w:p>
            <w:pPr>
              <w:spacing w:after="40"/>
            </w:pPr>
            <w:r>
              <w:rPr>
                <w:sz w:val="16"/>
              </w:rPr>
              <w:t>Under Review / Approved / Rejected; decision, owner and timestamp.</w:t>
            </w:r>
          </w:p>
        </w:tc>
      </w:tr>
      <w:tr>
        <w:tc>
          <w:tcPr>
            <w:tcW w:type="dxa" w:w="3360"/>
            <w:vAlign w:val="center"/>
          </w:tcPr>
          <w:p>
            <w:pPr>
              <w:spacing w:after="40"/>
            </w:pPr>
            <w:r>
              <w:rPr>
                <w:sz w:val="16"/>
              </w:rPr>
              <w:t>Fulfilment</w:t>
            </w:r>
          </w:p>
        </w:tc>
        <w:tc>
          <w:tcPr>
            <w:tcW w:type="dxa" w:w="3360"/>
            <w:vAlign w:val="center"/>
          </w:tcPr>
          <w:p>
            <w:pPr>
              <w:spacing w:after="40"/>
            </w:pPr>
            <w:r>
              <w:rPr>
                <w:sz w:val="16"/>
              </w:rPr>
              <w:t>Perform the approved action; retry only safe/idempotent operations.</w:t>
            </w:r>
          </w:p>
        </w:tc>
        <w:tc>
          <w:tcPr>
            <w:tcW w:type="dxa" w:w="3360"/>
            <w:vAlign w:val="center"/>
          </w:tcPr>
          <w:p>
            <w:pPr>
              <w:spacing w:after="40"/>
            </w:pPr>
            <w:r>
              <w:rPr>
                <w:sz w:val="16"/>
              </w:rPr>
              <w:t>Processing / Failed / Manual Review; retry count and error.</w:t>
            </w:r>
          </w:p>
        </w:tc>
      </w:tr>
      <w:tr>
        <w:tc>
          <w:tcPr>
            <w:tcW w:type="dxa" w:w="3360"/>
            <w:vAlign w:val="center"/>
          </w:tcPr>
          <w:p>
            <w:pPr>
              <w:spacing w:after="40"/>
            </w:pPr>
            <w:r>
              <w:rPr>
                <w:sz w:val="16"/>
              </w:rPr>
              <w:t>Close and notify</w:t>
            </w:r>
          </w:p>
        </w:tc>
        <w:tc>
          <w:tcPr>
            <w:tcW w:type="dxa" w:w="3360"/>
            <w:vAlign w:val="center"/>
          </w:tcPr>
          <w:p>
            <w:pPr>
              <w:spacing w:after="40"/>
            </w:pPr>
            <w:r>
              <w:rPr>
                <w:sz w:val="16"/>
              </w:rPr>
              <w:t>Record outcome and notify requester; notification retry must not create a second request.</w:t>
            </w:r>
          </w:p>
        </w:tc>
        <w:tc>
          <w:tcPr>
            <w:tcW w:type="dxa" w:w="3360"/>
            <w:vAlign w:val="center"/>
          </w:tcPr>
          <w:p>
            <w:pPr>
              <w:spacing w:after="40"/>
            </w:pPr>
            <w:r>
              <w:rPr>
                <w:sz w:val="16"/>
              </w:rPr>
              <w:t>Completed / Rejected; outcome, closure timestamp.</w:t>
            </w:r>
          </w:p>
        </w:tc>
      </w:tr>
    </w:tbl>
    <w:p>
      <w:r>
        <w:t>Required inputs: request type, student/requester identifier, purpose, required supporting documents, submission timestamp and contact method. Proposed accountable owner: a designated administrative process owner (not a named real staff member). Automation can validate, flag and route; policy-reserved decisions remain with authorized humans. Fallback: preserve request ID and audit trail, avoid duplicate fulfilment, retry transient failures safely, otherwise route to Manual Review and notify the requester.</w:t>
      </w:r>
    </w:p>
    <w:p>
      <w:pPr>
        <w:pStyle w:val="Heading1"/>
      </w:pPr>
      <w:r>
        <w:t>7. Five workflow test cases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40"/>
            </w:pPr>
            <w:r>
              <w:rPr>
                <w:sz w:val="16"/>
              </w:rPr>
              <w:t>Test</w:t>
            </w:r>
          </w:p>
        </w:tc>
        <w:tc>
          <w:tcPr>
            <w:tcW w:type="dxa" w:w="2520"/>
            <w:vAlign w:val="center"/>
          </w:tcPr>
          <w:p>
            <w:pPr>
              <w:spacing w:after="40"/>
            </w:pPr>
            <w:r>
              <w:rPr>
                <w:sz w:val="16"/>
              </w:rPr>
              <w:t>Input</w:t>
            </w:r>
          </w:p>
        </w:tc>
        <w:tc>
          <w:tcPr>
            <w:tcW w:type="dxa" w:w="2520"/>
            <w:vAlign w:val="center"/>
          </w:tcPr>
          <w:p>
            <w:pPr>
              <w:spacing w:after="40"/>
            </w:pPr>
            <w:r>
              <w:rPr>
                <w:sz w:val="16"/>
              </w:rPr>
              <w:t>Expected pass criterion</w:t>
            </w:r>
          </w:p>
        </w:tc>
        <w:tc>
          <w:tcPr>
            <w:tcW w:type="dxa" w:w="2520"/>
            <w:vAlign w:val="center"/>
          </w:tcPr>
          <w:p>
            <w:pPr>
              <w:spacing w:after="40"/>
            </w:pPr>
            <w:r>
              <w:rPr>
                <w:sz w:val="16"/>
              </w:rPr>
              <w:t>Recovery</w:t>
            </w:r>
          </w:p>
        </w:tc>
      </w:tr>
      <w:tr>
        <w:tc>
          <w:tcPr>
            <w:tcW w:type="dxa" w:w="2520"/>
            <w:vAlign w:val="center"/>
          </w:tcPr>
          <w:p>
            <w:pPr>
              <w:spacing w:after="40"/>
            </w:pPr>
            <w:r>
              <w:rPr>
                <w:sz w:val="16"/>
              </w:rPr>
              <w:t>TC-01 Normal</w:t>
            </w:r>
          </w:p>
        </w:tc>
        <w:tc>
          <w:tcPr>
            <w:tcW w:type="dxa" w:w="2520"/>
            <w:vAlign w:val="center"/>
          </w:tcPr>
          <w:p>
            <w:pPr>
              <w:spacing w:after="40"/>
            </w:pPr>
            <w:r>
              <w:rPr>
                <w:sz w:val="16"/>
              </w:rPr>
              <w:t>Complete request; authorized requester; no duplicate; service available.</w:t>
            </w:r>
          </w:p>
        </w:tc>
        <w:tc>
          <w:tcPr>
            <w:tcW w:type="dxa" w:w="2520"/>
            <w:vAlign w:val="center"/>
          </w:tcPr>
          <w:p>
            <w:pPr>
              <w:spacing w:after="40"/>
            </w:pPr>
            <w:r>
              <w:rPr>
                <w:sz w:val="16"/>
              </w:rPr>
              <w:t>Unique ID, correct routing, human decision recorded, outcome and notification saved.</w:t>
            </w:r>
          </w:p>
        </w:tc>
        <w:tc>
          <w:tcPr>
            <w:tcW w:type="dxa" w:w="2520"/>
            <w:vAlign w:val="center"/>
          </w:tcPr>
          <w:p>
            <w:pPr>
              <w:spacing w:after="40"/>
            </w:pPr>
            <w:r>
              <w:rPr>
                <w:sz w:val="16"/>
              </w:rPr>
              <w:t>Retry notification only; do not create a second request.</w:t>
            </w:r>
          </w:p>
        </w:tc>
      </w:tr>
      <w:tr>
        <w:tc>
          <w:tcPr>
            <w:tcW w:type="dxa" w:w="2520"/>
            <w:vAlign w:val="center"/>
          </w:tcPr>
          <w:p>
            <w:pPr>
              <w:spacing w:after="40"/>
            </w:pPr>
            <w:r>
              <w:rPr>
                <w:sz w:val="16"/>
              </w:rPr>
              <w:t>TC-02 Missing information</w:t>
            </w:r>
          </w:p>
        </w:tc>
        <w:tc>
          <w:tcPr>
            <w:tcW w:type="dxa" w:w="2520"/>
            <w:vAlign w:val="center"/>
          </w:tcPr>
          <w:p>
            <w:pPr>
              <w:spacing w:after="40"/>
            </w:pPr>
            <w:r>
              <w:rPr>
                <w:sz w:val="16"/>
              </w:rPr>
              <w:t>Required field or attachment absent.</w:t>
            </w:r>
          </w:p>
        </w:tc>
        <w:tc>
          <w:tcPr>
            <w:tcW w:type="dxa" w:w="2520"/>
            <w:vAlign w:val="center"/>
          </w:tcPr>
          <w:p>
            <w:pPr>
              <w:spacing w:after="40"/>
            </w:pPr>
            <w:r>
              <w:rPr>
                <w:sz w:val="16"/>
              </w:rPr>
              <w:t>Status becomes Needs Information; missing items are listed; approval does not start.</w:t>
            </w:r>
          </w:p>
        </w:tc>
        <w:tc>
          <w:tcPr>
            <w:tcW w:type="dxa" w:w="2520"/>
            <w:vAlign w:val="center"/>
          </w:tcPr>
          <w:p>
            <w:pPr>
              <w:spacing w:after="40"/>
            </w:pPr>
            <w:r>
              <w:rPr>
                <w:sz w:val="16"/>
              </w:rPr>
              <w:t>Requester corrects the same request ID; validate again.</w:t>
            </w:r>
          </w:p>
        </w:tc>
      </w:tr>
      <w:tr>
        <w:tc>
          <w:tcPr>
            <w:tcW w:type="dxa" w:w="2520"/>
            <w:vAlign w:val="center"/>
          </w:tcPr>
          <w:p>
            <w:pPr>
              <w:spacing w:after="40"/>
            </w:pPr>
            <w:r>
              <w:rPr>
                <w:sz w:val="16"/>
              </w:rPr>
              <w:t>TC-03 Duplicate</w:t>
            </w:r>
          </w:p>
        </w:tc>
        <w:tc>
          <w:tcPr>
            <w:tcW w:type="dxa" w:w="2520"/>
            <w:vAlign w:val="center"/>
          </w:tcPr>
          <w:p>
            <w:pPr>
              <w:spacing w:after="40"/>
            </w:pPr>
            <w:r>
              <w:rPr>
                <w:sz w:val="16"/>
              </w:rPr>
              <w:t>Same requester, request type and period resembles an existing request.</w:t>
            </w:r>
          </w:p>
        </w:tc>
        <w:tc>
          <w:tcPr>
            <w:tcW w:type="dxa" w:w="2520"/>
            <w:vAlign w:val="center"/>
          </w:tcPr>
          <w:p>
            <w:pPr>
              <w:spacing w:after="40"/>
            </w:pPr>
            <w:r>
              <w:rPr>
                <w:sz w:val="16"/>
              </w:rPr>
              <w:t>Flag and link to original; pause duplicate fulfilment until review.</w:t>
            </w:r>
          </w:p>
        </w:tc>
        <w:tc>
          <w:tcPr>
            <w:tcW w:type="dxa" w:w="2520"/>
            <w:vAlign w:val="center"/>
          </w:tcPr>
          <w:p>
            <w:pPr>
              <w:spacing w:after="40"/>
            </w:pPr>
            <w:r>
              <w:rPr>
                <w:sz w:val="16"/>
              </w:rPr>
              <w:t>Human reviewer resolves uncertain match; never auto-delete.</w:t>
            </w:r>
          </w:p>
        </w:tc>
      </w:tr>
      <w:tr>
        <w:tc>
          <w:tcPr>
            <w:tcW w:type="dxa" w:w="2520"/>
            <w:vAlign w:val="center"/>
          </w:tcPr>
          <w:p>
            <w:pPr>
              <w:spacing w:after="40"/>
            </w:pPr>
            <w:r>
              <w:rPr>
                <w:sz w:val="16"/>
              </w:rPr>
              <w:t>TC-04 Unauthorized</w:t>
            </w:r>
          </w:p>
        </w:tc>
        <w:tc>
          <w:tcPr>
            <w:tcW w:type="dxa" w:w="2520"/>
            <w:vAlign w:val="center"/>
          </w:tcPr>
          <w:p>
            <w:pPr>
              <w:spacing w:after="40"/>
            </w:pPr>
            <w:r>
              <w:rPr>
                <w:sz w:val="16"/>
              </w:rPr>
              <w:t>Requester attempts a restricted action without permission.</w:t>
            </w:r>
          </w:p>
        </w:tc>
        <w:tc>
          <w:tcPr>
            <w:tcW w:type="dxa" w:w="2520"/>
            <w:vAlign w:val="center"/>
          </w:tcPr>
          <w:p>
            <w:pPr>
              <w:spacing w:after="40"/>
            </w:pPr>
            <w:r>
              <w:rPr>
                <w:sz w:val="16"/>
              </w:rPr>
              <w:t>Restricted action is blocked; reason and attempt are logged; no fulfilment occurs.</w:t>
            </w:r>
          </w:p>
        </w:tc>
        <w:tc>
          <w:tcPr>
            <w:tcW w:type="dxa" w:w="2520"/>
            <w:vAlign w:val="center"/>
          </w:tcPr>
          <w:p>
            <w:pPr>
              <w:spacing w:after="40"/>
            </w:pPr>
            <w:r>
              <w:rPr>
                <w:sz w:val="16"/>
              </w:rPr>
              <w:t>Refer to authorized staff or tell requester how to submit a permitted request.</w:t>
            </w:r>
          </w:p>
        </w:tc>
      </w:tr>
      <w:tr>
        <w:tc>
          <w:tcPr>
            <w:tcW w:type="dxa" w:w="2520"/>
            <w:vAlign w:val="center"/>
          </w:tcPr>
          <w:p>
            <w:pPr>
              <w:spacing w:after="40"/>
            </w:pPr>
            <w:r>
              <w:rPr>
                <w:sz w:val="16"/>
              </w:rPr>
              <w:t>TC-05 Failed step</w:t>
            </w:r>
          </w:p>
        </w:tc>
        <w:tc>
          <w:tcPr>
            <w:tcW w:type="dxa" w:w="2520"/>
            <w:vAlign w:val="center"/>
          </w:tcPr>
          <w:p>
            <w:pPr>
              <w:spacing w:after="40"/>
            </w:pPr>
            <w:r>
              <w:rPr>
                <w:sz w:val="16"/>
              </w:rPr>
              <w:t>Downstream service or notification fails after request creation.</w:t>
            </w:r>
          </w:p>
        </w:tc>
        <w:tc>
          <w:tcPr>
            <w:tcW w:type="dxa" w:w="2520"/>
            <w:vAlign w:val="center"/>
          </w:tcPr>
          <w:p>
            <w:pPr>
              <w:spacing w:after="40"/>
            </w:pPr>
            <w:r>
              <w:rPr>
                <w:sz w:val="16"/>
              </w:rPr>
              <w:t>Request and audit trail remain intact; status becomes Failed or Manual Review; no duplicate outcome is created.</w:t>
            </w:r>
          </w:p>
        </w:tc>
        <w:tc>
          <w:tcPr>
            <w:tcW w:type="dxa" w:w="2520"/>
            <w:vAlign w:val="center"/>
          </w:tcPr>
          <w:p>
            <w:pPr>
              <w:spacing w:after="40"/>
            </w:pPr>
            <w:r>
              <w:rPr>
                <w:sz w:val="16"/>
              </w:rPr>
              <w:t>Retry only if safe; otherwise manual processing and status notification.</w:t>
            </w:r>
          </w:p>
        </w:tc>
      </w:tr>
    </w:tbl>
    <w:p>
      <w:r>
        <w:t>Execution status: these are test specifications and expected outcomes, not results from a deployed application. A prototype would need to be run and each case marked Pass/Fail using observed outputs.</w:t>
      </w:r>
    </w:p>
    <w:p>
      <w:pPr>
        <w:pStyle w:val="Heading1"/>
      </w:pPr>
      <w:r>
        <w:t>8. Net time-saving calculation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Pr>
                <w:sz w:val="16"/>
              </w:rPr>
              <w:t>Calculation item</w:t>
            </w:r>
          </w:p>
        </w:tc>
        <w:tc>
          <w:tcPr>
            <w:tcW w:type="dxa" w:w="3360"/>
            <w:vAlign w:val="center"/>
          </w:tcPr>
          <w:p>
            <w:pPr>
              <w:spacing w:after="40"/>
            </w:pPr>
            <w:r>
              <w:rPr>
                <w:sz w:val="16"/>
              </w:rPr>
              <w:t>Minutes</w:t>
            </w:r>
          </w:p>
        </w:tc>
        <w:tc>
          <w:tcPr>
            <w:tcW w:type="dxa" w:w="3360"/>
            <w:vAlign w:val="center"/>
          </w:tcPr>
          <w:p>
            <w:pPr>
              <w:spacing w:after="40"/>
            </w:pPr>
            <w:r>
              <w:rPr>
                <w:sz w:val="16"/>
              </w:rPr>
              <w:t>Formula / note</w:t>
            </w:r>
          </w:p>
        </w:tc>
      </w:tr>
      <w:tr>
        <w:tc>
          <w:tcPr>
            <w:tcW w:type="dxa" w:w="3360"/>
            <w:vAlign w:val="center"/>
          </w:tcPr>
          <w:p>
            <w:pPr>
              <w:spacing w:after="40"/>
            </w:pPr>
            <w:r>
              <w:rPr>
                <w:sz w:val="16"/>
              </w:rPr>
              <w:t>Baseline initial handling</w:t>
            </w:r>
          </w:p>
        </w:tc>
        <w:tc>
          <w:tcPr>
            <w:tcW w:type="dxa" w:w="3360"/>
            <w:vAlign w:val="center"/>
          </w:tcPr>
          <w:p>
            <w:pPr>
              <w:spacing w:after="40"/>
            </w:pPr>
            <w:r>
              <w:rPr>
                <w:sz w:val="16"/>
              </w:rPr>
              <w:t>550</w:t>
            </w:r>
          </w:p>
        </w:tc>
        <w:tc>
          <w:tcPr>
            <w:tcW w:type="dxa" w:w="3360"/>
            <w:vAlign w:val="center"/>
          </w:tcPr>
          <w:p>
            <w:pPr>
              <w:spacing w:after="40"/>
            </w:pPr>
            <w:r>
              <w:rPr>
                <w:sz w:val="16"/>
              </w:rPr>
              <w:t>Analysis datasetset summary.</w:t>
            </w:r>
          </w:p>
        </w:tc>
      </w:tr>
      <w:tr>
        <w:tc>
          <w:tcPr>
            <w:tcW w:type="dxa" w:w="3360"/>
            <w:vAlign w:val="center"/>
          </w:tcPr>
          <w:p>
            <w:pPr>
              <w:spacing w:after="40"/>
            </w:pPr>
            <w:r>
              <w:rPr>
                <w:sz w:val="16"/>
              </w:rPr>
              <w:t>Baseline rework</w:t>
            </w:r>
          </w:p>
        </w:tc>
        <w:tc>
          <w:tcPr>
            <w:tcW w:type="dxa" w:w="3360"/>
            <w:vAlign w:val="center"/>
          </w:tcPr>
          <w:p>
            <w:pPr>
              <w:spacing w:after="40"/>
            </w:pPr>
            <w:r>
              <w:rPr>
                <w:sz w:val="16"/>
              </w:rPr>
              <w:t>85</w:t>
            </w:r>
          </w:p>
        </w:tc>
        <w:tc>
          <w:tcPr>
            <w:tcW w:type="dxa" w:w="3360"/>
            <w:vAlign w:val="center"/>
          </w:tcPr>
          <w:p>
            <w:pPr>
              <w:spacing w:after="40"/>
            </w:pPr>
            <w:r>
              <w:rPr>
                <w:sz w:val="16"/>
              </w:rPr>
              <w:t>Analysis datasetset summary.</w:t>
            </w:r>
          </w:p>
        </w:tc>
      </w:tr>
      <w:tr>
        <w:tc>
          <w:tcPr>
            <w:tcW w:type="dxa" w:w="3360"/>
            <w:vAlign w:val="center"/>
          </w:tcPr>
          <w:p>
            <w:pPr>
              <w:spacing w:after="40"/>
            </w:pPr>
            <w:r>
              <w:rPr>
                <w:sz w:val="16"/>
              </w:rPr>
              <w:t>Baseline total</w:t>
            </w:r>
          </w:p>
        </w:tc>
        <w:tc>
          <w:tcPr>
            <w:tcW w:type="dxa" w:w="3360"/>
            <w:vAlign w:val="center"/>
          </w:tcPr>
          <w:p>
            <w:pPr>
              <w:spacing w:after="40"/>
            </w:pPr>
            <w:r>
              <w:rPr>
                <w:sz w:val="16"/>
              </w:rPr>
              <w:t>635</w:t>
            </w:r>
          </w:p>
        </w:tc>
        <w:tc>
          <w:tcPr>
            <w:tcW w:type="dxa" w:w="3360"/>
            <w:vAlign w:val="center"/>
          </w:tcPr>
          <w:p>
            <w:pPr>
              <w:spacing w:after="40"/>
            </w:pPr>
            <w:r>
              <w:rPr>
                <w:sz w:val="16"/>
              </w:rPr>
              <w:t>550 + 85.</w:t>
            </w:r>
          </w:p>
        </w:tc>
      </w:tr>
      <w:tr>
        <w:tc>
          <w:tcPr>
            <w:tcW w:type="dxa" w:w="3360"/>
            <w:vAlign w:val="center"/>
          </w:tcPr>
          <w:p>
            <w:pPr>
              <w:spacing w:after="40"/>
            </w:pPr>
            <w:r>
              <w:rPr>
                <w:sz w:val="16"/>
              </w:rPr>
              <w:t>Improved routine handling</w:t>
            </w:r>
          </w:p>
        </w:tc>
        <w:tc>
          <w:tcPr>
            <w:tcW w:type="dxa" w:w="3360"/>
            <w:vAlign w:val="center"/>
          </w:tcPr>
          <w:p>
            <w:pPr>
              <w:spacing w:after="40"/>
            </w:pPr>
            <w:r>
              <w:rPr>
                <w:sz w:val="16"/>
              </w:rPr>
              <w:t>350</w:t>
            </w:r>
          </w:p>
        </w:tc>
        <w:tc>
          <w:tcPr>
            <w:tcW w:type="dxa" w:w="3360"/>
            <w:vAlign w:val="center"/>
          </w:tcPr>
          <w:p>
            <w:pPr>
              <w:spacing w:after="40"/>
            </w:pPr>
            <w:r>
              <w:rPr>
                <w:sz w:val="16"/>
              </w:rPr>
              <w:t>50 requests × 7 minutes per request.</w:t>
            </w:r>
          </w:p>
        </w:tc>
      </w:tr>
      <w:tr>
        <w:tc>
          <w:tcPr>
            <w:tcW w:type="dxa" w:w="3360"/>
            <w:vAlign w:val="center"/>
          </w:tcPr>
          <w:p>
            <w:pPr>
              <w:spacing w:after="40"/>
            </w:pPr>
            <w:r>
              <w:rPr>
                <w:sz w:val="16"/>
              </w:rPr>
              <w:t>Improved review/support</w:t>
            </w:r>
          </w:p>
        </w:tc>
        <w:tc>
          <w:tcPr>
            <w:tcW w:type="dxa" w:w="3360"/>
            <w:vAlign w:val="center"/>
          </w:tcPr>
          <w:p>
            <w:pPr>
              <w:spacing w:after="40"/>
            </w:pPr>
            <w:r>
              <w:rPr>
                <w:sz w:val="16"/>
              </w:rPr>
              <w:t>90</w:t>
            </w:r>
          </w:p>
        </w:tc>
        <w:tc>
          <w:tcPr>
            <w:tcW w:type="dxa" w:w="3360"/>
            <w:vAlign w:val="center"/>
          </w:tcPr>
          <w:p>
            <w:pPr>
              <w:spacing w:after="40"/>
            </w:pPr>
            <w:r>
              <w:rPr>
                <w:sz w:val="16"/>
              </w:rPr>
              <w:t>Scenario allowance for exception review and support.</w:t>
            </w:r>
          </w:p>
        </w:tc>
      </w:tr>
      <w:tr>
        <w:tc>
          <w:tcPr>
            <w:tcW w:type="dxa" w:w="3360"/>
            <w:vAlign w:val="center"/>
          </w:tcPr>
          <w:p>
            <w:pPr>
              <w:spacing w:after="40"/>
            </w:pPr>
            <w:r>
              <w:rPr>
                <w:sz w:val="16"/>
              </w:rPr>
              <w:t>Improved total</w:t>
            </w:r>
          </w:p>
        </w:tc>
        <w:tc>
          <w:tcPr>
            <w:tcW w:type="dxa" w:w="3360"/>
            <w:vAlign w:val="center"/>
          </w:tcPr>
          <w:p>
            <w:pPr>
              <w:spacing w:after="40"/>
            </w:pPr>
            <w:r>
              <w:rPr>
                <w:sz w:val="16"/>
              </w:rPr>
              <w:t>440</w:t>
            </w:r>
          </w:p>
        </w:tc>
        <w:tc>
          <w:tcPr>
            <w:tcW w:type="dxa" w:w="3360"/>
            <w:vAlign w:val="center"/>
          </w:tcPr>
          <w:p>
            <w:pPr>
              <w:spacing w:after="40"/>
            </w:pPr>
            <w:r>
              <w:rPr>
                <w:sz w:val="16"/>
              </w:rPr>
              <w:t>350 + 90.</w:t>
            </w:r>
          </w:p>
        </w:tc>
      </w:tr>
      <w:tr>
        <w:tc>
          <w:tcPr>
            <w:tcW w:type="dxa" w:w="3360"/>
            <w:vAlign w:val="center"/>
          </w:tcPr>
          <w:p>
            <w:pPr>
              <w:spacing w:after="40"/>
            </w:pPr>
            <w:r>
              <w:rPr>
                <w:sz w:val="16"/>
              </w:rPr>
              <w:t>Net active time saved</w:t>
            </w:r>
          </w:p>
        </w:tc>
        <w:tc>
          <w:tcPr>
            <w:tcW w:type="dxa" w:w="3360"/>
            <w:vAlign w:val="center"/>
          </w:tcPr>
          <w:p>
            <w:pPr>
              <w:spacing w:after="40"/>
            </w:pPr>
            <w:r>
              <w:rPr>
                <w:sz w:val="16"/>
              </w:rPr>
              <w:t>195</w:t>
            </w:r>
          </w:p>
        </w:tc>
        <w:tc>
          <w:tcPr>
            <w:tcW w:type="dxa" w:w="3360"/>
            <w:vAlign w:val="center"/>
          </w:tcPr>
          <w:p>
            <w:pPr>
              <w:spacing w:after="40"/>
            </w:pPr>
            <w:r>
              <w:rPr>
                <w:sz w:val="16"/>
              </w:rPr>
              <w:t>635 − 440 = 195 minutes = 3 h 15 min.</w:t>
            </w:r>
          </w:p>
        </w:tc>
      </w:tr>
      <w:tr>
        <w:tc>
          <w:tcPr>
            <w:tcW w:type="dxa" w:w="3360"/>
            <w:vAlign w:val="center"/>
          </w:tcPr>
          <w:p>
            <w:pPr>
              <w:spacing w:after="40"/>
            </w:pPr>
            <w:r>
              <w:rPr>
                <w:sz w:val="16"/>
              </w:rPr>
              <w:t>Percentage saved</w:t>
            </w:r>
          </w:p>
        </w:tc>
        <w:tc>
          <w:tcPr>
            <w:tcW w:type="dxa" w:w="3360"/>
            <w:vAlign w:val="center"/>
          </w:tcPr>
          <w:p>
            <w:pPr>
              <w:spacing w:after="40"/>
            </w:pPr>
            <w:r>
              <w:rPr>
                <w:sz w:val="16"/>
              </w:rPr>
              <w:t>30.7%</w:t>
            </w:r>
          </w:p>
        </w:tc>
        <w:tc>
          <w:tcPr>
            <w:tcW w:type="dxa" w:w="3360"/>
            <w:vAlign w:val="center"/>
          </w:tcPr>
          <w:p>
            <w:pPr>
              <w:spacing w:after="40"/>
            </w:pPr>
            <w:r>
              <w:rPr>
                <w:sz w:val="16"/>
              </w:rPr>
              <w:t>195 ÷ 635 × 100.</w:t>
            </w:r>
          </w:p>
        </w:tc>
      </w:tr>
    </w:tbl>
    <w:p>
      <w:r>
        <w:t>The calculation is a scenario estimate, not measured savings. It excludes one-time setup/development effort and elapsed waiting time. Before claiming real improvement, run a permitted pilot and measure active handling, rework, waiting, turnaround, exceptions and recovery with consistent boundaries.</w:t>
      </w:r>
    </w:p>
    <w:p>
      <w:pPr>
        <w:pStyle w:val="Heading1"/>
      </w:pPr>
      <w:r>
        <w:t>9. Risks, limitations and validation plan</w:t>
      </w:r>
    </w:p>
    <w:p>
      <w:pPr>
        <w:pStyle w:val="ListBullet"/>
      </w:pPr>
      <w:r>
        <w:t>The 50-record dataset and its numerical results are analysis inputs for this exercise; no actual student information is included.</w:t>
      </w:r>
    </w:p>
    <w:p>
      <w:pPr>
        <w:pStyle w:val="ListBullet"/>
      </w:pPr>
      <w:r>
        <w:t>The current-state workflow and role names are proposed process assumptions, not a statement of verified IFHE policy.</w:t>
      </w:r>
    </w:p>
    <w:p>
      <w:pPr>
        <w:pStyle w:val="ListBullet"/>
      </w:pPr>
      <w:r>
        <w:t>The sample is not statistically representative and cannot establish actual request volume or exception rates.</w:t>
      </w:r>
    </w:p>
    <w:p>
      <w:pPr>
        <w:pStyle w:val="ListBullet"/>
      </w:pPr>
      <w:r>
        <w:t>Before implementation, confirm approval authority, privacy, retention, access control and escalation requirements with a permitted process owner.</w:t>
      </w:r>
    </w:p>
    <w:p>
      <w:pPr>
        <w:pStyle w:val="ListBullet"/>
      </w:pPr>
      <w:r>
        <w:t>Run the five tests against a prototype, capture actual outputs, and record Pass/Fail with date and evidence.</w:t>
      </w:r>
    </w:p>
    <w:p>
      <w:pPr>
        <w:pStyle w:val="ListBullet"/>
      </w:pPr>
      <w:r>
        <w:t>Compare active work time separately from elapsed turnaround; ensure faster handling does not weaken authorization or privacy controls.</w:t>
      </w:r>
    </w:p>
    <w:p>
      <w:pPr>
        <w:pStyle w:val="Heading1"/>
      </w:pPr>
      <w:r>
        <w:t>Reference</w:t>
      </w:r>
    </w:p>
    <w:p>
      <w:r>
        <w:t>APQC, “What Measures Should Organizations Use To Assess Process Performance?”, accessed 23 October 2026: https://www.apqc.org/What-Measures-Should-Organizations-Use-To-Assess-Process-Performance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