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xa6eumt02uf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Go/No-Go Decision Matrix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4enbvl1e5xm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SAP Inventory Management Implementation — Server Rework Operations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Type:</w:t>
      </w:r>
      <w:r w:rsidDel="00000000" w:rsidR="00000000" w:rsidRPr="00000000">
        <w:rPr>
          <w:rtl w:val="0"/>
        </w:rPr>
        <w:t xml:space="preserve"> Go/No-Go Decision Matrix (SAP Activate – Deploy Phase)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Technology Consultant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Based on:</w:t>
      </w:r>
      <w:r w:rsidDel="00000000" w:rsidR="00000000" w:rsidRPr="00000000">
        <w:rPr>
          <w:rtl w:val="0"/>
        </w:rPr>
        <w:t xml:space="preserve"> Test Plan Results (Doc 05)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8o8fkz9ps8r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Purpose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formally assesses readiness for production go-live based on defined risk and readiness parameters, following completion of Functional and User Acceptance Testing. It provides a structured, auditable basis for the go-live decision, rather than a subjective judgment call.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rbh9hmcunmt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Decision Criteria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parameter is scored as </w:t>
      </w:r>
      <w:r w:rsidDel="00000000" w:rsidR="00000000" w:rsidRPr="00000000">
        <w:rPr>
          <w:b w:val="1"/>
          <w:bCs w:val="1"/>
          <w:rtl w:val="0"/>
        </w:rPr>
        <w:t xml:space="preserve">Green</w:t>
      </w:r>
      <w:r w:rsidDel="00000000" w:rsidR="00000000" w:rsidRPr="00000000">
        <w:rPr>
          <w:rtl w:val="0"/>
        </w:rPr>
        <w:t xml:space="preserve"> (ready, no concern), </w:t>
      </w:r>
      <w:r w:rsidDel="00000000" w:rsidR="00000000" w:rsidRPr="00000000">
        <w:rPr>
          <w:b w:val="1"/>
          <w:bCs w:val="1"/>
          <w:rtl w:val="0"/>
        </w:rPr>
        <w:t xml:space="preserve">Yellow</w:t>
      </w:r>
      <w:r w:rsidDel="00000000" w:rsidR="00000000" w:rsidRPr="00000000">
        <w:rPr>
          <w:rtl w:val="0"/>
        </w:rPr>
        <w:t xml:space="preserve"> (minor risk, mitigated), or </w:t>
      </w:r>
      <w:r w:rsidDel="00000000" w:rsidR="00000000" w:rsidRPr="00000000">
        <w:rPr>
          <w:b w:val="1"/>
          <w:bCs w:val="1"/>
          <w:rtl w:val="0"/>
        </w:rPr>
        <w:t xml:space="preserve">Red</w:t>
      </w:r>
      <w:r w:rsidDel="00000000" w:rsidR="00000000" w:rsidRPr="00000000">
        <w:rPr>
          <w:rtl w:val="0"/>
        </w:rPr>
        <w:t xml:space="preserve"> (blocking issue, must resolve before go-live). A </w:t>
      </w:r>
      <w:r w:rsidDel="00000000" w:rsidR="00000000" w:rsidRPr="00000000">
        <w:rPr>
          <w:b w:val="1"/>
          <w:bCs w:val="1"/>
          <w:rtl w:val="0"/>
        </w:rPr>
        <w:t xml:space="preserve">Go</w:t>
      </w:r>
      <w:r w:rsidDel="00000000" w:rsidR="00000000" w:rsidRPr="00000000">
        <w:rPr>
          <w:rtl w:val="0"/>
        </w:rPr>
        <w:t xml:space="preserve"> decision requires no Red ratings and no more than one unmitigated Yellow.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rPr/>
      </w:pPr>
      <w:bookmarkStart w:colFirst="0" w:colLast="0" w:name="_sagppn50bonw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Readiness Assessment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1395"/>
        <w:gridCol w:w="4845"/>
        <w:tblGridChange w:id="0">
          <w:tblGrid>
            <w:gridCol w:w="3120"/>
            <w:gridCol w:w="1395"/>
            <w:gridCol w:w="48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Rationable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 High-priority Functional Test cases passed (FT-01 to FT-05)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🟢 Green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Goods Receipt, Stock Removal, Transfer, Goods Issue, and Stock Overview reporting all validated accurate in Quality environment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Medium-priority Functional Test cases passed (FT-06 to FT-08)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🟢 Green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Reorder point trigger, role-based access restriction, and serial number uniqueness all validated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UAT scenarios completed with end-user signoff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🟢 Green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Rework Operator, Warehouse, and Production Supervisor all confirmed system meets operational need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 Critical or High severity defects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🟢 Green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 identified during testing cycle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Role-based access configured and tested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🟢 Green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Rework Operator and Warehouse/Receiving roles correctly restrict access per design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Master data readiness (material masters, serial number profiles, reorder points)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🟡 Yellow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 cycle used representative sample part types only; full part catalog setup still required before go-live — mitigation: complete full data load during cutover window (see Section 5)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End-user training completed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🟡 Yellow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UAT participants trained; full rework floor staff training scheduled for cutover week — mitigation: fallback to manual process remains available during hypercare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Rollback plan defined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🟢 Green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Manual Excel/physical-check process remains available as fallback during hypercare period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Stakeholder sign-off obtained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🟢 Green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Production Supervisor and Warehouse Inventory Lead both approved during Q-Gate 3</w:t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53rze7uxi3y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Overall Decision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Decision: GO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Rationale: All Critical and High-priority test criteria passed with no unresolved defects. The two Yellow items (full part catalog data load, full-floor training) are standard pre-cutover activities rather than solution defects, and both have clear mitigation paths that do not block a phased go-live.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ni51bg6g5v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Conditions for Go-Live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 material master data load for full in-scope part catalog (beyond the tested sample) prior to cutover weekend.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end-user training for all rework floor staff (beyond UAT participants) during cutover week.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manual fallback process availability through the hypercare period (first 2 weeks post-go-live).</w:t>
      </w:r>
    </w:p>
    <w:p w:rsidR="00000000" w:rsidDel="00000000" w:rsidP="00000000" w:rsidRDefault="00000000" w:rsidRPr="00000000" w14:paraId="00000034">
      <w:pPr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after="40" w:before="240" w:lineRule="auto"/>
        <w:rPr/>
      </w:pPr>
      <w:bookmarkStart w:colFirst="0" w:colLast="0" w:name="_3n3gjdd4d2cj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Sign-off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95"/>
        <w:gridCol w:w="2190"/>
        <w:gridCol w:w="2040"/>
        <w:gridCol w:w="2235"/>
        <w:tblGridChange w:id="0">
          <w:tblGrid>
            <w:gridCol w:w="2895"/>
            <w:gridCol w:w="2190"/>
            <w:gridCol w:w="2040"/>
            <w:gridCol w:w="22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</w:tr>
      <w:tr>
        <w:trPr>
          <w:cantSplit w:val="0"/>
          <w:trHeight w:val="655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Production Supervisor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[Simulated]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Approve 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[Simulated]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Warehouse Inventory Lead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[Simulated]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Approve 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[Simulated]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Technology Consultant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[Simulated]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Approve 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[Simulated]</w:t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mtd5fe568gb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 Next Step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Proceed with cutover activities and go-live, followed by hypercare monitoring and Post-Implementation Review.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