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pPr>
      <w:r>
        <w:rPr>
          <w:rFonts w:ascii="Arial" w:hAnsi="Arial"/>
          <w:b/>
          <w:i w:val="0"/>
          <w:color w:val="1F4E79"/>
          <w:sz w:val="48"/>
        </w:rPr>
        <w:t>DATA VISUALIZATION, REPORTING, AND STORYTELLING</w:t>
      </w:r>
    </w:p>
    <w:p>
      <w:pPr>
        <w:spacing w:before="0" w:after="360" w:line="276" w:lineRule="auto"/>
      </w:pPr>
      <w:r>
        <w:rPr>
          <w:rFonts w:ascii="Arial" w:hAnsi="Arial"/>
          <w:b w:val="0"/>
          <w:i/>
          <w:color w:val="7F7F7F"/>
          <w:sz w:val="28"/>
        </w:rPr>
        <w:t>Strategic Reporting Framework &amp; Visual Storyboarding Plan</w:t>
      </w:r>
    </w:p>
    <w:p>
      <w:pPr>
        <w:spacing w:after="240"/>
      </w:pPr>
    </w:p>
    <w:p>
      <w:pPr>
        <w:pStyle w:val="Heading1"/>
        <w:spacing w:before="240" w:after="120" w:line="276" w:lineRule="auto"/>
      </w:pPr>
      <w:r>
        <w:rPr>
          <w:rFonts w:ascii="Arial" w:hAnsi="Arial"/>
          <w:b/>
          <w:i w:val="0"/>
          <w:color w:val="1F4E79"/>
          <w:sz w:val="32"/>
        </w:rPr>
        <w:t>1. Executive Summary &amp; Core Insights</w:t>
      </w:r>
    </w:p>
    <w:p>
      <w:pPr>
        <w:spacing w:before="0" w:after="120" w:line="276" w:lineRule="auto"/>
      </w:pPr>
      <w:r>
        <w:rPr>
          <w:rFonts w:ascii="Arial" w:hAnsi="Arial"/>
          <w:b w:val="0"/>
          <w:i w:val="0"/>
          <w:color w:val="333333"/>
          <w:sz w:val="22"/>
        </w:rPr>
        <w:t>This framework transforms complex technical analysis into a highly structured business narrative. In dynamic corporate environments, data raw outputs must be translated into actionable visual strategies to align executive leadership. Our focus is centered on translating empirical metrics into a sequential story that reveals market performance, customer friction points, and future growth opportunities.</w:t>
      </w:r>
    </w:p>
    <w:p>
      <w:pPr>
        <w:pStyle w:val="Heading1"/>
        <w:spacing w:before="360" w:after="120" w:line="276" w:lineRule="auto"/>
      </w:pPr>
      <w:r>
        <w:rPr>
          <w:rFonts w:ascii="Arial" w:hAnsi="Arial"/>
          <w:b/>
          <w:i w:val="0"/>
          <w:color w:val="1F4E79"/>
          <w:sz w:val="32"/>
        </w:rPr>
        <w:t>2. Visual Tool Selection &amp; Rationale Matrix</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40" w:type="dxa"/>
              <w:bottom w:w="140" w:type="dxa"/>
              <w:left w:w="150" w:type="dxa"/>
              <w:right w:w="150" w:type="dxa"/>
            </w:tcMar>
          </w:tcPr>
          <w:p>
            <w:pPr>
              <w:spacing w:before="0" w:after="0" w:line="276" w:lineRule="auto"/>
              <w:jc w:val="left"/>
            </w:pPr>
            <w:r>
              <w:rPr>
                <w:rFonts w:ascii="Arial" w:hAnsi="Arial"/>
                <w:b/>
                <w:i w:val="0"/>
                <w:color w:val="FFFFFF"/>
                <w:sz w:val="22"/>
              </w:rPr>
              <w:t>Visualization Library</w:t>
            </w:r>
          </w:p>
        </w:tc>
        <w:tc>
          <w:tcPr>
            <w:tcW w:type="dxa" w:w="3120"/>
            <w:shd w:fill="1F4E79"/>
            <w:tcMar>
              <w:top w:w="140" w:type="dxa"/>
              <w:bottom w:w="140" w:type="dxa"/>
              <w:left w:w="150" w:type="dxa"/>
              <w:right w:w="150" w:type="dxa"/>
            </w:tcMar>
          </w:tcPr>
          <w:p>
            <w:pPr>
              <w:spacing w:before="0" w:after="0" w:line="276" w:lineRule="auto"/>
              <w:jc w:val="left"/>
            </w:pPr>
            <w:r>
              <w:rPr>
                <w:rFonts w:ascii="Arial" w:hAnsi="Arial"/>
                <w:b/>
                <w:i w:val="0"/>
                <w:color w:val="FFFFFF"/>
                <w:sz w:val="22"/>
              </w:rPr>
              <w:t>Primary Chart Type &amp; Purpose</w:t>
            </w:r>
          </w:p>
        </w:tc>
        <w:tc>
          <w:tcPr>
            <w:tcW w:type="dxa" w:w="3120"/>
            <w:shd w:fill="1F4E79"/>
            <w:tcMar>
              <w:top w:w="140" w:type="dxa"/>
              <w:bottom w:w="140" w:type="dxa"/>
              <w:left w:w="150" w:type="dxa"/>
              <w:right w:w="150" w:type="dxa"/>
            </w:tcMar>
          </w:tcPr>
          <w:p>
            <w:pPr>
              <w:spacing w:before="0" w:after="0" w:line="276" w:lineRule="auto"/>
              <w:jc w:val="left"/>
            </w:pPr>
            <w:r>
              <w:rPr>
                <w:rFonts w:ascii="Arial" w:hAnsi="Arial"/>
                <w:b/>
                <w:i w:val="0"/>
                <w:color w:val="FFFFFF"/>
                <w:sz w:val="22"/>
              </w:rPr>
              <w:t>Business Rationale</w:t>
            </w:r>
          </w:p>
        </w:tc>
      </w:tr>
      <w:tr>
        <w:tc>
          <w:tcPr>
            <w:tcW w:type="dxa" w:w="3120"/>
            <w:tcMar>
              <w:top w:w="100" w:type="dxa"/>
              <w:bottom w:w="100" w:type="dxa"/>
              <w:left w:w="150" w:type="dxa"/>
              <w:right w:w="150" w:type="dxa"/>
            </w:tcMar>
          </w:tcPr>
          <w:p>
            <w:pPr>
              <w:spacing w:before="0" w:after="0" w:line="276" w:lineRule="auto"/>
            </w:pPr>
            <w:r>
              <w:rPr>
                <w:rFonts w:ascii="Arial" w:hAnsi="Arial"/>
                <w:b w:val="0"/>
                <w:i w:val="0"/>
                <w:color w:val="333333"/>
                <w:sz w:val="20"/>
              </w:rPr>
              <w:t>Matplotlib</w:t>
            </w:r>
          </w:p>
        </w:tc>
        <w:tc>
          <w:tcPr>
            <w:tcW w:type="dxa" w:w="3120"/>
            <w:tcMar>
              <w:top w:w="100" w:type="dxa"/>
              <w:bottom w:w="100" w:type="dxa"/>
              <w:left w:w="150" w:type="dxa"/>
              <w:right w:w="150" w:type="dxa"/>
            </w:tcMar>
          </w:tcPr>
          <w:p>
            <w:pPr>
              <w:spacing w:before="0" w:after="0" w:line="276" w:lineRule="auto"/>
            </w:pPr>
            <w:r>
              <w:rPr>
                <w:rFonts w:ascii="Arial" w:hAnsi="Arial"/>
                <w:b w:val="0"/>
                <w:i w:val="0"/>
                <w:color w:val="333333"/>
                <w:sz w:val="20"/>
              </w:rPr>
              <w:t>Line &amp; Bar Charts (Temporal &amp; Distribution)</w:t>
            </w:r>
          </w:p>
        </w:tc>
        <w:tc>
          <w:tcPr>
            <w:tcW w:type="dxa" w:w="3120"/>
            <w:tcMar>
              <w:top w:w="100" w:type="dxa"/>
              <w:bottom w:w="100" w:type="dxa"/>
              <w:left w:w="150" w:type="dxa"/>
              <w:right w:w="150" w:type="dxa"/>
            </w:tcMar>
          </w:tcPr>
          <w:p>
            <w:pPr>
              <w:spacing w:before="0" w:after="0" w:line="276" w:lineRule="auto"/>
            </w:pPr>
            <w:r>
              <w:rPr>
                <w:rFonts w:ascii="Arial" w:hAnsi="Arial"/>
                <w:b w:val="0"/>
                <w:i w:val="0"/>
                <w:color w:val="333333"/>
                <w:sz w:val="20"/>
              </w:rPr>
              <w:t>Offers low-level pixel control. Excellent for generating high-definition, static baseline metrics and baseline distributions for print reports.</w:t>
            </w:r>
          </w:p>
        </w:tc>
      </w:tr>
      <w:tr>
        <w:tc>
          <w:tcPr>
            <w:tcW w:type="dxa" w:w="3120"/>
            <w:shd w:fill="F2F4F7"/>
            <w:tcMar>
              <w:top w:w="100" w:type="dxa"/>
              <w:bottom w:w="100" w:type="dxa"/>
              <w:left w:w="150" w:type="dxa"/>
              <w:right w:w="150" w:type="dxa"/>
            </w:tcMar>
          </w:tcPr>
          <w:p>
            <w:pPr>
              <w:spacing w:before="0" w:after="0" w:line="276" w:lineRule="auto"/>
            </w:pPr>
            <w:r>
              <w:rPr>
                <w:rFonts w:ascii="Arial" w:hAnsi="Arial"/>
                <w:b w:val="0"/>
                <w:i w:val="0"/>
                <w:color w:val="333333"/>
                <w:sz w:val="20"/>
              </w:rPr>
              <w:t>Seaborn</w:t>
            </w:r>
          </w:p>
        </w:tc>
        <w:tc>
          <w:tcPr>
            <w:tcW w:type="dxa" w:w="3120"/>
            <w:shd w:fill="F2F4F7"/>
            <w:tcMar>
              <w:top w:w="100" w:type="dxa"/>
              <w:bottom w:w="100" w:type="dxa"/>
              <w:left w:w="150" w:type="dxa"/>
              <w:right w:w="150" w:type="dxa"/>
            </w:tcMar>
          </w:tcPr>
          <w:p>
            <w:pPr>
              <w:spacing w:before="0" w:after="0" w:line="276" w:lineRule="auto"/>
            </w:pPr>
            <w:r>
              <w:rPr>
                <w:rFonts w:ascii="Arial" w:hAnsi="Arial"/>
                <w:b w:val="0"/>
                <w:i w:val="0"/>
                <w:color w:val="333333"/>
                <w:sz w:val="20"/>
              </w:rPr>
              <w:t>Box Plots, Violin Plots, Heatmaps (Statistical Correlation)</w:t>
            </w:r>
          </w:p>
        </w:tc>
        <w:tc>
          <w:tcPr>
            <w:tcW w:type="dxa" w:w="3120"/>
            <w:shd w:fill="F2F4F7"/>
            <w:tcMar>
              <w:top w:w="100" w:type="dxa"/>
              <w:bottom w:w="100" w:type="dxa"/>
              <w:left w:w="150" w:type="dxa"/>
              <w:right w:w="150" w:type="dxa"/>
            </w:tcMar>
          </w:tcPr>
          <w:p>
            <w:pPr>
              <w:spacing w:before="0" w:after="0" w:line="276" w:lineRule="auto"/>
            </w:pPr>
            <w:r>
              <w:rPr>
                <w:rFonts w:ascii="Arial" w:hAnsi="Arial"/>
                <w:b w:val="0"/>
                <w:i w:val="0"/>
                <w:color w:val="333333"/>
                <w:sz w:val="20"/>
              </w:rPr>
              <w:t>Built on top of Matplotlib, provides exceptional statistical abstractions to highlight variance, distributions, and multi-variable correlations efficiently.</w:t>
            </w:r>
          </w:p>
        </w:tc>
      </w:tr>
      <w:tr>
        <w:tc>
          <w:tcPr>
            <w:tcW w:type="dxa" w:w="3120"/>
            <w:tcMar>
              <w:top w:w="100" w:type="dxa"/>
              <w:bottom w:w="100" w:type="dxa"/>
              <w:left w:w="150" w:type="dxa"/>
              <w:right w:w="150" w:type="dxa"/>
            </w:tcMar>
          </w:tcPr>
          <w:p>
            <w:pPr>
              <w:spacing w:before="0" w:after="0" w:line="276" w:lineRule="auto"/>
            </w:pPr>
            <w:r>
              <w:rPr>
                <w:rFonts w:ascii="Arial" w:hAnsi="Arial"/>
                <w:b w:val="0"/>
                <w:i w:val="0"/>
                <w:color w:val="333333"/>
                <w:sz w:val="20"/>
              </w:rPr>
              <w:t>Plotly</w:t>
            </w:r>
          </w:p>
        </w:tc>
        <w:tc>
          <w:tcPr>
            <w:tcW w:type="dxa" w:w="3120"/>
            <w:tcMar>
              <w:top w:w="100" w:type="dxa"/>
              <w:bottom w:w="100" w:type="dxa"/>
              <w:left w:w="150" w:type="dxa"/>
              <w:right w:w="150" w:type="dxa"/>
            </w:tcMar>
          </w:tcPr>
          <w:p>
            <w:pPr>
              <w:spacing w:before="0" w:after="0" w:line="276" w:lineRule="auto"/>
            </w:pPr>
            <w:r>
              <w:rPr>
                <w:rFonts w:ascii="Arial" w:hAnsi="Arial"/>
                <w:b w:val="0"/>
                <w:i w:val="0"/>
                <w:color w:val="333333"/>
                <w:sz w:val="20"/>
              </w:rPr>
              <w:t>Interactive Scatter Plots &amp; Geographic Maps</w:t>
            </w:r>
          </w:p>
        </w:tc>
        <w:tc>
          <w:tcPr>
            <w:tcW w:type="dxa" w:w="3120"/>
            <w:tcMar>
              <w:top w:w="100" w:type="dxa"/>
              <w:bottom w:w="100" w:type="dxa"/>
              <w:left w:w="150" w:type="dxa"/>
              <w:right w:w="150" w:type="dxa"/>
            </w:tcMar>
          </w:tcPr>
          <w:p>
            <w:pPr>
              <w:spacing w:before="0" w:after="0" w:line="276" w:lineRule="auto"/>
            </w:pPr>
            <w:r>
              <w:rPr>
                <w:rFonts w:ascii="Arial" w:hAnsi="Arial"/>
                <w:b w:val="0"/>
                <w:i w:val="0"/>
                <w:color w:val="333333"/>
                <w:sz w:val="20"/>
              </w:rPr>
              <w:t>Enables dynamic tooltip exploration and deep-dive capabilities for executive presentations, allowing users to drill down into localized data points.</w:t>
            </w:r>
          </w:p>
        </w:tc>
      </w:tr>
    </w:tbl>
    <w:p>
      <w:pPr>
        <w:spacing w:after="240"/>
      </w:pPr>
    </w:p>
    <w:p>
      <w:pPr>
        <w:pStyle w:val="Heading1"/>
        <w:spacing w:before="360" w:after="120" w:line="276" w:lineRule="auto"/>
      </w:pPr>
      <w:r>
        <w:rPr>
          <w:rFonts w:ascii="Arial" w:hAnsi="Arial"/>
          <w:b/>
          <w:i w:val="0"/>
          <w:color w:val="1F4E79"/>
          <w:sz w:val="32"/>
        </w:rPr>
        <w:t>3. Sequential Storyboarding and Narrative Flow</w:t>
      </w:r>
    </w:p>
    <w:p>
      <w:pPr>
        <w:spacing w:before="0" w:after="120" w:line="276" w:lineRule="auto"/>
      </w:pPr>
      <w:r>
        <w:rPr>
          <w:rFonts w:ascii="Arial" w:hAnsi="Arial"/>
          <w:b w:val="0"/>
          <w:i w:val="0"/>
          <w:color w:val="333333"/>
          <w:sz w:val="22"/>
        </w:rPr>
        <w:t>Our data-driven presentation adopts a structured three-tier storyline:</w:t>
      </w:r>
    </w:p>
    <w:p>
      <w:pPr>
        <w:pStyle w:val="ListBullet"/>
        <w:spacing w:before="0" w:after="80" w:line="276" w:lineRule="auto"/>
      </w:pPr>
      <w:r>
        <w:rPr>
          <w:rFonts w:ascii="Arial" w:hAnsi="Arial"/>
          <w:b/>
          <w:i w:val="0"/>
          <w:color w:val="333333"/>
          <w:sz w:val="22"/>
        </w:rPr>
        <w:t xml:space="preserve">Stage 1: The Macro Trend (Line Chart): </w:t>
      </w:r>
      <w:r>
        <w:rPr>
          <w:rFonts w:ascii="Arial" w:hAnsi="Arial"/>
          <w:b w:val="0"/>
          <w:i w:val="0"/>
          <w:color w:val="333333"/>
          <w:sz w:val="22"/>
        </w:rPr>
        <w:t>Establishes context by plotting quarterly performance or customer demand trajectory over a multi-year window, showing the clear operational trajectory.</w:t>
      </w:r>
    </w:p>
    <w:p>
      <w:pPr>
        <w:pStyle w:val="ListBullet"/>
        <w:spacing w:before="0" w:after="80" w:line="276" w:lineRule="auto"/>
      </w:pPr>
      <w:r>
        <w:rPr>
          <w:rFonts w:ascii="Arial" w:hAnsi="Arial"/>
          <w:b/>
          <w:i w:val="0"/>
          <w:color w:val="333333"/>
          <w:sz w:val="22"/>
        </w:rPr>
        <w:t xml:space="preserve">Stage 2: Segment Friction (Seaborn Heatmap): </w:t>
      </w:r>
      <w:r>
        <w:rPr>
          <w:rFonts w:ascii="Arial" w:hAnsi="Arial"/>
          <w:b w:val="0"/>
          <w:i w:val="0"/>
          <w:color w:val="333333"/>
          <w:sz w:val="22"/>
        </w:rPr>
        <w:t>Exposes critical systemic bottlenecks or underperforming product categories across demographics, isolating precisely where value is lost.</w:t>
      </w:r>
    </w:p>
    <w:p>
      <w:pPr>
        <w:pStyle w:val="ListBullet"/>
        <w:spacing w:before="0" w:after="80" w:line="276" w:lineRule="auto"/>
      </w:pPr>
      <w:r>
        <w:rPr>
          <w:rFonts w:ascii="Arial" w:hAnsi="Arial"/>
          <w:b/>
          <w:i w:val="0"/>
          <w:color w:val="333333"/>
          <w:sz w:val="22"/>
        </w:rPr>
        <w:t xml:space="preserve">Stage 3: Forward Horizon (Interactive Trend Analysis): </w:t>
      </w:r>
      <w:r>
        <w:rPr>
          <w:rFonts w:ascii="Arial" w:hAnsi="Arial"/>
          <w:b w:val="0"/>
          <w:i w:val="0"/>
          <w:color w:val="333333"/>
          <w:sz w:val="22"/>
        </w:rPr>
        <w:t>Concludes with predictive modeling curves showcasing the strategic benefits of implementing proposed optimizations.</w:t>
      </w:r>
    </w:p>
    <w:p>
      <w:pPr>
        <w:spacing w:after="120"/>
      </w:pPr>
    </w:p>
    <w:tbl>
      <w:tblPr>
        <w:tblW w:type="auto" w:w="0"/>
        <w:jc w:val="center"/>
        <w:tblLook w:firstColumn="1" w:firstRow="1" w:lastColumn="0" w:lastRow="0" w:noHBand="0" w:noVBand="1" w:val="04A0"/>
      </w:tblPr>
      <w:tblGrid>
        <w:gridCol w:w="9360"/>
      </w:tblGrid>
      <w:tr>
        <w:tc>
          <w:tcPr>
            <w:tcW w:type="dxa" w:w="9360"/>
            <w:shd w:fill="F2F4F7"/>
            <w:tcMar>
              <w:top w:w="200" w:type="dxa"/>
              <w:bottom w:w="200" w:type="dxa"/>
              <w:left w:w="200" w:type="dxa"/>
              <w:right w:w="200" w:type="dxa"/>
            </w:tcMar>
          </w:tcPr>
          <w:p>
            <w:pPr>
              <w:spacing w:before="120" w:after="120" w:line="276" w:lineRule="auto"/>
              <w:jc w:val="center"/>
            </w:pPr>
            <w:r>
              <w:rPr>
                <w:rFonts w:ascii="Arial" w:hAnsi="Arial"/>
                <w:b/>
                <w:i/>
                <w:color w:val="1F4E79"/>
                <w:sz w:val="20"/>
              </w:rPr>
              <w:t>[ PLACEHOLDER: INSERT SEQUENCE FLOW STORYBOARD CHART HERE ]</w:t>
              <w:br/>
              <w:t>(Recommended Dimensions: 6.5" x 3.5" | Suggested Format: PNG / EMF)</w:t>
            </w:r>
          </w:p>
        </w:tc>
      </w:tr>
    </w:tbl>
    <w:p>
      <w:pPr>
        <w:spacing w:after="240"/>
      </w:pPr>
    </w:p>
    <w:p>
      <w:pPr>
        <w:pStyle w:val="Heading1"/>
        <w:spacing w:before="360" w:after="120" w:line="276" w:lineRule="auto"/>
      </w:pPr>
      <w:r>
        <w:rPr>
          <w:rFonts w:ascii="Arial" w:hAnsi="Arial"/>
          <w:b/>
          <w:i w:val="0"/>
          <w:color w:val="1F4E79"/>
          <w:sz w:val="32"/>
        </w:rPr>
        <w:t>4. Guidelines for Impactful Presentation</w:t>
      </w:r>
    </w:p>
    <w:p>
      <w:pPr>
        <w:pStyle w:val="ListBullet"/>
        <w:spacing w:before="0" w:after="80" w:line="276" w:lineRule="auto"/>
      </w:pPr>
      <w:r>
        <w:rPr>
          <w:rFonts w:ascii="Arial" w:hAnsi="Arial"/>
          <w:b/>
          <w:i w:val="0"/>
          <w:color w:val="333333"/>
          <w:sz w:val="22"/>
        </w:rPr>
        <w:t xml:space="preserve">Design for Scannability: </w:t>
      </w:r>
      <w:r>
        <w:rPr>
          <w:rFonts w:ascii="Arial" w:hAnsi="Arial"/>
          <w:b w:val="0"/>
          <w:i w:val="0"/>
          <w:color w:val="333333"/>
          <w:sz w:val="22"/>
        </w:rPr>
        <w:t>Apply clear title hierarchies, keep visual elements clean, and ensure high-contrast palettes for universal accessibility.</w:t>
      </w:r>
    </w:p>
    <w:p>
      <w:pPr>
        <w:pStyle w:val="ListBullet"/>
        <w:spacing w:before="0" w:after="80" w:line="276" w:lineRule="auto"/>
      </w:pPr>
      <w:r>
        <w:rPr>
          <w:rFonts w:ascii="Arial" w:hAnsi="Arial"/>
          <w:b/>
          <w:i w:val="0"/>
          <w:color w:val="333333"/>
          <w:sz w:val="22"/>
        </w:rPr>
        <w:t xml:space="preserve">Minimize Cognitive Overhead: </w:t>
      </w:r>
      <w:r>
        <w:rPr>
          <w:rFonts w:ascii="Arial" w:hAnsi="Arial"/>
          <w:b w:val="0"/>
          <w:i w:val="0"/>
          <w:color w:val="333333"/>
          <w:sz w:val="22"/>
        </w:rPr>
        <w:t>Highlight only key data trends per slide, utilizing whitespace as a vital separator to anchor the audience's focus.</w:t>
      </w:r>
    </w:p>
    <w:p>
      <w:pPr>
        <w:pStyle w:val="ListBullet"/>
        <w:spacing w:before="0" w:after="80" w:line="276" w:lineRule="auto"/>
      </w:pPr>
      <w:r>
        <w:rPr>
          <w:rFonts w:ascii="Arial" w:hAnsi="Arial"/>
          <w:b/>
          <w:i w:val="0"/>
          <w:color w:val="333333"/>
          <w:sz w:val="22"/>
        </w:rPr>
        <w:t xml:space="preserve">Interactive Demonstration: </w:t>
      </w:r>
      <w:r>
        <w:rPr>
          <w:rFonts w:ascii="Arial" w:hAnsi="Arial"/>
          <w:b w:val="0"/>
          <w:i w:val="0"/>
          <w:color w:val="333333"/>
          <w:sz w:val="22"/>
        </w:rPr>
        <w:t>Utilize Plotly dashboards during active meetings to facilitate dynamic, real-time query responses to unexpected stakeholder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