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64748B"/>
          <w:sz w:val="22"/>
        </w:rPr>
        <w:t>NATIONAL CARDIOLOGY REGISTRY SYSTEM</w:t>
        <w:br/>
      </w:r>
      <w:r>
        <w:rPr>
          <w:b/>
          <w:color w:val="1E3A8A"/>
          <w:sz w:val="44"/>
        </w:rPr>
        <w:t>Master Patient Index (MPI) &amp; Identity Resolution Engine</w:t>
        <w:br/>
      </w:r>
      <w:r>
        <w:rPr>
          <w:i/>
          <w:color w:val="475569"/>
          <w:sz w:val="24"/>
        </w:rPr>
        <w:t>Complete System Architecture, Multi-Tier Resolution Algorithms, Mathematical Scoring Models, and Database Specifications</w:t>
      </w:r>
    </w:p>
    <w:p>
      <w:pPr>
        <w:spacing w:after="200"/>
      </w:pPr>
    </w:p>
    <w:tbl>
      <w:tblPr>
        <w:tblW w:type="auto" w:w="0"/>
        <w:jc w:val="center"/>
        <w:tblLook w:firstColumn="1" w:firstRow="1" w:lastColumn="0" w:lastRow="0" w:noHBand="0" w:noVBand="1" w:val="04A0"/>
      </w:tblPr>
      <w:tblGrid>
        <w:gridCol w:w="4968"/>
        <w:gridCol w:w="4968"/>
      </w:tblGrid>
      <w:tr>
        <w:tc>
          <w:tcPr>
            <w:tcW w:type="dxa" w:w="4968"/>
            <w:tcMar>
              <w:top w:w="80" w:type="dxa"/>
              <w:bottom w:w="80" w:type="dxa"/>
              <w:left w:w="120" w:type="dxa"/>
              <w:right w:w="120" w:type="dxa"/>
            </w:tcMar>
            <w:shd w:fill="F1F5F9"/>
          </w:tcPr>
          <w:p>
            <w:pPr>
              <w:spacing w:after="40" w:before="40"/>
              <w:jc w:val="left"/>
            </w:pPr>
            <w:r>
              <w:rPr>
                <w:rFonts w:ascii="Calibri" w:hAnsi="Calibri"/>
                <w:b/>
                <w:i w:val="0"/>
                <w:color w:val="1E3A8A"/>
                <w:sz w:val="19"/>
              </w:rPr>
              <w:t>Document Version</w:t>
            </w:r>
          </w:p>
        </w:tc>
        <w:tc>
          <w:tcPr>
            <w:tcW w:type="dxa" w:w="4968"/>
            <w:tcMar>
              <w:top w:w="80" w:type="dxa"/>
              <w:bottom w:w="80" w:type="dxa"/>
              <w:left w:w="120" w:type="dxa"/>
              <w:right w:w="120" w:type="dxa"/>
            </w:tcMar>
            <w:shd w:fill="FFFFFF"/>
          </w:tcPr>
          <w:p>
            <w:pPr>
              <w:spacing w:after="40" w:before="40"/>
              <w:jc w:val="left"/>
            </w:pPr>
            <w:r>
              <w:rPr>
                <w:rFonts w:ascii="Calibri" w:hAnsi="Calibri"/>
                <w:b w:val="0"/>
                <w:i w:val="0"/>
                <w:color w:val="1E293B"/>
                <w:sz w:val="19"/>
              </w:rPr>
              <w:t>v2.4.0 (Production Release)</w:t>
            </w:r>
          </w:p>
        </w:tc>
      </w:tr>
      <w:tr>
        <w:tc>
          <w:tcPr>
            <w:tcW w:type="dxa" w:w="4968"/>
            <w:tcMar>
              <w:top w:w="80" w:type="dxa"/>
              <w:bottom w:w="80" w:type="dxa"/>
              <w:left w:w="120" w:type="dxa"/>
              <w:right w:w="120" w:type="dxa"/>
            </w:tcMar>
            <w:shd w:fill="F1F5F9"/>
          </w:tcPr>
          <w:p>
            <w:pPr>
              <w:spacing w:after="40" w:before="40"/>
              <w:jc w:val="left"/>
            </w:pPr>
            <w:r>
              <w:rPr>
                <w:rFonts w:ascii="Calibri" w:hAnsi="Calibri"/>
                <w:b/>
                <w:i w:val="0"/>
                <w:color w:val="1E3A8A"/>
                <w:sz w:val="19"/>
              </w:rPr>
              <w:t>System Component</w:t>
            </w:r>
          </w:p>
        </w:tc>
        <w:tc>
          <w:tcPr>
            <w:tcW w:type="dxa" w:w="4968"/>
            <w:tcMar>
              <w:top w:w="80" w:type="dxa"/>
              <w:bottom w:w="80" w:type="dxa"/>
              <w:left w:w="120" w:type="dxa"/>
              <w:right w:w="120" w:type="dxa"/>
            </w:tcMar>
            <w:shd w:fill="FFFFFF"/>
          </w:tcPr>
          <w:p>
            <w:pPr>
              <w:spacing w:after="40" w:before="40"/>
              <w:jc w:val="left"/>
            </w:pPr>
            <w:r>
              <w:rPr>
                <w:rFonts w:ascii="Calibri" w:hAnsi="Calibri"/>
                <w:b w:val="0"/>
                <w:i w:val="0"/>
                <w:color w:val="1E293B"/>
                <w:sz w:val="19"/>
              </w:rPr>
              <w:t>Master Patient Index (MPI) / Fellegi-Sunter Hybrid Record Linkage Engine</w:t>
            </w:r>
          </w:p>
        </w:tc>
      </w:tr>
      <w:tr>
        <w:tc>
          <w:tcPr>
            <w:tcW w:type="dxa" w:w="4968"/>
            <w:tcMar>
              <w:top w:w="80" w:type="dxa"/>
              <w:bottom w:w="80" w:type="dxa"/>
              <w:left w:w="120" w:type="dxa"/>
              <w:right w:w="120" w:type="dxa"/>
            </w:tcMar>
            <w:shd w:fill="F1F5F9"/>
          </w:tcPr>
          <w:p>
            <w:pPr>
              <w:spacing w:after="40" w:before="40"/>
              <w:jc w:val="left"/>
            </w:pPr>
            <w:r>
              <w:rPr>
                <w:rFonts w:ascii="Calibri" w:hAnsi="Calibri"/>
                <w:b/>
                <w:i w:val="0"/>
                <w:color w:val="1E3A8A"/>
                <w:sz w:val="19"/>
              </w:rPr>
              <w:t>Architecture Layer</w:t>
            </w:r>
          </w:p>
        </w:tc>
        <w:tc>
          <w:tcPr>
            <w:tcW w:type="dxa" w:w="4968"/>
            <w:tcMar>
              <w:top w:w="80" w:type="dxa"/>
              <w:bottom w:w="80" w:type="dxa"/>
              <w:left w:w="120" w:type="dxa"/>
              <w:right w:w="120" w:type="dxa"/>
            </w:tcMar>
            <w:shd w:fill="FFFFFF"/>
          </w:tcPr>
          <w:p>
            <w:pPr>
              <w:spacing w:after="40" w:before="40"/>
              <w:jc w:val="left"/>
            </w:pPr>
            <w:r>
              <w:rPr>
                <w:rFonts w:ascii="Calibri" w:hAnsi="Calibri"/>
                <w:b w:val="0"/>
                <w:i w:val="0"/>
                <w:color w:val="1E293B"/>
                <w:sz w:val="19"/>
              </w:rPr>
              <w:t>Node.js Backend Microservice + Microsoft SQL Server Stored Procedures + React UI</w:t>
            </w:r>
          </w:p>
        </w:tc>
      </w:tr>
      <w:tr>
        <w:tc>
          <w:tcPr>
            <w:tcW w:type="dxa" w:w="4968"/>
            <w:tcMar>
              <w:top w:w="80" w:type="dxa"/>
              <w:bottom w:w="80" w:type="dxa"/>
              <w:left w:w="120" w:type="dxa"/>
              <w:right w:w="120" w:type="dxa"/>
            </w:tcMar>
            <w:shd w:fill="F1F5F9"/>
          </w:tcPr>
          <w:p>
            <w:pPr>
              <w:spacing w:after="40" w:before="40"/>
              <w:jc w:val="left"/>
            </w:pPr>
            <w:r>
              <w:rPr>
                <w:rFonts w:ascii="Calibri" w:hAnsi="Calibri"/>
                <w:b/>
                <w:i w:val="0"/>
                <w:color w:val="1E3A8A"/>
                <w:sz w:val="19"/>
              </w:rPr>
              <w:t>Last Updated</w:t>
            </w:r>
          </w:p>
        </w:tc>
        <w:tc>
          <w:tcPr>
            <w:tcW w:type="dxa" w:w="4968"/>
            <w:tcMar>
              <w:top w:w="80" w:type="dxa"/>
              <w:bottom w:w="80" w:type="dxa"/>
              <w:left w:w="120" w:type="dxa"/>
              <w:right w:w="120" w:type="dxa"/>
            </w:tcMar>
            <w:shd w:fill="FFFFFF"/>
          </w:tcPr>
          <w:p>
            <w:pPr>
              <w:spacing w:after="40" w:before="40"/>
              <w:jc w:val="left"/>
            </w:pPr>
            <w:r>
              <w:rPr>
                <w:rFonts w:ascii="Calibri" w:hAnsi="Calibri"/>
                <w:b w:val="0"/>
                <w:i w:val="0"/>
                <w:color w:val="1E293B"/>
                <w:sz w:val="19"/>
              </w:rPr>
              <w:t>September 2026</w:t>
            </w:r>
          </w:p>
        </w:tc>
      </w:tr>
    </w:tbl>
    <w:p>
      <w:pPr>
        <w:spacing w:after="280"/>
      </w:pPr>
    </w:p>
    <w:p>
      <w:pPr>
        <w:pStyle w:val="Heading1"/>
        <w:spacing w:before="280" w:after="120"/>
      </w:pPr>
      <w:r>
        <w:rPr>
          <w:rFonts w:ascii="Calibri" w:hAnsi="Calibri"/>
          <w:b/>
          <w:color w:val="184C78"/>
          <w:sz w:val="36"/>
        </w:rPr>
        <w:t>1. Executive Summary &amp; Objective</w:t>
      </w:r>
    </w:p>
    <w:p>
      <w:pPr>
        <w:spacing w:after="160"/>
      </w:pPr>
      <w:r>
        <w:t>In healthcare registry systems, accurate patient identification is essential for clinical safety, longitudinal outcome tracking, and preventing fragmented patient records. The Master Patient Index (MPI) engine implements a high-performance, non-repudiation, hybrid 3-tier identity resolution pipeline. It seamlessly handles minor typos, phonetic variations, nickname aliases, address restructuring, and missing demographic fields while aggressively preventing false-positive clinical merges through demographic conflict penalties.</w:t>
      </w:r>
    </w:p>
    <w:tbl>
      <w:tblPr>
        <w:tblW w:type="auto" w:w="0"/>
        <w:jc w:val="center"/>
        <w:tblLook w:firstColumn="1" w:firstRow="1" w:lastColumn="0" w:lastRow="0" w:noHBand="0" w:noVBand="1" w:val="04A0"/>
      </w:tblPr>
      <w:tblGrid>
        <w:gridCol w:w="9936"/>
      </w:tblGrid>
      <w:tr>
        <w:tc>
          <w:tcPr>
            <w:tcW w:type="dxa" w:w="9936"/>
            <w:shd w:fill="EBF4FA"/>
            <w:tcMar>
              <w:top w:w="140" w:type="dxa"/>
              <w:bottom w:w="140" w:type="dxa"/>
              <w:left w:w="200" w:type="dxa"/>
              <w:right w:w="200" w:type="dxa"/>
            </w:tcMar>
            <w:tcBorders>
              <w:top w:val="none"/>
              <w:left w:val="single" w:sz="24" w:space="0" w:color="3182CE"/>
              <w:bottom w:val="none"/>
              <w:right w:val="none"/>
            </w:tcBorders>
          </w:tcPr>
          <w:p>
            <w:pPr>
              <w:spacing w:after="80"/>
            </w:pPr>
            <w:r>
              <w:rPr>
                <w:b/>
                <w:color w:val="184C78"/>
                <w:sz w:val="21"/>
              </w:rPr>
              <w:t>📌 Core Engineering Objective</w:t>
              <w:br/>
            </w:r>
            <w:r>
              <w:rPr>
                <w:color w:val="2D3748"/>
                <w:sz w:val="20"/>
              </w:rPr>
              <w:t>The engine operates on a 'Deterministic-First, Gradient-Fuzzy-Fallback, Conflict-Penalized' philosophy. If exact identifiers match with 100% equality, matching is instantaneous. If typos or partial data occur, gradient string algorithms calculate a missing-data-neutralized base score, dock explicit conflict penalties, and enforce a single-row staging lifecycle.</w:t>
            </w:r>
          </w:p>
        </w:tc>
      </w:tr>
    </w:tbl>
    <w:p>
      <w:pPr>
        <w:spacing w:after="120"/>
      </w:pPr>
    </w:p>
    <w:p>
      <w:pPr>
        <w:pStyle w:val="Heading1"/>
        <w:spacing w:before="280" w:after="120"/>
      </w:pPr>
      <w:r>
        <w:rPr>
          <w:rFonts w:ascii="Calibri" w:hAnsi="Calibri"/>
          <w:b/>
          <w:color w:val="184C78"/>
          <w:sz w:val="36"/>
        </w:rPr>
        <w:t>2. Complete 3-Tier Multi-Layer Resolution Pipeline</w:t>
      </w:r>
    </w:p>
    <w:p>
      <w:r>
        <w:t>When an incoming patient intake payload arrives (via POST /api/patients), it is processed through three sequential layers:</w:t>
      </w:r>
    </w:p>
    <w:p>
      <w:pPr>
        <w:pStyle w:val="Heading2"/>
        <w:spacing w:before="280" w:after="120"/>
      </w:pPr>
      <w:r>
        <w:rPr>
          <w:rFonts w:ascii="Calibri" w:hAnsi="Calibri"/>
          <w:b/>
          <w:color w:val="1F6EA5"/>
          <w:sz w:val="28"/>
        </w:rPr>
        <w:t>Layer 1: Deterministic Exact Match Engine (Zero Latency Bypass)</w:t>
      </w:r>
    </w:p>
    <w:p>
      <w:pPr>
        <w:spacing w:after="120"/>
      </w:pPr>
      <w:r>
        <w:t>An automatic 100.0% deterministic match triggers ONLY if ALL available core patient attributes match with 100% exact equality simultaneously with zero typos, zero conflicts, and at least one strong anchor identifier (Phone, ABHA, UHID, Email, or Full Name + DOB). If any field differs even by a single character or punctuation, execution immediately falls through to Layer 2 and Layer 3.</w:t>
      </w:r>
    </w:p>
    <w:p>
      <w:pPr>
        <w:pStyle w:val="Heading2"/>
        <w:spacing w:before="280" w:after="120"/>
      </w:pPr>
      <w:r>
        <w:rPr>
          <w:rFonts w:ascii="Calibri" w:hAnsi="Calibri"/>
          <w:b/>
          <w:color w:val="1F6EA5"/>
          <w:sz w:val="28"/>
        </w:rPr>
        <w:t>Layer 2: Multi-Factor Candidate Blocking &amp; Index Seek</w:t>
      </w:r>
    </w:p>
    <w:p>
      <w:r>
        <w:t>To achieve sub-10ms response times across databases containing millions of patient records, the engine never scans the full database. Instead, it executes Microsoft SQL Server Stored Procedure dbo.usp_GeneratePatientCandidates (with inline parameterized fallback) using multi-factor candidate blocking:</w:t>
      </w:r>
    </w:p>
    <w:p>
      <w:pPr>
        <w:pStyle w:val="ListBullet"/>
      </w:pPr>
      <w:r>
        <w:rPr>
          <w:b/>
          <w:color w:val="1E3A8A"/>
        </w:rPr>
        <w:t xml:space="preserve">Pass 1 (Cryptographic Hash Seek): </w:t>
      </w:r>
      <w:r>
        <w:t>Direct equality seek on SHA-256 phone_hash, abha_hash, uhid_hash, and email_hash via B-Tree clustered/non-clustered indexes.</w:t>
      </w:r>
    </w:p>
    <w:p>
      <w:pPr>
        <w:pStyle w:val="ListBullet"/>
      </w:pPr>
      <w:r>
        <w:rPr>
          <w:b/>
          <w:color w:val="1E3A8A"/>
        </w:rPr>
        <w:t xml:space="preserve">Pass 2A (Phonetic Name &amp; Soundex Blocking): </w:t>
      </w:r>
      <w:r>
        <w:t>Double-Metaphone phonetic key prefix matching and classic Soundex code comparison to catch phonetic misspellings (e.g., 'Komal' vs 'Koml').</w:t>
      </w:r>
    </w:p>
    <w:p>
      <w:pPr>
        <w:pStyle w:val="ListBullet"/>
      </w:pPr>
      <w:r>
        <w:rPr>
          <w:b/>
          <w:color w:val="1E3A8A"/>
        </w:rPr>
        <w:t xml:space="preserve">Pass 2B (First Name Prefix Blocking): </w:t>
      </w:r>
      <w:r>
        <w:t>First word prefix seek on normalized_name to catch middle/last name omissions.</w:t>
      </w:r>
    </w:p>
    <w:p>
      <w:pPr>
        <w:pStyle w:val="ListBullet"/>
      </w:pPr>
      <w:r>
        <w:rPr>
          <w:b/>
          <w:color w:val="1E3A8A"/>
        </w:rPr>
        <w:t xml:space="preserve">Pass 2C (Demographic Coordinate Blocking): </w:t>
      </w:r>
      <w:r>
        <w:t>Compound seek on exact date_of_birth, dob_year, and 6-digit residential pincode.</w:t>
      </w:r>
    </w:p>
    <w:p>
      <w:pPr>
        <w:pStyle w:val="Heading2"/>
        <w:spacing w:before="280" w:after="120"/>
      </w:pPr>
      <w:r>
        <w:rPr>
          <w:rFonts w:ascii="Calibri" w:hAnsi="Calibri"/>
          <w:b/>
          <w:color w:val="1F6EA5"/>
          <w:sz w:val="28"/>
        </w:rPr>
        <w:t>Layer 3: Dynamic Weighted Fuzzy Scoring &amp; Penalty Deduction Engine</w:t>
      </w:r>
    </w:p>
    <w:p>
      <w:pPr>
        <w:spacing w:after="160"/>
      </w:pPr>
      <w:r>
        <w:t>All candidates retrieved in Layer 2 are evaluated in-memory using gradient string similarity algorithms. The engine computes a Weighted Base Score with Missing Data Neutralization, deducts Explicit Conflict Penalties, and binds the result to the single active staging record.</w:t>
      </w:r>
    </w:p>
    <w:p>
      <w:pPr>
        <w:pStyle w:val="Heading1"/>
        <w:spacing w:before="280" w:after="120"/>
      </w:pPr>
      <w:r>
        <w:rPr>
          <w:rFonts w:ascii="Calibri" w:hAnsi="Calibri"/>
          <w:b/>
          <w:color w:val="184C78"/>
          <w:sz w:val="36"/>
        </w:rPr>
        <w:t>3. Field-by-Field Specification, Normalization &amp; Scoring Logic</w:t>
      </w:r>
    </w:p>
    <w:p>
      <w:r>
        <w:t>Every demographic attribute is normalized into standard comparison tokens before comparison. The table below details all fields, normalization rules, exact algorithms used, and configured weights: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120" w:type="dxa"/>
              <w:bottom w:w="120" w:type="dxa"/>
              <w:left w:w="140" w:type="dxa"/>
              <w:right w:w="140" w:type="dxa"/>
            </w:tcMar>
          </w:tcPr>
          <w:p>
            <w:pPr>
              <w:jc w:val="left"/>
            </w:pPr>
            <w:r>
              <w:rPr>
                <w:b/>
                <w:color w:val="FFFFFF"/>
                <w:sz w:val="19"/>
              </w:rPr>
              <w:t>Field Name</w:t>
            </w:r>
          </w:p>
        </w:tc>
        <w:tc>
          <w:tcPr>
            <w:tcW w:type="dxa" w:w="1987"/>
            <w:shd w:fill="1E3A8A"/>
            <w:tcMar>
              <w:top w:w="120" w:type="dxa"/>
              <w:bottom w:w="120" w:type="dxa"/>
              <w:left w:w="140" w:type="dxa"/>
              <w:right w:w="140" w:type="dxa"/>
            </w:tcMar>
          </w:tcPr>
          <w:p>
            <w:pPr>
              <w:jc w:val="left"/>
            </w:pPr>
            <w:r>
              <w:rPr>
                <w:b/>
                <w:color w:val="FFFFFF"/>
                <w:sz w:val="19"/>
              </w:rPr>
              <w:t>Weight</w:t>
            </w:r>
          </w:p>
        </w:tc>
        <w:tc>
          <w:tcPr>
            <w:tcW w:type="dxa" w:w="1987"/>
            <w:shd w:fill="1E3A8A"/>
            <w:tcMar>
              <w:top w:w="120" w:type="dxa"/>
              <w:bottom w:w="120" w:type="dxa"/>
              <w:left w:w="140" w:type="dxa"/>
              <w:right w:w="140" w:type="dxa"/>
            </w:tcMar>
          </w:tcPr>
          <w:p>
            <w:pPr>
              <w:jc w:val="left"/>
            </w:pPr>
            <w:r>
              <w:rPr>
                <w:b/>
                <w:color w:val="FFFFFF"/>
                <w:sz w:val="19"/>
              </w:rPr>
              <w:t>Normalization Process</w:t>
            </w:r>
          </w:p>
        </w:tc>
        <w:tc>
          <w:tcPr>
            <w:tcW w:type="dxa" w:w="1987"/>
            <w:shd w:fill="1E3A8A"/>
            <w:tcMar>
              <w:top w:w="120" w:type="dxa"/>
              <w:bottom w:w="120" w:type="dxa"/>
              <w:left w:w="140" w:type="dxa"/>
              <w:right w:w="140" w:type="dxa"/>
            </w:tcMar>
          </w:tcPr>
          <w:p>
            <w:pPr>
              <w:jc w:val="left"/>
            </w:pPr>
            <w:r>
              <w:rPr>
                <w:b/>
                <w:color w:val="FFFFFF"/>
                <w:sz w:val="19"/>
              </w:rPr>
              <w:t>Comparison Algorithm</w:t>
            </w:r>
          </w:p>
        </w:tc>
        <w:tc>
          <w:tcPr>
            <w:tcW w:type="dxa" w:w="1987"/>
            <w:shd w:fill="1E3A8A"/>
            <w:tcMar>
              <w:top w:w="120" w:type="dxa"/>
              <w:bottom w:w="120" w:type="dxa"/>
              <w:left w:w="140" w:type="dxa"/>
              <w:right w:w="140" w:type="dxa"/>
            </w:tcMar>
          </w:tcPr>
          <w:p>
            <w:pPr>
              <w:jc w:val="left"/>
            </w:pPr>
            <w:r>
              <w:rPr>
                <w:b/>
                <w:color w:val="FFFFFF"/>
                <w:sz w:val="19"/>
              </w:rPr>
              <w:t>Scoring Logic &amp; Conflict Rules</w:t>
            </w:r>
          </w:p>
        </w:tc>
      </w:tr>
      <w:tr>
        <w:tc>
          <w:tcPr>
            <w:tcW w:type="dxa" w:w="1987"/>
            <w:tcMar>
              <w:top w:w="80" w:type="dxa"/>
              <w:bottom w:w="80" w:type="dxa"/>
              <w:left w:w="120" w:type="dxa"/>
              <w:right w:w="120" w:type="dxa"/>
            </w:tcMar>
            <w:shd w:fill="FFFFFF"/>
          </w:tcPr>
          <w:p>
            <w:pPr>
              <w:spacing w:after="40" w:before="40"/>
              <w:jc w:val="left"/>
            </w:pPr>
            <w:r>
              <w:rPr>
                <w:rFonts w:ascii="Calibri" w:hAnsi="Calibri"/>
                <w:b/>
                <w:i w:val="0"/>
                <w:color w:val="1E3A8A"/>
                <w:sz w:val="19"/>
              </w:rPr>
              <w:t>ABHA Number</w:t>
              <w:br/>
              <w:t>(abha_number)</w:t>
            </w:r>
          </w:p>
        </w:tc>
        <w:tc>
          <w:tcPr>
            <w:tcW w:type="dxa" w:w="1987"/>
            <w:tcMar>
              <w:top w:w="80" w:type="dxa"/>
              <w:bottom w:w="80" w:type="dxa"/>
              <w:left w:w="120" w:type="dxa"/>
              <w:right w:w="120" w:type="dxa"/>
            </w:tcMar>
            <w:shd w:fill="FFFFFF"/>
          </w:tcPr>
          <w:p>
            <w:pPr>
              <w:spacing w:after="40" w:before="40"/>
              <w:jc w:val="left"/>
            </w:pPr>
            <w:r>
              <w:rPr>
                <w:rFonts w:ascii="Calibri" w:hAnsi="Calibri"/>
                <w:b/>
                <w:i w:val="0"/>
                <w:color w:val="1E293B"/>
                <w:sz w:val="19"/>
              </w:rPr>
              <w:t>25.0%</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Strip all whitespace, hyphens, dots, slashes. Uppercase. Compute SHA-256 hash.</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max(fuzzball.ratio, token_sort_ratio)</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Gradient similarity score (0.0 to 1.0).</w:t>
              <w:br/>
              <w:t>Conflict penalty: -100 pts if distinct.</w:t>
            </w:r>
          </w:p>
        </w:tc>
      </w:tr>
      <w:tr>
        <w:tc>
          <w:tcPr>
            <w:tcW w:type="dxa" w:w="1987"/>
            <w:tcMar>
              <w:top w:w="80" w:type="dxa"/>
              <w:bottom w:w="80" w:type="dxa"/>
              <w:left w:w="120" w:type="dxa"/>
              <w:right w:w="120" w:type="dxa"/>
            </w:tcMar>
            <w:shd w:fill="F8FAFC"/>
          </w:tcPr>
          <w:p>
            <w:pPr>
              <w:spacing w:after="40" w:before="40"/>
              <w:jc w:val="left"/>
            </w:pPr>
            <w:r>
              <w:rPr>
                <w:rFonts w:ascii="Calibri" w:hAnsi="Calibri"/>
                <w:b/>
                <w:i w:val="0"/>
                <w:color w:val="1E3A8A"/>
                <w:sz w:val="19"/>
              </w:rPr>
              <w:t>Hospital UHID</w:t>
              <w:br/>
              <w:t>(uhid)</w:t>
            </w:r>
          </w:p>
        </w:tc>
        <w:tc>
          <w:tcPr>
            <w:tcW w:type="dxa" w:w="1987"/>
            <w:tcMar>
              <w:top w:w="80" w:type="dxa"/>
              <w:bottom w:w="80" w:type="dxa"/>
              <w:left w:w="120" w:type="dxa"/>
              <w:right w:w="120" w:type="dxa"/>
            </w:tcMar>
            <w:shd w:fill="F8FAFC"/>
          </w:tcPr>
          <w:p>
            <w:pPr>
              <w:spacing w:after="40" w:before="40"/>
              <w:jc w:val="left"/>
            </w:pPr>
            <w:r>
              <w:rPr>
                <w:rFonts w:ascii="Calibri" w:hAnsi="Calibri"/>
                <w:b/>
                <w:i w:val="0"/>
                <w:color w:val="1E293B"/>
                <w:sz w:val="19"/>
              </w:rPr>
              <w:t>20.0%</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Strip all whitespace, hyphens, dots, slashes. Uppercase. Compute SHA-256 hash.</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max(fuzzball.ratio, token_sort_ratio)</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Gradient similarity score (0.0 to 1.0).</w:t>
              <w:br/>
              <w:t>Conflict penalty: -80 pts if distinct.</w:t>
            </w:r>
          </w:p>
        </w:tc>
      </w:tr>
      <w:tr>
        <w:tc>
          <w:tcPr>
            <w:tcW w:type="dxa" w:w="1987"/>
            <w:tcMar>
              <w:top w:w="80" w:type="dxa"/>
              <w:bottom w:w="80" w:type="dxa"/>
              <w:left w:w="120" w:type="dxa"/>
              <w:right w:w="120" w:type="dxa"/>
            </w:tcMar>
            <w:shd w:fill="FFFFFF"/>
          </w:tcPr>
          <w:p>
            <w:pPr>
              <w:spacing w:after="40" w:before="40"/>
              <w:jc w:val="left"/>
            </w:pPr>
            <w:r>
              <w:rPr>
                <w:rFonts w:ascii="Calibri" w:hAnsi="Calibri"/>
                <w:b/>
                <w:i w:val="0"/>
                <w:color w:val="1E3A8A"/>
                <w:sz w:val="19"/>
              </w:rPr>
              <w:t>Contact Phone</w:t>
              <w:br/>
              <w:t>(phone_no)</w:t>
            </w:r>
          </w:p>
        </w:tc>
        <w:tc>
          <w:tcPr>
            <w:tcW w:type="dxa" w:w="1987"/>
            <w:tcMar>
              <w:top w:w="80" w:type="dxa"/>
              <w:bottom w:w="80" w:type="dxa"/>
              <w:left w:w="120" w:type="dxa"/>
              <w:right w:w="120" w:type="dxa"/>
            </w:tcMar>
            <w:shd w:fill="FFFFFF"/>
          </w:tcPr>
          <w:p>
            <w:pPr>
              <w:spacing w:after="40" w:before="40"/>
              <w:jc w:val="left"/>
            </w:pPr>
            <w:r>
              <w:rPr>
                <w:rFonts w:ascii="Calibri" w:hAnsi="Calibri"/>
                <w:b/>
                <w:i w:val="0"/>
                <w:color w:val="1E293B"/>
                <w:sz w:val="19"/>
              </w:rPr>
              <w:t>15.0%</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Strip non-digits, validate 10-digit Indian numbers, format to E.164 (+91...). SHA-256 hash.</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String equality &amp; fuzzball.ratio</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1.00 for exact match.</w:t>
              <w:br/>
              <w:t>Penalty: -15 pts if similarity &lt; 80%.</w:t>
            </w:r>
          </w:p>
        </w:tc>
      </w:tr>
      <w:tr>
        <w:tc>
          <w:tcPr>
            <w:tcW w:type="dxa" w:w="1987"/>
            <w:tcMar>
              <w:top w:w="80" w:type="dxa"/>
              <w:bottom w:w="80" w:type="dxa"/>
              <w:left w:w="120" w:type="dxa"/>
              <w:right w:w="120" w:type="dxa"/>
            </w:tcMar>
            <w:shd w:fill="F8FAFC"/>
          </w:tcPr>
          <w:p>
            <w:pPr>
              <w:spacing w:after="40" w:before="40"/>
              <w:jc w:val="left"/>
            </w:pPr>
            <w:r>
              <w:rPr>
                <w:rFonts w:ascii="Calibri" w:hAnsi="Calibri"/>
                <w:b/>
                <w:i w:val="0"/>
                <w:color w:val="1E3A8A"/>
                <w:sz w:val="19"/>
              </w:rPr>
              <w:t>Date of Birth</w:t>
              <w:br/>
              <w:t>(date_of_birth)</w:t>
            </w:r>
          </w:p>
        </w:tc>
        <w:tc>
          <w:tcPr>
            <w:tcW w:type="dxa" w:w="1987"/>
            <w:tcMar>
              <w:top w:w="80" w:type="dxa"/>
              <w:bottom w:w="80" w:type="dxa"/>
              <w:left w:w="120" w:type="dxa"/>
              <w:right w:w="120" w:type="dxa"/>
            </w:tcMar>
            <w:shd w:fill="F8FAFC"/>
          </w:tcPr>
          <w:p>
            <w:pPr>
              <w:spacing w:after="40" w:before="40"/>
              <w:jc w:val="left"/>
            </w:pPr>
            <w:r>
              <w:rPr>
                <w:rFonts w:ascii="Calibri" w:hAnsi="Calibri"/>
                <w:b/>
                <w:i w:val="0"/>
                <w:color w:val="1E293B"/>
                <w:sz w:val="19"/>
              </w:rPr>
              <w:t>15.0%</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Parse ISO YYYY-MM-DD, extract birth year integer (dob_year).</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Exact date equality &amp; birth year equality</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1.00 for exact date match.</w:t>
              <w:br/>
              <w:t>0.50 for same birth year.</w:t>
              <w:br/>
              <w:t>Penalty: -40 pts if birth years differ.</w:t>
            </w:r>
          </w:p>
        </w:tc>
      </w:tr>
      <w:tr>
        <w:tc>
          <w:tcPr>
            <w:tcW w:type="dxa" w:w="1987"/>
            <w:tcMar>
              <w:top w:w="80" w:type="dxa"/>
              <w:bottom w:w="80" w:type="dxa"/>
              <w:left w:w="120" w:type="dxa"/>
              <w:right w:w="120" w:type="dxa"/>
            </w:tcMar>
            <w:shd w:fill="FFFFFF"/>
          </w:tcPr>
          <w:p>
            <w:pPr>
              <w:spacing w:after="40" w:before="40"/>
              <w:jc w:val="left"/>
            </w:pPr>
            <w:r>
              <w:rPr>
                <w:rFonts w:ascii="Calibri" w:hAnsi="Calibri"/>
                <w:b/>
                <w:i w:val="0"/>
                <w:color w:val="1E3A8A"/>
                <w:sz w:val="19"/>
              </w:rPr>
              <w:t>Full Name</w:t>
              <w:br/>
              <w:t>(patient_name)</w:t>
            </w:r>
          </w:p>
        </w:tc>
        <w:tc>
          <w:tcPr>
            <w:tcW w:type="dxa" w:w="1987"/>
            <w:tcMar>
              <w:top w:w="80" w:type="dxa"/>
              <w:bottom w:w="80" w:type="dxa"/>
              <w:left w:w="120" w:type="dxa"/>
              <w:right w:w="120" w:type="dxa"/>
            </w:tcMar>
            <w:shd w:fill="FFFFFF"/>
          </w:tcPr>
          <w:p>
            <w:pPr>
              <w:spacing w:after="40" w:before="40"/>
              <w:jc w:val="left"/>
            </w:pPr>
            <w:r>
              <w:rPr>
                <w:rFonts w:ascii="Calibri" w:hAnsi="Calibri"/>
                <w:b/>
                <w:i w:val="0"/>
                <w:color w:val="1E293B"/>
                <w:sz w:val="19"/>
              </w:rPr>
              <w:t>15.0%</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NFKC normalization, lowercase, strip honorifics (Dr, Mr, Smt, Shri), collapse spaces, Double-Metaphone.</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max(fuzzball.ratio, WRatio, token_sort_ratio)</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Gradient similarity score (0.0 to 1.0).</w:t>
              <w:br/>
              <w:t>Handles word transpositions and typos.</w:t>
            </w:r>
          </w:p>
        </w:tc>
      </w:tr>
      <w:tr>
        <w:tc>
          <w:tcPr>
            <w:tcW w:type="dxa" w:w="1987"/>
            <w:tcMar>
              <w:top w:w="80" w:type="dxa"/>
              <w:bottom w:w="80" w:type="dxa"/>
              <w:left w:w="120" w:type="dxa"/>
              <w:right w:w="120" w:type="dxa"/>
            </w:tcMar>
            <w:shd w:fill="F8FAFC"/>
          </w:tcPr>
          <w:p>
            <w:pPr>
              <w:spacing w:after="40" w:before="40"/>
              <w:jc w:val="left"/>
            </w:pPr>
            <w:r>
              <w:rPr>
                <w:rFonts w:ascii="Calibri" w:hAnsi="Calibri"/>
                <w:b/>
                <w:i w:val="0"/>
                <w:color w:val="1E3A8A"/>
                <w:sz w:val="19"/>
              </w:rPr>
              <w:t>Residential Address</w:t>
              <w:br/>
              <w:t>(address + parts)</w:t>
            </w:r>
          </w:p>
        </w:tc>
        <w:tc>
          <w:tcPr>
            <w:tcW w:type="dxa" w:w="1987"/>
            <w:tcMar>
              <w:top w:w="80" w:type="dxa"/>
              <w:bottom w:w="80" w:type="dxa"/>
              <w:left w:w="120" w:type="dxa"/>
              <w:right w:w="120" w:type="dxa"/>
            </w:tcMar>
            <w:shd w:fill="F8FAFC"/>
          </w:tcPr>
          <w:p>
            <w:pPr>
              <w:spacing w:after="40" w:before="40"/>
              <w:jc w:val="left"/>
            </w:pPr>
            <w:r>
              <w:rPr>
                <w:rFonts w:ascii="Calibri" w:hAnsi="Calibri"/>
                <w:b/>
                <w:i w:val="0"/>
                <w:color w:val="1E293B"/>
                <w:sz w:val="19"/>
              </w:rPr>
              <w:t>5.0%</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Combine house, street, locality, mandal, district, state. Standardize abbreviations (rd-&gt;road, apt-&gt;flat).</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max(fuzzball.ratio, token_set_ratio)</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Gradient similarity (0.0 to 1.0).</w:t>
              <w:br/>
              <w:t>Handles partial address reordering.</w:t>
            </w:r>
          </w:p>
        </w:tc>
      </w:tr>
      <w:tr>
        <w:tc>
          <w:tcPr>
            <w:tcW w:type="dxa" w:w="1987"/>
            <w:tcMar>
              <w:top w:w="80" w:type="dxa"/>
              <w:bottom w:w="80" w:type="dxa"/>
              <w:left w:w="120" w:type="dxa"/>
              <w:right w:w="120" w:type="dxa"/>
            </w:tcMar>
            <w:shd w:fill="FFFFFF"/>
          </w:tcPr>
          <w:p>
            <w:pPr>
              <w:spacing w:after="40" w:before="40"/>
              <w:jc w:val="left"/>
            </w:pPr>
            <w:r>
              <w:rPr>
                <w:rFonts w:ascii="Calibri" w:hAnsi="Calibri"/>
                <w:b/>
                <w:i w:val="0"/>
                <w:color w:val="1E3A8A"/>
                <w:sz w:val="19"/>
              </w:rPr>
              <w:t>Email Address</w:t>
              <w:br/>
              <w:t>(email)</w:t>
            </w:r>
          </w:p>
        </w:tc>
        <w:tc>
          <w:tcPr>
            <w:tcW w:type="dxa" w:w="1987"/>
            <w:tcMar>
              <w:top w:w="80" w:type="dxa"/>
              <w:bottom w:w="80" w:type="dxa"/>
              <w:left w:w="120" w:type="dxa"/>
              <w:right w:w="120" w:type="dxa"/>
            </w:tcMar>
            <w:shd w:fill="FFFFFF"/>
          </w:tcPr>
          <w:p>
            <w:pPr>
              <w:spacing w:after="40" w:before="40"/>
              <w:jc w:val="left"/>
            </w:pPr>
            <w:r>
              <w:rPr>
                <w:rFonts w:ascii="Calibri" w:hAnsi="Calibri"/>
                <w:b/>
                <w:i w:val="0"/>
                <w:color w:val="1E293B"/>
                <w:sz w:val="19"/>
              </w:rPr>
              <w:t>3.0%</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Lowercase, trim whitespace. Compute SHA-256 hash.</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String exact equality &amp; fuzzball.ratio</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1.00 for exact match.</w:t>
              <w:br/>
              <w:t>Gradient ratio for minor character typos.</w:t>
            </w:r>
          </w:p>
        </w:tc>
      </w:tr>
      <w:tr>
        <w:tc>
          <w:tcPr>
            <w:tcW w:type="dxa" w:w="1987"/>
            <w:tcMar>
              <w:top w:w="80" w:type="dxa"/>
              <w:bottom w:w="80" w:type="dxa"/>
              <w:left w:w="120" w:type="dxa"/>
              <w:right w:w="120" w:type="dxa"/>
            </w:tcMar>
            <w:shd w:fill="F8FAFC"/>
          </w:tcPr>
          <w:p>
            <w:pPr>
              <w:spacing w:after="40" w:before="40"/>
              <w:jc w:val="left"/>
            </w:pPr>
            <w:r>
              <w:rPr>
                <w:rFonts w:ascii="Calibri" w:hAnsi="Calibri"/>
                <w:b/>
                <w:i w:val="0"/>
                <w:color w:val="1E3A8A"/>
                <w:sz w:val="19"/>
              </w:rPr>
              <w:t>Gender</w:t>
              <w:br/>
              <w:t>(gender)</w:t>
            </w:r>
          </w:p>
        </w:tc>
        <w:tc>
          <w:tcPr>
            <w:tcW w:type="dxa" w:w="1987"/>
            <w:tcMar>
              <w:top w:w="80" w:type="dxa"/>
              <w:bottom w:w="80" w:type="dxa"/>
              <w:left w:w="120" w:type="dxa"/>
              <w:right w:w="120" w:type="dxa"/>
            </w:tcMar>
            <w:shd w:fill="F8FAFC"/>
          </w:tcPr>
          <w:p>
            <w:pPr>
              <w:spacing w:after="40" w:before="40"/>
              <w:jc w:val="left"/>
            </w:pPr>
            <w:r>
              <w:rPr>
                <w:rFonts w:ascii="Calibri" w:hAnsi="Calibri"/>
                <w:b/>
                <w:i w:val="0"/>
                <w:color w:val="1E293B"/>
                <w:sz w:val="19"/>
              </w:rPr>
              <w:t>2.0%</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Normalize to standard 'Male', 'Female', or 'Other'.</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Exact categorical equality</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1.00 for exact match.</w:t>
              <w:br/>
              <w:t>Penalty: -20 pts if genders conflict (e.g. M vs F).</w:t>
            </w:r>
          </w:p>
        </w:tc>
      </w:tr>
    </w:tbl>
    <w:p>
      <w:pPr>
        <w:spacing w:after="240"/>
      </w:pPr>
    </w:p>
    <w:p>
      <w:pPr>
        <w:pStyle w:val="Heading1"/>
        <w:spacing w:before="280" w:after="120"/>
      </w:pPr>
      <w:r>
        <w:rPr>
          <w:rFonts w:ascii="Calibri" w:hAnsi="Calibri"/>
          <w:b/>
          <w:color w:val="184C78"/>
          <w:sz w:val="36"/>
        </w:rPr>
        <w:t>4. The Exact Mathematical Scoring Formula</w:t>
      </w:r>
    </w:p>
    <w:p>
      <w:r>
        <w:t>The MPI engine uses a dynamic missing-data-neutralized formula. If optional fields (such as ABHA, UHID, or Email) are missing on either the intake or master record, their weights are removed from both the numerator and denominator, ensuring that uncollected optional fields never penalize the patient's match score.</w:t>
      </w: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200" w:type="dxa"/>
              <w:right w:w="200" w:type="dxa"/>
            </w:tcMar>
            <w:tcBorders>
              <w:top w:val="none"/>
              <w:left w:val="single" w:sz="24" w:space="0" w:color="16A34A"/>
              <w:bottom w:val="none"/>
              <w:right w:val="none"/>
            </w:tcBorders>
          </w:tcPr>
          <w:p>
            <w:pPr>
              <w:spacing w:after="80"/>
            </w:pPr>
            <w:r>
              <w:rPr>
                <w:b/>
                <w:color w:val="184C78"/>
                <w:sz w:val="21"/>
              </w:rPr>
              <w:t>📌 Mathematical Formulation Live in Production Engine</w:t>
              <w:br/>
            </w:r>
            <w:r>
              <w:rPr>
                <w:color w:val="2D3748"/>
                <w:sz w:val="20"/>
              </w:rPr>
              <w:t>1. Base Score Equation (with Missing Data Neutralization):</w:t>
              <w:br/>
              <w:t xml:space="preserve">   Base Score = [ Σ (Weight_i × FieldScore_i × Available_i) / Σ (Weight_i × Available_i) ] × 100</w:t>
              <w:br/>
              <w:br/>
              <w:t>2. Conflict Penalties Equation:</w:t>
              <w:br/>
              <w:t xml:space="preserve">   Total Penalties = Σ Penalty_j (for all contradictory attributes)</w:t>
              <w:br/>
              <w:t xml:space="preserve">   - Date of Birth Conflict (Different birth year): -40 pts</w:t>
              <w:br/>
              <w:t xml:space="preserve">   - Gender Conflict (Opposite sex): -20 pts</w:t>
              <w:br/>
              <w:t xml:space="preserve">   - Phone Mismatch (&lt; 80% similarity): -15 pts</w:t>
              <w:br/>
              <w:t xml:space="preserve">   - Hospital UHID Conflict: -80 pts</w:t>
              <w:br/>
              <w:t xml:space="preserve">   - ABHA Number Conflict: -100 pts</w:t>
              <w:br/>
              <w:br/>
              <w:t>3. Bounded Final Confidence Score:</w:t>
              <w:br/>
              <w:t xml:space="preserve">   Final Score = MAX( 0.0,  MIN( 100.0,  Base Score - Total Penalties ) )</w:t>
            </w:r>
          </w:p>
        </w:tc>
      </w:tr>
    </w:tbl>
    <w:p>
      <w:pPr>
        <w:spacing w:after="120"/>
      </w:pPr>
    </w:p>
    <w:p>
      <w:pPr>
        <w:pStyle w:val="Heading2"/>
        <w:spacing w:before="280" w:after="120"/>
      </w:pPr>
      <w:r>
        <w:rPr>
          <w:rFonts w:ascii="Calibri" w:hAnsi="Calibri"/>
          <w:b/>
          <w:color w:val="1F6EA5"/>
          <w:sz w:val="28"/>
        </w:rPr>
        <w:t>System Decision Thresholds</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120" w:type="dxa"/>
              <w:bottom w:w="120" w:type="dxa"/>
              <w:left w:w="140" w:type="dxa"/>
              <w:right w:w="140" w:type="dxa"/>
            </w:tcMar>
          </w:tcPr>
          <w:p>
            <w:pPr>
              <w:jc w:val="left"/>
            </w:pPr>
            <w:r>
              <w:rPr>
                <w:b/>
                <w:color w:val="FFFFFF"/>
                <w:sz w:val="19"/>
              </w:rPr>
              <w:t>Score Range</w:t>
            </w:r>
          </w:p>
        </w:tc>
        <w:tc>
          <w:tcPr>
            <w:tcW w:type="dxa" w:w="3312"/>
            <w:shd w:fill="1E3A8A"/>
            <w:tcMar>
              <w:top w:w="120" w:type="dxa"/>
              <w:bottom w:w="120" w:type="dxa"/>
              <w:left w:w="140" w:type="dxa"/>
              <w:right w:w="140" w:type="dxa"/>
            </w:tcMar>
          </w:tcPr>
          <w:p>
            <w:pPr>
              <w:jc w:val="left"/>
            </w:pPr>
            <w:r>
              <w:rPr>
                <w:b/>
                <w:color w:val="FFFFFF"/>
                <w:sz w:val="19"/>
              </w:rPr>
              <w:t>System Decision</w:t>
            </w:r>
          </w:p>
        </w:tc>
        <w:tc>
          <w:tcPr>
            <w:tcW w:type="dxa" w:w="3312"/>
            <w:shd w:fill="1E3A8A"/>
            <w:tcMar>
              <w:top w:w="120" w:type="dxa"/>
              <w:bottom w:w="120" w:type="dxa"/>
              <w:left w:w="140" w:type="dxa"/>
              <w:right w:w="140" w:type="dxa"/>
            </w:tcMar>
          </w:tcPr>
          <w:p>
            <w:pPr>
              <w:jc w:val="left"/>
            </w:pPr>
            <w:r>
              <w:rPr>
                <w:b/>
                <w:color w:val="FFFFFF"/>
                <w:sz w:val="19"/>
              </w:rPr>
              <w:t>Automated Workflow Action</w:t>
            </w:r>
          </w:p>
        </w:tc>
      </w:tr>
      <w:tr>
        <w:tc>
          <w:tcPr>
            <w:tcW w:type="dxa" w:w="3312"/>
            <w:tcMar>
              <w:top w:w="80" w:type="dxa"/>
              <w:bottom w:w="80" w:type="dxa"/>
              <w:left w:w="120" w:type="dxa"/>
              <w:right w:w="120" w:type="dxa"/>
            </w:tcMar>
            <w:shd w:fill="FEF2F2"/>
          </w:tcPr>
          <w:p>
            <w:pPr>
              <w:spacing w:after="40" w:before="40"/>
              <w:jc w:val="left"/>
            </w:pPr>
            <w:r>
              <w:rPr>
                <w:rFonts w:ascii="Calibri" w:hAnsi="Calibri"/>
                <w:b w:val="0"/>
                <w:i w:val="0"/>
                <w:color w:val="1E293B"/>
                <w:sz w:val="19"/>
              </w:rPr>
              <w:t>&gt;= 95.0%</w:t>
            </w:r>
          </w:p>
        </w:tc>
        <w:tc>
          <w:tcPr>
            <w:tcW w:type="dxa" w:w="3312"/>
            <w:tcMar>
              <w:top w:w="80" w:type="dxa"/>
              <w:bottom w:w="80" w:type="dxa"/>
              <w:left w:w="120" w:type="dxa"/>
              <w:right w:w="120" w:type="dxa"/>
            </w:tcMar>
            <w:shd w:fill="FEF2F2"/>
          </w:tcPr>
          <w:p>
            <w:pPr>
              <w:spacing w:after="40" w:before="40"/>
              <w:jc w:val="left"/>
            </w:pPr>
            <w:r>
              <w:rPr>
                <w:rFonts w:ascii="Calibri" w:hAnsi="Calibri"/>
                <w:b/>
                <w:i w:val="0"/>
                <w:color w:val="1E293B"/>
                <w:sz w:val="19"/>
              </w:rPr>
              <w:t>HIGH_CONFIDENCE_MATCH</w:t>
            </w:r>
          </w:p>
        </w:tc>
        <w:tc>
          <w:tcPr>
            <w:tcW w:type="dxa" w:w="3312"/>
            <w:tcMar>
              <w:top w:w="80" w:type="dxa"/>
              <w:bottom w:w="80" w:type="dxa"/>
              <w:left w:w="120" w:type="dxa"/>
              <w:right w:w="120" w:type="dxa"/>
            </w:tcMar>
            <w:shd w:fill="FEF2F2"/>
          </w:tcPr>
          <w:p>
            <w:pPr>
              <w:spacing w:after="40" w:before="40"/>
              <w:jc w:val="left"/>
            </w:pPr>
            <w:r>
              <w:rPr>
                <w:rFonts w:ascii="Calibri" w:hAnsi="Calibri"/>
                <w:b w:val="0"/>
                <w:i w:val="0"/>
                <w:color w:val="1E293B"/>
                <w:sz w:val="19"/>
              </w:rPr>
              <w:t>Registration intercepted (HTTP 409). Triggers High-Confidence Duplicate Review Modal for nurse confirmation.</w:t>
            </w:r>
          </w:p>
        </w:tc>
      </w:tr>
      <w:tr>
        <w:tc>
          <w:tcPr>
            <w:tcW w:type="dxa" w:w="3312"/>
            <w:tcMar>
              <w:top w:w="80" w:type="dxa"/>
              <w:bottom w:w="80" w:type="dxa"/>
              <w:left w:w="120" w:type="dxa"/>
              <w:right w:w="120" w:type="dxa"/>
            </w:tcMar>
            <w:shd w:fill="FFFBEB"/>
          </w:tcPr>
          <w:p>
            <w:pPr>
              <w:spacing w:after="40" w:before="40"/>
              <w:jc w:val="left"/>
            </w:pPr>
            <w:r>
              <w:rPr>
                <w:rFonts w:ascii="Calibri" w:hAnsi="Calibri"/>
                <w:b w:val="0"/>
                <w:i w:val="0"/>
                <w:color w:val="1E293B"/>
                <w:sz w:val="19"/>
              </w:rPr>
              <w:t>80.0% - 94.9%</w:t>
            </w:r>
          </w:p>
        </w:tc>
        <w:tc>
          <w:tcPr>
            <w:tcW w:type="dxa" w:w="3312"/>
            <w:tcMar>
              <w:top w:w="80" w:type="dxa"/>
              <w:bottom w:w="80" w:type="dxa"/>
              <w:left w:w="120" w:type="dxa"/>
              <w:right w:w="120" w:type="dxa"/>
            </w:tcMar>
            <w:shd w:fill="FFFBEB"/>
          </w:tcPr>
          <w:p>
            <w:pPr>
              <w:spacing w:after="40" w:before="40"/>
              <w:jc w:val="left"/>
            </w:pPr>
            <w:r>
              <w:rPr>
                <w:rFonts w:ascii="Calibri" w:hAnsi="Calibri"/>
                <w:b/>
                <w:i w:val="0"/>
                <w:color w:val="1E293B"/>
                <w:sz w:val="19"/>
              </w:rPr>
              <w:t>REVIEW_REQUIRED</w:t>
            </w:r>
          </w:p>
        </w:tc>
        <w:tc>
          <w:tcPr>
            <w:tcW w:type="dxa" w:w="3312"/>
            <w:tcMar>
              <w:top w:w="80" w:type="dxa"/>
              <w:bottom w:w="80" w:type="dxa"/>
              <w:left w:w="120" w:type="dxa"/>
              <w:right w:w="120" w:type="dxa"/>
            </w:tcMar>
            <w:shd w:fill="FFFBEB"/>
          </w:tcPr>
          <w:p>
            <w:pPr>
              <w:spacing w:after="40" w:before="40"/>
              <w:jc w:val="left"/>
            </w:pPr>
            <w:r>
              <w:rPr>
                <w:rFonts w:ascii="Calibri" w:hAnsi="Calibri"/>
                <w:b w:val="0"/>
                <w:i w:val="0"/>
                <w:color w:val="1E293B"/>
                <w:sz w:val="19"/>
              </w:rPr>
              <w:t>Registration intercepted (HTTP 409). Triggers Review Required Duplicate Modal for clinical evaluation.</w:t>
            </w:r>
          </w:p>
        </w:tc>
      </w:tr>
      <w:tr>
        <w:tc>
          <w:tcPr>
            <w:tcW w:type="dxa" w:w="3312"/>
            <w:tcMar>
              <w:top w:w="80" w:type="dxa"/>
              <w:bottom w:w="80" w:type="dxa"/>
              <w:left w:w="120" w:type="dxa"/>
              <w:right w:w="120" w:type="dxa"/>
            </w:tcMar>
            <w:shd w:fill="F0FDF4"/>
          </w:tcPr>
          <w:p>
            <w:pPr>
              <w:spacing w:after="40" w:before="40"/>
              <w:jc w:val="left"/>
            </w:pPr>
            <w:r>
              <w:rPr>
                <w:rFonts w:ascii="Calibri" w:hAnsi="Calibri"/>
                <w:b w:val="0"/>
                <w:i w:val="0"/>
                <w:color w:val="1E293B"/>
                <w:sz w:val="19"/>
              </w:rPr>
              <w:t>&lt; 80.0%</w:t>
            </w:r>
          </w:p>
        </w:tc>
        <w:tc>
          <w:tcPr>
            <w:tcW w:type="dxa" w:w="3312"/>
            <w:tcMar>
              <w:top w:w="80" w:type="dxa"/>
              <w:bottom w:w="80" w:type="dxa"/>
              <w:left w:w="120" w:type="dxa"/>
              <w:right w:w="120" w:type="dxa"/>
            </w:tcMar>
            <w:shd w:fill="F0FDF4"/>
          </w:tcPr>
          <w:p>
            <w:pPr>
              <w:spacing w:after="40" w:before="40"/>
              <w:jc w:val="left"/>
            </w:pPr>
            <w:r>
              <w:rPr>
                <w:rFonts w:ascii="Calibri" w:hAnsi="Calibri"/>
                <w:b/>
                <w:i w:val="0"/>
                <w:color w:val="1E293B"/>
                <w:sz w:val="19"/>
              </w:rPr>
              <w:t>NO_LIKELY_MATCH</w:t>
            </w:r>
          </w:p>
        </w:tc>
        <w:tc>
          <w:tcPr>
            <w:tcW w:type="dxa" w:w="3312"/>
            <w:tcMar>
              <w:top w:w="80" w:type="dxa"/>
              <w:bottom w:w="80" w:type="dxa"/>
              <w:left w:w="120" w:type="dxa"/>
              <w:right w:w="120" w:type="dxa"/>
            </w:tcMar>
            <w:shd w:fill="F0FDF4"/>
          </w:tcPr>
          <w:p>
            <w:pPr>
              <w:spacing w:after="40" w:before="40"/>
              <w:jc w:val="left"/>
            </w:pPr>
            <w:r>
              <w:rPr>
                <w:rFonts w:ascii="Calibri" w:hAnsi="Calibri"/>
                <w:b w:val="0"/>
                <w:i w:val="0"/>
                <w:color w:val="1E293B"/>
                <w:sz w:val="19"/>
              </w:rPr>
              <w:t>Auto-Registration (HTTP 201). System auto-creates master record in patient_demographics with status AUTO_CREATED.</w:t>
            </w:r>
          </w:p>
        </w:tc>
      </w:tr>
    </w:tbl>
    <w:p>
      <w:pPr>
        <w:spacing w:after="240"/>
      </w:pPr>
    </w:p>
    <w:p>
      <w:pPr>
        <w:pStyle w:val="Heading1"/>
        <w:spacing w:before="280" w:after="120"/>
      </w:pPr>
      <w:r>
        <w:rPr>
          <w:rFonts w:ascii="Calibri" w:hAnsi="Calibri"/>
          <w:b/>
          <w:color w:val="184C78"/>
          <w:sz w:val="36"/>
        </w:rPr>
        <w:t>5. Database Tables &amp; Schema Specifications</w:t>
      </w:r>
    </w:p>
    <w:p>
      <w:r>
        <w:t>The MPI architecture relies on 5 core database tables in Microsoft SQL Server to maintain workflow integrity, auditability, non-repudiation, and fast index retrieval:</w:t>
      </w:r>
    </w:p>
    <w:p>
      <w:pPr>
        <w:pStyle w:val="ListBullet"/>
      </w:pPr>
      <w:r>
        <w:rPr>
          <w:b/>
          <w:color w:val="1E3A8A"/>
        </w:rPr>
        <w:t xml:space="preserve">1. dbo.patient_staging (Lean Schema): </w:t>
      </w:r>
      <w:r>
        <w:t>Holds unverified incoming intake records. Contains identity columns, match_status ('PENDING', 'REVIEW_REQUIRED', 'RESOLVED'), final_action ('AUTO_CREATED', 'MANUAL_CREATED', 'MANUAL_MERGED'), resolved_patient_id, created_by (logged-in user), and raw_payload (full JSON intake).</w:t>
      </w:r>
    </w:p>
    <w:p>
      <w:pPr>
        <w:pStyle w:val="ListBullet"/>
      </w:pPr>
      <w:r>
        <w:rPr>
          <w:b/>
          <w:color w:val="1E3A8A"/>
        </w:rPr>
        <w:t xml:space="preserve">2. dbo.patient_match_audit (Audit &amp; Non-Repudiation): </w:t>
      </w:r>
      <w:r>
        <w:t>Captures every evaluation event. Columns: audit_id (PK), reg_patient_id (FK to patient_demographics), candidate_patient_id (FK to patient_staging.staging_id), action ('VERIFY', 'FORCE_CREATE', 'MERGE'), decision, user_decision, overall_score, field_scores (JSON), reasons (JSON), and created_by.</w:t>
      </w:r>
    </w:p>
    <w:p>
      <w:pPr>
        <w:pStyle w:val="ListBullet"/>
      </w:pPr>
      <w:r>
        <w:rPr>
          <w:b/>
          <w:color w:val="1E3A8A"/>
        </w:rPr>
        <w:t xml:space="preserve">3. dbo.patient_identity_index (Search Index): </w:t>
      </w:r>
      <w:r>
        <w:t>Optimized search index table. Contains reg_patient_id, normalized_name, name_phonetic, phone_hash, abha_hash, uhid_hash, email_hash, date_of_birth, dob_year, and pincode.</w:t>
      </w:r>
    </w:p>
    <w:p>
      <w:pPr>
        <w:pStyle w:val="ListBullet"/>
      </w:pPr>
      <w:r>
        <w:rPr>
          <w:b/>
          <w:color w:val="1E3A8A"/>
        </w:rPr>
        <w:t xml:space="preserve">4. dbo.mpi_scoring_config (Dynamic Tuning Table): </w:t>
      </w:r>
      <w:r>
        <w:t>Stores runtime scoring parameters. Columns: config_id (PK), config_type ('WEIGHT', 'PENALTY', 'THRESHOLD'), config_key, config_value, description, and is_active.</w:t>
      </w:r>
    </w:p>
    <w:p>
      <w:pPr>
        <w:pStyle w:val="ListBullet"/>
      </w:pPr>
      <w:r>
        <w:rPr>
          <w:b/>
          <w:color w:val="1E3A8A"/>
        </w:rPr>
        <w:t xml:space="preserve">5. dbo.patient_demographics (Golden Master Record): </w:t>
      </w:r>
      <w:r>
        <w:t>The verified patient master catalog containing reg_patient_id, mr_no, patient_name, phone_no, date_of_birth, gender, address, and all extracted clinical baseline metrics.</w:t>
      </w:r>
    </w:p>
    <w:p>
      <w:pPr>
        <w:spacing w:after="200"/>
      </w:pPr>
    </w:p>
    <w:p>
      <w:pPr>
        <w:pStyle w:val="Heading1"/>
        <w:spacing w:before="280" w:after="120"/>
      </w:pPr>
      <w:r>
        <w:rPr>
          <w:rFonts w:ascii="Calibri" w:hAnsi="Calibri"/>
          <w:b/>
          <w:color w:val="184C78"/>
          <w:sz w:val="36"/>
        </w:rPr>
        <w:t>6. Single-Row Staging Lifecycle &amp; State Transitions</w:t>
      </w:r>
    </w:p>
    <w:p>
      <w:r>
        <w:t>To guarantee zero staging table duplication, an intake form submission strictly follows this deterministic lifecycle:</w:t>
      </w:r>
    </w:p>
    <w:p>
      <w:pPr>
        <w:pStyle w:val="ListBullet"/>
      </w:pPr>
      <w:r>
        <w:rPr>
          <w:b/>
          <w:color w:val="1E3A8A"/>
        </w:rPr>
        <w:t xml:space="preserve">Step 1: Intake Ingestion (POST /api/patients): </w:t>
      </w:r>
      <w:r>
        <w:t>Incoming form payload creates exactly ONE row in dbo.patient_staging with match_status = 'PENDING' and records created_by.</w:t>
      </w:r>
    </w:p>
    <w:p>
      <w:pPr>
        <w:pStyle w:val="ListBullet"/>
      </w:pPr>
      <w:r>
        <w:rPr>
          <w:b/>
          <w:color w:val="1E3A8A"/>
        </w:rPr>
        <w:t xml:space="preserve">Step 2: Candidate Evaluation &amp; Multi-Candidate Audit: </w:t>
      </w:r>
      <w:r>
        <w:t>Layer 2 retrieves all matching records. Layer 3 calculates scores. For EVERY candidate meeting threshold (&gt;= 80%), a separate audit row is logged in dbo.patient_match_audit linked to that single staging_id.</w:t>
      </w:r>
    </w:p>
    <w:p>
      <w:pPr>
        <w:pStyle w:val="ListBullet"/>
      </w:pPr>
      <w:r>
        <w:rPr>
          <w:b/>
          <w:color w:val="1E3A8A"/>
        </w:rPr>
        <w:t xml:space="preserve">Step 3A: Clean Match (&lt; 80%): </w:t>
      </w:r>
      <w:r>
        <w:t>Backend registers the master record, updates the original staging row to match_status = 'RESOLVED', final_action = 'AUTO_CREATED', and returns HTTP 201.</w:t>
      </w:r>
    </w:p>
    <w:p>
      <w:pPr>
        <w:pStyle w:val="ListBullet"/>
      </w:pPr>
      <w:r>
        <w:rPr>
          <w:b/>
          <w:color w:val="1E3A8A"/>
        </w:rPr>
        <w:t xml:space="preserve">Step 3B: Potential Duplicate Detected (&gt;= 80%): </w:t>
      </w:r>
      <w:r>
        <w:t>Backend updates the original staging row to match_status = 'REVIEW_REQUIRED' and returns HTTP 409 Conflict with staging_id and candidate list.</w:t>
      </w:r>
    </w:p>
    <w:p>
      <w:pPr>
        <w:pStyle w:val="ListBullet"/>
      </w:pPr>
      <w:r>
        <w:rPr>
          <w:b/>
          <w:color w:val="1E3A8A"/>
        </w:rPr>
        <w:t xml:space="preserve">Step 4: Clinical Resolution (POST /api/resolve-staging): </w:t>
      </w:r>
      <w:r>
        <w:t>The nurse acts in the verification modal:</w:t>
        <w:br/>
        <w:t xml:space="preserve">  • 'Use Existing Patient' -&gt; Updates staging row to RESOLVED / MANUAL_MERGED with resolved_patient_id = target_patient_id.</w:t>
        <w:br/>
        <w:t xml:space="preserve">  • 'Force Register as New' -&gt; Copies raw_payload into patient_demographics, updates staging row to RESOLVED / MANUAL_CREATED with resolved_patient_id = new_patient_id.</w:t>
      </w:r>
    </w:p>
    <w:p>
      <w:pPr>
        <w:spacing w:after="240"/>
      </w:pPr>
    </w:p>
    <w:p>
      <w:pPr>
        <w:pStyle w:val="Heading1"/>
        <w:spacing w:before="280" w:after="120"/>
      </w:pPr>
      <w:r>
        <w:rPr>
          <w:rFonts w:ascii="Calibri" w:hAnsi="Calibri"/>
          <w:b/>
          <w:color w:val="184C78"/>
          <w:sz w:val="36"/>
        </w:rPr>
        <w:t>7. End-to-End Worked Numerical Example (Patient XYZc vs Patient XYZb)</w:t>
      </w:r>
    </w:p>
    <w:p>
      <w:r>
        <w:t>To illustrate the exact arithmetic, consider the real comparison between an incoming intake record (Patient XYZc, 58yo Female) and an existing master record (Patient XYZb, 60yo Male) sharing a family phone and residence:</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120" w:type="dxa"/>
              <w:bottom w:w="120" w:type="dxa"/>
              <w:left w:w="140" w:type="dxa"/>
              <w:right w:w="140" w:type="dxa"/>
            </w:tcMar>
          </w:tcPr>
          <w:p>
            <w:pPr>
              <w:jc w:val="left"/>
            </w:pPr>
            <w:r>
              <w:rPr>
                <w:b/>
                <w:color w:val="FFFFFF"/>
                <w:sz w:val="19"/>
              </w:rPr>
              <w:t>Attribute</w:t>
            </w:r>
          </w:p>
        </w:tc>
        <w:tc>
          <w:tcPr>
            <w:tcW w:type="dxa" w:w="1987"/>
            <w:shd w:fill="1E3A8A"/>
            <w:tcMar>
              <w:top w:w="120" w:type="dxa"/>
              <w:bottom w:w="120" w:type="dxa"/>
              <w:left w:w="140" w:type="dxa"/>
              <w:right w:w="140" w:type="dxa"/>
            </w:tcMar>
          </w:tcPr>
          <w:p>
            <w:pPr>
              <w:jc w:val="left"/>
            </w:pPr>
            <w:r>
              <w:rPr>
                <w:b/>
                <w:color w:val="FFFFFF"/>
                <w:sz w:val="19"/>
              </w:rPr>
              <w:t>Incoming Intake</w:t>
            </w:r>
          </w:p>
        </w:tc>
        <w:tc>
          <w:tcPr>
            <w:tcW w:type="dxa" w:w="1987"/>
            <w:shd w:fill="1E3A8A"/>
            <w:tcMar>
              <w:top w:w="120" w:type="dxa"/>
              <w:bottom w:w="120" w:type="dxa"/>
              <w:left w:w="140" w:type="dxa"/>
              <w:right w:w="140" w:type="dxa"/>
            </w:tcMar>
          </w:tcPr>
          <w:p>
            <w:pPr>
              <w:jc w:val="left"/>
            </w:pPr>
            <w:r>
              <w:rPr>
                <w:b/>
                <w:color w:val="FFFFFF"/>
                <w:sz w:val="19"/>
              </w:rPr>
              <w:t>Existing Master File</w:t>
            </w:r>
          </w:p>
        </w:tc>
        <w:tc>
          <w:tcPr>
            <w:tcW w:type="dxa" w:w="1987"/>
            <w:shd w:fill="1E3A8A"/>
            <w:tcMar>
              <w:top w:w="120" w:type="dxa"/>
              <w:bottom w:w="120" w:type="dxa"/>
              <w:left w:w="140" w:type="dxa"/>
              <w:right w:w="140" w:type="dxa"/>
            </w:tcMar>
          </w:tcPr>
          <w:p>
            <w:pPr>
              <w:jc w:val="left"/>
            </w:pPr>
            <w:r>
              <w:rPr>
                <w:b/>
                <w:color w:val="FFFFFF"/>
                <w:sz w:val="19"/>
              </w:rPr>
              <w:t>Sim Score (S_i)</w:t>
            </w:r>
          </w:p>
        </w:tc>
        <w:tc>
          <w:tcPr>
            <w:tcW w:type="dxa" w:w="1987"/>
            <w:shd w:fill="1E3A8A"/>
            <w:tcMar>
              <w:top w:w="120" w:type="dxa"/>
              <w:bottom w:w="120" w:type="dxa"/>
              <w:left w:w="140" w:type="dxa"/>
              <w:right w:w="140" w:type="dxa"/>
            </w:tcMar>
          </w:tcPr>
          <w:p>
            <w:pPr>
              <w:jc w:val="left"/>
            </w:pPr>
            <w:r>
              <w:rPr>
                <w:b/>
                <w:color w:val="FFFFFF"/>
                <w:sz w:val="19"/>
              </w:rPr>
              <w:t>Weighted (W_i × S_i)</w:t>
            </w:r>
          </w:p>
        </w:tc>
      </w:tr>
      <w:tr>
        <w:tc>
          <w:tcPr>
            <w:tcW w:type="dxa" w:w="1987"/>
            <w:tcMar>
              <w:top w:w="80" w:type="dxa"/>
              <w:bottom w:w="80" w:type="dxa"/>
              <w:left w:w="120" w:type="dxa"/>
              <w:right w:w="120" w:type="dxa"/>
            </w:tcMar>
            <w:shd w:fill="FFFFFF"/>
          </w:tcPr>
          <w:p>
            <w:pPr>
              <w:spacing w:after="40" w:before="40"/>
              <w:jc w:val="left"/>
            </w:pPr>
            <w:r>
              <w:rPr>
                <w:rFonts w:ascii="Calibri" w:hAnsi="Calibri"/>
                <w:b/>
                <w:i w:val="0"/>
                <w:color w:val="1E293B"/>
                <w:sz w:val="19"/>
              </w:rPr>
              <w:t>ABHA (25%)</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ABHA0987654356</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ABHA0987654657</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0.86 (86%)</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25 × 0.86 = 21.50</w:t>
            </w:r>
          </w:p>
        </w:tc>
      </w:tr>
      <w:tr>
        <w:tc>
          <w:tcPr>
            <w:tcW w:type="dxa" w:w="1987"/>
            <w:tcMar>
              <w:top w:w="80" w:type="dxa"/>
              <w:bottom w:w="80" w:type="dxa"/>
              <w:left w:w="120" w:type="dxa"/>
              <w:right w:w="120" w:type="dxa"/>
            </w:tcMar>
            <w:shd w:fill="F8FAFC"/>
          </w:tcPr>
          <w:p>
            <w:pPr>
              <w:spacing w:after="40" w:before="40"/>
              <w:jc w:val="left"/>
            </w:pPr>
            <w:r>
              <w:rPr>
                <w:rFonts w:ascii="Calibri" w:hAnsi="Calibri"/>
                <w:b/>
                <w:i w:val="0"/>
                <w:color w:val="1E293B"/>
                <w:sz w:val="19"/>
              </w:rPr>
              <w:t>UHID (20%)</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UHID12356</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UHID12376</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0.89 (89%)</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20 × 0.89 = 17.80</w:t>
            </w:r>
          </w:p>
        </w:tc>
      </w:tr>
      <w:tr>
        <w:tc>
          <w:tcPr>
            <w:tcW w:type="dxa" w:w="1987"/>
            <w:tcMar>
              <w:top w:w="80" w:type="dxa"/>
              <w:bottom w:w="80" w:type="dxa"/>
              <w:left w:w="120" w:type="dxa"/>
              <w:right w:w="120" w:type="dxa"/>
            </w:tcMar>
            <w:shd w:fill="FFFFFF"/>
          </w:tcPr>
          <w:p>
            <w:pPr>
              <w:spacing w:after="40" w:before="40"/>
              <w:jc w:val="left"/>
            </w:pPr>
            <w:r>
              <w:rPr>
                <w:rFonts w:ascii="Calibri" w:hAnsi="Calibri"/>
                <w:b/>
                <w:i w:val="0"/>
                <w:color w:val="1E293B"/>
                <w:sz w:val="19"/>
              </w:rPr>
              <w:t>Phone (15%)</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+919878950020</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+919878950020</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1.00 (100%)</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15 × 1.00 = 15.00</w:t>
            </w:r>
          </w:p>
        </w:tc>
      </w:tr>
      <w:tr>
        <w:tc>
          <w:tcPr>
            <w:tcW w:type="dxa" w:w="1987"/>
            <w:tcMar>
              <w:top w:w="80" w:type="dxa"/>
              <w:bottom w:w="80" w:type="dxa"/>
              <w:left w:w="120" w:type="dxa"/>
              <w:right w:w="120" w:type="dxa"/>
            </w:tcMar>
            <w:shd w:fill="F8FAFC"/>
          </w:tcPr>
          <w:p>
            <w:pPr>
              <w:spacing w:after="40" w:before="40"/>
              <w:jc w:val="left"/>
            </w:pPr>
            <w:r>
              <w:rPr>
                <w:rFonts w:ascii="Calibri" w:hAnsi="Calibri"/>
                <w:b/>
                <w:i w:val="0"/>
                <w:color w:val="1E293B"/>
                <w:sz w:val="19"/>
              </w:rPr>
              <w:t>DOB (15%)</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1968-07-15</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1966-01-01</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0.00 (Conflict)</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15 × 0.00 = 0.00</w:t>
            </w:r>
          </w:p>
        </w:tc>
      </w:tr>
      <w:tr>
        <w:tc>
          <w:tcPr>
            <w:tcW w:type="dxa" w:w="1987"/>
            <w:tcMar>
              <w:top w:w="80" w:type="dxa"/>
              <w:bottom w:w="80" w:type="dxa"/>
              <w:left w:w="120" w:type="dxa"/>
              <w:right w:w="120" w:type="dxa"/>
            </w:tcMar>
            <w:shd w:fill="FFFFFF"/>
          </w:tcPr>
          <w:p>
            <w:pPr>
              <w:spacing w:after="40" w:before="40"/>
              <w:jc w:val="left"/>
            </w:pPr>
            <w:r>
              <w:rPr>
                <w:rFonts w:ascii="Calibri" w:hAnsi="Calibri"/>
                <w:b/>
                <w:i w:val="0"/>
                <w:color w:val="1E293B"/>
                <w:sz w:val="19"/>
              </w:rPr>
              <w:t>Name (15%)</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patient xyzc</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patient xyzb</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0.92 (92%)</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15 × 0.92 = 13.80</w:t>
            </w:r>
          </w:p>
        </w:tc>
      </w:tr>
      <w:tr>
        <w:tc>
          <w:tcPr>
            <w:tcW w:type="dxa" w:w="1987"/>
            <w:tcMar>
              <w:top w:w="80" w:type="dxa"/>
              <w:bottom w:w="80" w:type="dxa"/>
              <w:left w:w="120" w:type="dxa"/>
              <w:right w:w="120" w:type="dxa"/>
            </w:tcMar>
            <w:shd w:fill="F8FAFC"/>
          </w:tcPr>
          <w:p>
            <w:pPr>
              <w:spacing w:after="40" w:before="40"/>
              <w:jc w:val="left"/>
            </w:pPr>
            <w:r>
              <w:rPr>
                <w:rFonts w:ascii="Calibri" w:hAnsi="Calibri"/>
                <w:b/>
                <w:i w:val="0"/>
                <w:color w:val="1E293B"/>
                <w:sz w:val="19"/>
              </w:rPr>
              <w:t>Address (5%)</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Road 12, Hyderabad</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Road 12, Hyderabad</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1.00 (100%)</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5 × 1.00 = 5.00</w:t>
            </w:r>
          </w:p>
        </w:tc>
      </w:tr>
      <w:tr>
        <w:tc>
          <w:tcPr>
            <w:tcW w:type="dxa" w:w="1987"/>
            <w:tcMar>
              <w:top w:w="80" w:type="dxa"/>
              <w:bottom w:w="80" w:type="dxa"/>
              <w:left w:w="120" w:type="dxa"/>
              <w:right w:w="120" w:type="dxa"/>
            </w:tcMar>
            <w:shd w:fill="FFFFFF"/>
          </w:tcPr>
          <w:p>
            <w:pPr>
              <w:spacing w:after="40" w:before="40"/>
              <w:jc w:val="left"/>
            </w:pPr>
            <w:r>
              <w:rPr>
                <w:rFonts w:ascii="Calibri" w:hAnsi="Calibri"/>
                <w:b/>
                <w:i w:val="0"/>
                <w:color w:val="1E293B"/>
                <w:sz w:val="19"/>
              </w:rPr>
              <w:t>Email (3%)</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patientxyz@gmail.com</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patientxyz@gmail.com</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1.00 (100%)</w:t>
            </w:r>
          </w:p>
        </w:tc>
        <w:tc>
          <w:tcPr>
            <w:tcW w:type="dxa" w:w="1987"/>
            <w:tcMar>
              <w:top w:w="80" w:type="dxa"/>
              <w:bottom w:w="80" w:type="dxa"/>
              <w:left w:w="120" w:type="dxa"/>
              <w:right w:w="120" w:type="dxa"/>
            </w:tcMar>
            <w:shd w:fill="FFFFFF"/>
          </w:tcPr>
          <w:p>
            <w:pPr>
              <w:spacing w:after="40" w:before="40"/>
              <w:jc w:val="left"/>
            </w:pPr>
            <w:r>
              <w:rPr>
                <w:rFonts w:ascii="Calibri" w:hAnsi="Calibri"/>
                <w:b w:val="0"/>
                <w:i w:val="0"/>
                <w:color w:val="1E293B"/>
                <w:sz w:val="19"/>
              </w:rPr>
              <w:t>3 × 1.00 = 3.00</w:t>
            </w:r>
          </w:p>
        </w:tc>
      </w:tr>
      <w:tr>
        <w:tc>
          <w:tcPr>
            <w:tcW w:type="dxa" w:w="1987"/>
            <w:tcMar>
              <w:top w:w="80" w:type="dxa"/>
              <w:bottom w:w="80" w:type="dxa"/>
              <w:left w:w="120" w:type="dxa"/>
              <w:right w:w="120" w:type="dxa"/>
            </w:tcMar>
            <w:shd w:fill="F8FAFC"/>
          </w:tcPr>
          <w:p>
            <w:pPr>
              <w:spacing w:after="40" w:before="40"/>
              <w:jc w:val="left"/>
            </w:pPr>
            <w:r>
              <w:rPr>
                <w:rFonts w:ascii="Calibri" w:hAnsi="Calibri"/>
                <w:b/>
                <w:i w:val="0"/>
                <w:color w:val="1E293B"/>
                <w:sz w:val="19"/>
              </w:rPr>
              <w:t>Gender (2%)</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Female</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Male</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0.00 (Conflict)</w:t>
            </w:r>
          </w:p>
        </w:tc>
        <w:tc>
          <w:tcPr>
            <w:tcW w:type="dxa" w:w="1987"/>
            <w:tcMar>
              <w:top w:w="80" w:type="dxa"/>
              <w:bottom w:w="80" w:type="dxa"/>
              <w:left w:w="120" w:type="dxa"/>
              <w:right w:w="120" w:type="dxa"/>
            </w:tcMar>
            <w:shd w:fill="F8FAFC"/>
          </w:tcPr>
          <w:p>
            <w:pPr>
              <w:spacing w:after="40" w:before="40"/>
              <w:jc w:val="left"/>
            </w:pPr>
            <w:r>
              <w:rPr>
                <w:rFonts w:ascii="Calibri" w:hAnsi="Calibri"/>
                <w:b w:val="0"/>
                <w:i w:val="0"/>
                <w:color w:val="1E293B"/>
                <w:sz w:val="19"/>
              </w:rPr>
              <w:t>2 × 0.00 = 0.00</w:t>
            </w:r>
          </w:p>
        </w:tc>
      </w:tr>
      <w:tr>
        <w:tc>
          <w:tcPr>
            <w:tcW w:type="dxa" w:w="1987"/>
            <w:tcMar>
              <w:top w:w="80" w:type="dxa"/>
              <w:bottom w:w="80" w:type="dxa"/>
              <w:left w:w="120" w:type="dxa"/>
              <w:right w:w="120" w:type="dxa"/>
            </w:tcMar>
            <w:shd w:fill="E2E8F0"/>
          </w:tcPr>
          <w:p>
            <w:pPr>
              <w:spacing w:after="40" w:before="40"/>
              <w:jc w:val="left"/>
            </w:pPr>
            <w:r>
              <w:rPr>
                <w:rFonts w:ascii="Calibri" w:hAnsi="Calibri"/>
                <w:b/>
                <w:i w:val="0"/>
                <w:color w:val="1E3A8A"/>
                <w:sz w:val="19"/>
              </w:rPr>
              <w:t>TOTALS</w:t>
            </w:r>
          </w:p>
        </w:tc>
        <w:tc>
          <w:tcPr>
            <w:tcW w:type="dxa" w:w="1987"/>
            <w:tcMar>
              <w:top w:w="80" w:type="dxa"/>
              <w:bottom w:w="80" w:type="dxa"/>
              <w:left w:w="120" w:type="dxa"/>
              <w:right w:w="120" w:type="dxa"/>
            </w:tcMar>
            <w:shd w:fill="E2E8F0"/>
          </w:tcPr>
          <w:p>
            <w:pPr>
              <w:spacing w:after="40" w:before="40"/>
              <w:jc w:val="left"/>
            </w:pPr>
            <w:r>
              <w:rPr>
                <w:rFonts w:ascii="Calibri" w:hAnsi="Calibri"/>
                <w:b/>
                <w:i w:val="0"/>
                <w:color w:val="1E3A8A"/>
                <w:sz w:val="19"/>
              </w:rPr>
              <w:t>Available Weight: 100.0</w:t>
            </w:r>
          </w:p>
        </w:tc>
        <w:tc>
          <w:tcPr>
            <w:tcW w:type="dxa" w:w="1987"/>
            <w:tcMar>
              <w:top w:w="80" w:type="dxa"/>
              <w:bottom w:w="80" w:type="dxa"/>
              <w:left w:w="120" w:type="dxa"/>
              <w:right w:w="120" w:type="dxa"/>
            </w:tcMar>
            <w:shd w:fill="E2E8F0"/>
          </w:tcPr>
          <w:p>
            <w:pPr>
              <w:spacing w:after="40" w:before="40"/>
              <w:jc w:val="left"/>
            </w:pPr>
            <w:r>
              <w:rPr>
                <w:rFonts w:ascii="Calibri" w:hAnsi="Calibri"/>
                <w:b/>
                <w:i w:val="0"/>
                <w:color w:val="1E3A8A"/>
                <w:sz w:val="19"/>
              </w:rPr>
              <w:t>Weighted Sum: 76.10</w:t>
            </w:r>
          </w:p>
        </w:tc>
        <w:tc>
          <w:tcPr>
            <w:tcW w:type="dxa" w:w="1987"/>
            <w:tcMar>
              <w:top w:w="80" w:type="dxa"/>
              <w:bottom w:w="80" w:type="dxa"/>
              <w:left w:w="120" w:type="dxa"/>
              <w:right w:w="120" w:type="dxa"/>
            </w:tcMar>
            <w:shd w:fill="E2E8F0"/>
          </w:tcPr>
          <w:p>
            <w:pPr>
              <w:spacing w:after="40" w:before="40"/>
              <w:jc w:val="left"/>
            </w:pPr>
            <w:r>
              <w:rPr>
                <w:rFonts w:ascii="Calibri" w:hAnsi="Calibri"/>
                <w:b/>
                <w:i w:val="0"/>
                <w:color w:val="1E3A8A"/>
                <w:sz w:val="19"/>
              </w:rPr>
              <w:t>Base Score:</w:t>
            </w:r>
          </w:p>
        </w:tc>
        <w:tc>
          <w:tcPr>
            <w:tcW w:type="dxa" w:w="1987"/>
            <w:tcMar>
              <w:top w:w="80" w:type="dxa"/>
              <w:bottom w:w="80" w:type="dxa"/>
              <w:left w:w="120" w:type="dxa"/>
              <w:right w:w="120" w:type="dxa"/>
            </w:tcMar>
            <w:shd w:fill="E2E8F0"/>
          </w:tcPr>
          <w:p>
            <w:pPr>
              <w:spacing w:after="40" w:before="40"/>
              <w:jc w:val="left"/>
            </w:pPr>
            <w:r>
              <w:rPr>
                <w:rFonts w:ascii="Calibri" w:hAnsi="Calibri"/>
                <w:b/>
                <w:i w:val="0"/>
                <w:color w:val="1E3A8A"/>
                <w:sz w:val="19"/>
              </w:rPr>
              <w:t>76.10%</w:t>
            </w:r>
          </w:p>
        </w:tc>
      </w:tr>
    </w:tbl>
    <w:p>
      <w:pPr>
        <w:spacing w:after="160"/>
      </w:pP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200" w:type="dxa"/>
              <w:right w:w="200" w:type="dxa"/>
            </w:tcMar>
            <w:tcBorders>
              <w:top w:val="none"/>
              <w:left w:val="single" w:sz="24" w:space="0" w:color="16A34A"/>
              <w:bottom w:val="none"/>
              <w:right w:val="none"/>
            </w:tcBorders>
          </w:tcPr>
          <w:p>
            <w:pPr>
              <w:spacing w:after="80"/>
            </w:pPr>
            <w:r>
              <w:rPr>
                <w:b/>
                <w:color w:val="184C78"/>
                <w:sz w:val="21"/>
              </w:rPr>
              <w:t>📌 Calculation Outcome &amp; Decision Verification</w:t>
              <w:br/>
            </w:r>
            <w:r>
              <w:rPr>
                <w:color w:val="2D3748"/>
                <w:sz w:val="20"/>
              </w:rPr>
              <w:t>• Base Score = 76.10%</w:t>
              <w:br/>
              <w:t>• Conflict Penalties: Date of Birth Conflict (-40 pts) + Gender Conflict (-20 pts) = -60 pts</w:t>
              <w:br/>
              <w:t>• Final Score = MAX(0.0, 76.10% - 60.0) = 16.10%</w:t>
              <w:br/>
              <w:t>• System Decision: NO_LIKELY_MATCH (&lt; 80.0%)</w:t>
              <w:br/>
              <w:t>• Result: The engine correctly identifies distinct individuals sharing a household, automatically creates the patient master record, and avoids a false-positive duplicate alert.</w:t>
            </w:r>
          </w:p>
        </w:tc>
      </w:tr>
    </w:tbl>
    <w:p>
      <w:pPr>
        <w:spacing w:after="120"/>
      </w:pPr>
    </w:p>
    <w:p>
      <w:pPr>
        <w:pStyle w:val="Heading1"/>
        <w:spacing w:before="280" w:after="120"/>
      </w:pPr>
      <w:r>
        <w:rPr>
          <w:rFonts w:ascii="Calibri" w:hAnsi="Calibri"/>
          <w:b/>
          <w:color w:val="184C78"/>
          <w:sz w:val="36"/>
        </w:rPr>
        <w:t>8. Codebase Implementation &amp; Source Code Reference</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120" w:type="dxa"/>
              <w:bottom w:w="120" w:type="dxa"/>
              <w:left w:w="140" w:type="dxa"/>
              <w:right w:w="140" w:type="dxa"/>
            </w:tcMar>
          </w:tcPr>
          <w:p>
            <w:pPr>
              <w:jc w:val="left"/>
            </w:pPr>
            <w:r>
              <w:rPr>
                <w:b/>
                <w:color w:val="FFFFFF"/>
                <w:sz w:val="19"/>
              </w:rPr>
              <w:t>Component</w:t>
            </w:r>
          </w:p>
        </w:tc>
        <w:tc>
          <w:tcPr>
            <w:tcW w:type="dxa" w:w="3312"/>
            <w:shd w:fill="1E3A8A"/>
            <w:tcMar>
              <w:top w:w="120" w:type="dxa"/>
              <w:bottom w:w="120" w:type="dxa"/>
              <w:left w:w="140" w:type="dxa"/>
              <w:right w:w="140" w:type="dxa"/>
            </w:tcMar>
          </w:tcPr>
          <w:p>
            <w:pPr>
              <w:jc w:val="left"/>
            </w:pPr>
            <w:r>
              <w:rPr>
                <w:b/>
                <w:color w:val="FFFFFF"/>
                <w:sz w:val="19"/>
              </w:rPr>
              <w:t>File Location</w:t>
            </w:r>
          </w:p>
        </w:tc>
        <w:tc>
          <w:tcPr>
            <w:tcW w:type="dxa" w:w="3312"/>
            <w:shd w:fill="1E3A8A"/>
            <w:tcMar>
              <w:top w:w="120" w:type="dxa"/>
              <w:bottom w:w="120" w:type="dxa"/>
              <w:left w:w="140" w:type="dxa"/>
              <w:right w:w="140" w:type="dxa"/>
            </w:tcMar>
          </w:tcPr>
          <w:p>
            <w:pPr>
              <w:jc w:val="left"/>
            </w:pPr>
            <w:r>
              <w:rPr>
                <w:b/>
                <w:color w:val="FFFFFF"/>
                <w:sz w:val="19"/>
              </w:rPr>
              <w:t>Key Functions / Responsibilities</w:t>
            </w:r>
          </w:p>
        </w:tc>
      </w:tr>
      <w:tr>
        <w:tc>
          <w:tcPr>
            <w:tcW w:type="dxa" w:w="3312"/>
            <w:tcMar>
              <w:top w:w="80" w:type="dxa"/>
              <w:bottom w:w="80" w:type="dxa"/>
              <w:left w:w="120" w:type="dxa"/>
              <w:right w:w="120" w:type="dxa"/>
            </w:tcMar>
            <w:shd w:fill="FFFFFF"/>
          </w:tcPr>
          <w:p>
            <w:pPr>
              <w:spacing w:after="40" w:before="40"/>
              <w:jc w:val="left"/>
            </w:pPr>
            <w:r>
              <w:rPr>
                <w:rFonts w:ascii="Calibri" w:hAnsi="Calibri"/>
                <w:b/>
                <w:i w:val="0"/>
                <w:color w:val="1E293B"/>
                <w:sz w:val="19"/>
              </w:rPr>
              <w:t>Identity Resolution Engine</w:t>
            </w:r>
          </w:p>
        </w:tc>
        <w:tc>
          <w:tcPr>
            <w:tcW w:type="dxa" w:w="3312"/>
            <w:tcMar>
              <w:top w:w="80" w:type="dxa"/>
              <w:bottom w:w="80" w:type="dxa"/>
              <w:left w:w="120" w:type="dxa"/>
              <w:right w:w="120" w:type="dxa"/>
            </w:tcMar>
            <w:shd w:fill="FFFFFF"/>
          </w:tcPr>
          <w:p>
            <w:pPr>
              <w:spacing w:after="40" w:before="40"/>
              <w:jc w:val="left"/>
            </w:pPr>
            <w:r>
              <w:rPr>
                <w:rFonts w:ascii="Calibri" w:hAnsi="Calibri"/>
                <w:b w:val="0"/>
                <w:i w:val="0"/>
                <w:color w:val="1E293B"/>
                <w:sz w:val="19"/>
              </w:rPr>
              <w:t>backend/services/identityResolutionEngine.js</w:t>
            </w:r>
          </w:p>
        </w:tc>
        <w:tc>
          <w:tcPr>
            <w:tcW w:type="dxa" w:w="3312"/>
            <w:tcMar>
              <w:top w:w="80" w:type="dxa"/>
              <w:bottom w:w="80" w:type="dxa"/>
              <w:left w:w="120" w:type="dxa"/>
              <w:right w:w="120" w:type="dxa"/>
            </w:tcMar>
            <w:shd w:fill="FFFFFF"/>
          </w:tcPr>
          <w:p>
            <w:pPr>
              <w:spacing w:after="40" w:before="40"/>
              <w:jc w:val="left"/>
            </w:pPr>
            <w:r>
              <w:rPr>
                <w:rFonts w:ascii="Calibri" w:hAnsi="Calibri"/>
                <w:b w:val="0"/>
                <w:i w:val="0"/>
                <w:color w:val="1E293B"/>
                <w:sz w:val="19"/>
              </w:rPr>
              <w:t>scoreCandidate(), resolvePatientIdentity(), multi-pass candidate scoring, thresholding.</w:t>
            </w:r>
          </w:p>
        </w:tc>
      </w:tr>
      <w:tr>
        <w:tc>
          <w:tcPr>
            <w:tcW w:type="dxa" w:w="3312"/>
            <w:tcMar>
              <w:top w:w="80" w:type="dxa"/>
              <w:bottom w:w="80" w:type="dxa"/>
              <w:left w:w="120" w:type="dxa"/>
              <w:right w:w="120" w:type="dxa"/>
            </w:tcMar>
            <w:shd w:fill="F8FAFC"/>
          </w:tcPr>
          <w:p>
            <w:pPr>
              <w:spacing w:after="40" w:before="40"/>
              <w:jc w:val="left"/>
            </w:pPr>
            <w:r>
              <w:rPr>
                <w:rFonts w:ascii="Calibri" w:hAnsi="Calibri"/>
                <w:b/>
                <w:i w:val="0"/>
                <w:color w:val="1E293B"/>
                <w:sz w:val="19"/>
              </w:rPr>
              <w:t>Dynamic Scoring Config</w:t>
            </w:r>
          </w:p>
        </w:tc>
        <w:tc>
          <w:tcPr>
            <w:tcW w:type="dxa" w:w="3312"/>
            <w:tcMar>
              <w:top w:w="80" w:type="dxa"/>
              <w:bottom w:w="80" w:type="dxa"/>
              <w:left w:w="120" w:type="dxa"/>
              <w:right w:w="120" w:type="dxa"/>
            </w:tcMar>
            <w:shd w:fill="F8FAFC"/>
          </w:tcPr>
          <w:p>
            <w:pPr>
              <w:spacing w:after="40" w:before="40"/>
              <w:jc w:val="left"/>
            </w:pPr>
            <w:r>
              <w:rPr>
                <w:rFonts w:ascii="Calibri" w:hAnsi="Calibri"/>
                <w:b w:val="0"/>
                <w:i w:val="0"/>
                <w:color w:val="1E293B"/>
                <w:sz w:val="19"/>
              </w:rPr>
              <w:t>backend/services/mpiConfigService.js</w:t>
            </w:r>
          </w:p>
        </w:tc>
        <w:tc>
          <w:tcPr>
            <w:tcW w:type="dxa" w:w="3312"/>
            <w:tcMar>
              <w:top w:w="80" w:type="dxa"/>
              <w:bottom w:w="80" w:type="dxa"/>
              <w:left w:w="120" w:type="dxa"/>
              <w:right w:w="120" w:type="dxa"/>
            </w:tcMar>
            <w:shd w:fill="F8FAFC"/>
          </w:tcPr>
          <w:p>
            <w:pPr>
              <w:spacing w:after="40" w:before="40"/>
              <w:jc w:val="left"/>
            </w:pPr>
            <w:r>
              <w:rPr>
                <w:rFonts w:ascii="Calibri" w:hAnsi="Calibri"/>
                <w:b w:val="0"/>
                <w:i w:val="0"/>
                <w:color w:val="1E293B"/>
                <w:sz w:val="19"/>
              </w:rPr>
              <w:t>getScoringConfig(), in-memory TTL caching (60s), updateConfig(), fallback defaults.</w:t>
            </w:r>
          </w:p>
        </w:tc>
      </w:tr>
      <w:tr>
        <w:tc>
          <w:tcPr>
            <w:tcW w:type="dxa" w:w="3312"/>
            <w:tcMar>
              <w:top w:w="80" w:type="dxa"/>
              <w:bottom w:w="80" w:type="dxa"/>
              <w:left w:w="120" w:type="dxa"/>
              <w:right w:w="120" w:type="dxa"/>
            </w:tcMar>
            <w:shd w:fill="FFFFFF"/>
          </w:tcPr>
          <w:p>
            <w:pPr>
              <w:spacing w:after="40" w:before="40"/>
              <w:jc w:val="left"/>
            </w:pPr>
            <w:r>
              <w:rPr>
                <w:rFonts w:ascii="Calibri" w:hAnsi="Calibri"/>
                <w:b/>
                <w:i w:val="0"/>
                <w:color w:val="1E293B"/>
                <w:sz w:val="19"/>
              </w:rPr>
              <w:t>Data Normalization Service</w:t>
            </w:r>
          </w:p>
        </w:tc>
        <w:tc>
          <w:tcPr>
            <w:tcW w:type="dxa" w:w="3312"/>
            <w:tcMar>
              <w:top w:w="80" w:type="dxa"/>
              <w:bottom w:w="80" w:type="dxa"/>
              <w:left w:w="120" w:type="dxa"/>
              <w:right w:w="120" w:type="dxa"/>
            </w:tcMar>
            <w:shd w:fill="FFFFFF"/>
          </w:tcPr>
          <w:p>
            <w:pPr>
              <w:spacing w:after="40" w:before="40"/>
              <w:jc w:val="left"/>
            </w:pPr>
            <w:r>
              <w:rPr>
                <w:rFonts w:ascii="Calibri" w:hAnsi="Calibri"/>
                <w:b w:val="0"/>
                <w:i w:val="0"/>
                <w:color w:val="1E293B"/>
                <w:sz w:val="19"/>
              </w:rPr>
              <w:t>backend/services/normalizationService.js</w:t>
            </w:r>
          </w:p>
        </w:tc>
        <w:tc>
          <w:tcPr>
            <w:tcW w:type="dxa" w:w="3312"/>
            <w:tcMar>
              <w:top w:w="80" w:type="dxa"/>
              <w:bottom w:w="80" w:type="dxa"/>
              <w:left w:w="120" w:type="dxa"/>
              <w:right w:w="120" w:type="dxa"/>
            </w:tcMar>
            <w:shd w:fill="FFFFFF"/>
          </w:tcPr>
          <w:p>
            <w:pPr>
              <w:spacing w:after="40" w:before="40"/>
              <w:jc w:val="left"/>
            </w:pPr>
            <w:r>
              <w:rPr>
                <w:rFonts w:ascii="Calibri" w:hAnsi="Calibri"/>
                <w:b w:val="0"/>
                <w:i w:val="0"/>
                <w:color w:val="1E293B"/>
                <w:sz w:val="19"/>
              </w:rPr>
              <w:t>normalizeName(), getPhonetic() (Double-Metaphone), normalizePhone(), normalizeAddress().</w:t>
            </w:r>
          </w:p>
        </w:tc>
      </w:tr>
      <w:tr>
        <w:tc>
          <w:tcPr>
            <w:tcW w:type="dxa" w:w="3312"/>
            <w:tcMar>
              <w:top w:w="80" w:type="dxa"/>
              <w:bottom w:w="80" w:type="dxa"/>
              <w:left w:w="120" w:type="dxa"/>
              <w:right w:w="120" w:type="dxa"/>
            </w:tcMar>
            <w:shd w:fill="F8FAFC"/>
          </w:tcPr>
          <w:p>
            <w:pPr>
              <w:spacing w:after="40" w:before="40"/>
              <w:jc w:val="left"/>
            </w:pPr>
            <w:r>
              <w:rPr>
                <w:rFonts w:ascii="Calibri" w:hAnsi="Calibri"/>
                <w:b/>
                <w:i w:val="0"/>
                <w:color w:val="1E293B"/>
                <w:sz w:val="19"/>
              </w:rPr>
              <w:t>Patient Service &amp; Staging</w:t>
            </w:r>
          </w:p>
        </w:tc>
        <w:tc>
          <w:tcPr>
            <w:tcW w:type="dxa" w:w="3312"/>
            <w:tcMar>
              <w:top w:w="80" w:type="dxa"/>
              <w:bottom w:w="80" w:type="dxa"/>
              <w:left w:w="120" w:type="dxa"/>
              <w:right w:w="120" w:type="dxa"/>
            </w:tcMar>
            <w:shd w:fill="F8FAFC"/>
          </w:tcPr>
          <w:p>
            <w:pPr>
              <w:spacing w:after="40" w:before="40"/>
              <w:jc w:val="left"/>
            </w:pPr>
            <w:r>
              <w:rPr>
                <w:rFonts w:ascii="Calibri" w:hAnsi="Calibri"/>
                <w:b w:val="0"/>
                <w:i w:val="0"/>
                <w:color w:val="1E293B"/>
                <w:sz w:val="19"/>
              </w:rPr>
              <w:t>backend/services/patientService.js</w:t>
            </w:r>
          </w:p>
        </w:tc>
        <w:tc>
          <w:tcPr>
            <w:tcW w:type="dxa" w:w="3312"/>
            <w:tcMar>
              <w:top w:w="80" w:type="dxa"/>
              <w:bottom w:w="80" w:type="dxa"/>
              <w:left w:w="120" w:type="dxa"/>
              <w:right w:w="120" w:type="dxa"/>
            </w:tcMar>
            <w:shd w:fill="F8FAFC"/>
          </w:tcPr>
          <w:p>
            <w:pPr>
              <w:spacing w:after="40" w:before="40"/>
              <w:jc w:val="left"/>
            </w:pPr>
            <w:r>
              <w:rPr>
                <w:rFonts w:ascii="Calibri" w:hAnsi="Calibri"/>
                <w:b w:val="0"/>
                <w:i w:val="0"/>
                <w:color w:val="1E293B"/>
                <w:sz w:val="19"/>
              </w:rPr>
              <w:t>registerWithStagingIntercept(), insertPatientStaging(), resolveStagingPatient().</w:t>
            </w:r>
          </w:p>
        </w:tc>
      </w:tr>
      <w:tr>
        <w:tc>
          <w:tcPr>
            <w:tcW w:type="dxa" w:w="3312"/>
            <w:tcMar>
              <w:top w:w="80" w:type="dxa"/>
              <w:bottom w:w="80" w:type="dxa"/>
              <w:left w:w="120" w:type="dxa"/>
              <w:right w:w="120" w:type="dxa"/>
            </w:tcMar>
            <w:shd w:fill="FFFFFF"/>
          </w:tcPr>
          <w:p>
            <w:pPr>
              <w:spacing w:after="40" w:before="40"/>
              <w:jc w:val="left"/>
            </w:pPr>
            <w:r>
              <w:rPr>
                <w:rFonts w:ascii="Calibri" w:hAnsi="Calibri"/>
                <w:b/>
                <w:i w:val="0"/>
                <w:color w:val="1E293B"/>
                <w:sz w:val="19"/>
              </w:rPr>
              <w:t>Audit Logging Service</w:t>
            </w:r>
          </w:p>
        </w:tc>
        <w:tc>
          <w:tcPr>
            <w:tcW w:type="dxa" w:w="3312"/>
            <w:tcMar>
              <w:top w:w="80" w:type="dxa"/>
              <w:bottom w:w="80" w:type="dxa"/>
              <w:left w:w="120" w:type="dxa"/>
              <w:right w:w="120" w:type="dxa"/>
            </w:tcMar>
            <w:shd w:fill="FFFFFF"/>
          </w:tcPr>
          <w:p>
            <w:pPr>
              <w:spacing w:after="40" w:before="40"/>
              <w:jc w:val="left"/>
            </w:pPr>
            <w:r>
              <w:rPr>
                <w:rFonts w:ascii="Calibri" w:hAnsi="Calibri"/>
                <w:b w:val="0"/>
                <w:i w:val="0"/>
                <w:color w:val="1E293B"/>
                <w:sz w:val="19"/>
              </w:rPr>
              <w:t>backend/services/patientMatchAuditService.js</w:t>
            </w:r>
          </w:p>
        </w:tc>
        <w:tc>
          <w:tcPr>
            <w:tcW w:type="dxa" w:w="3312"/>
            <w:tcMar>
              <w:top w:w="80" w:type="dxa"/>
              <w:bottom w:w="80" w:type="dxa"/>
              <w:left w:w="120" w:type="dxa"/>
              <w:right w:w="120" w:type="dxa"/>
            </w:tcMar>
            <w:shd w:fill="FFFFFF"/>
          </w:tcPr>
          <w:p>
            <w:pPr>
              <w:spacing w:after="40" w:before="40"/>
              <w:jc w:val="left"/>
            </w:pPr>
            <w:r>
              <w:rPr>
                <w:rFonts w:ascii="Calibri" w:hAnsi="Calibri"/>
                <w:b w:val="0"/>
                <w:i w:val="0"/>
                <w:color w:val="1E293B"/>
                <w:sz w:val="19"/>
              </w:rPr>
              <w:t>logMatchAudit(), dual foreign-key binding (reg_patient_id + candidate_patient_id).</w:t>
            </w:r>
          </w:p>
        </w:tc>
      </w:tr>
    </w:tbl>
    <w:p>
      <w:pPr>
        <w:spacing w:after="3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