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Sales Forecasting &amp; Demand Intelligence System</w:t>
        <w:br/>
        <w:t>Executive Business Report</w:t>
      </w:r>
    </w:p>
    <w:p>
      <w:r>
        <w:t>Prepared for: Head of Supply Chain &amp; CFO</w:t>
        <w:br/>
        <w:t>Prepared by: Varshitha Devi</w:t>
        <w:br/>
        <w:t>Data Period: January 2015 – December 2018 (Superstore Sales)</w:t>
      </w:r>
    </w:p>
    <w:p>
      <w:pPr>
        <w:pStyle w:val="Heading2"/>
      </w:pPr>
      <w:r>
        <w:t>Executive Summary</w:t>
      </w:r>
    </w:p>
    <w:p>
      <w:r>
        <w:t>Four years of Superstore sales data were analyzed to identify sales trends, forecast future demand, detect unusual sales patterns, and segment products by demand behavior. The analysis supports inventory planning through data-driven insights. XGBoost was the best-performing forecasting model, while seasonal analysis showed consistently higher demand during September, November, and December.</w:t>
      </w:r>
    </w:p>
    <w:p>
      <w:pPr>
        <w:pStyle w:val="Heading2"/>
      </w:pPr>
      <w:r>
        <w:t>Key Findings from EDA</w:t>
      </w:r>
    </w:p>
    <w:p>
      <w:r>
        <w:t>Technology generated the highest revenue ($827,455.87; 34.4%), followed by Furniture ($728,658.58; 30.3%) and Office Supplies ($705,422.33; 29.3%). The East region recorded the most consistent sales growth. Average shipping time was 3.96 days with little regional variation. The ADF test confirmed the series was stationary, so no differencing was required.</w:t>
      </w:r>
    </w:p>
    <w:p>
      <w:pPr>
        <w:pStyle w:val="Heading2"/>
      </w:pPr>
      <w:r>
        <w:t>Forecasting Results</w:t>
      </w:r>
    </w:p>
    <w:p>
      <w:r>
        <w:t>SARIMA, Prophet, and XGBoost were evaluated. XGBoost achieved the best performance (MAE: 18,708.11, RMSE: 20,829.83, MAPE: 19.16%). Forecast sales: Month 1 – 69,588.82; Month 2 – 87,676.97; Month 3 – 65,026.57. Actual sales are expected to remain approximately within ±19% of forecast values under normal conditions.</w:t>
      </w:r>
    </w:p>
    <w:p>
      <w:pPr>
        <w:pStyle w:val="Heading2"/>
      </w:pPr>
      <w:r>
        <w:t>Top 3 Anomalies</w:t>
      </w:r>
    </w:p>
    <w:p>
      <w:r>
        <w:t>22-Mar-2015 (37,703.67): Promotional or bulk purchase activity.</w:t>
        <w:br/>
        <w:t>04-Nov-2018 (29,017.47): Festive season sales.</w:t>
        <w:br/>
        <w:t>02-Dec-2018 (35,998.90): Year-end holiday demand.</w:t>
        <w:br/>
        <w:t>Isolation Forest and Rolling Z-Score both identified these significant abnormal sales periods.</w:t>
      </w:r>
    </w:p>
    <w:p>
      <w:pPr>
        <w:pStyle w:val="Heading2"/>
      </w:pPr>
      <w:r>
        <w:t>Product Demand Segmentation</w:t>
      </w:r>
    </w:p>
    <w:p>
      <w:r>
        <w:t>High Volume &amp; Stable: Accessories, Binders, Chairs, Phones, Storage, Tables.</w:t>
        <w:br/>
        <w:t>Growing: Copiers.</w:t>
        <w:br/>
        <w:t>Low Volume &amp; High Volatility: Appliances, Art, Bookcases, Envelopes, Fasteners, Furnishings, Labels, Paper, Supplies.</w:t>
        <w:br/>
        <w:t>Declining: Machines.</w:t>
        <w:br/>
        <w:t>Recommended strategies include maintaining safety stock for stable products, increasing inventory for growing products, frequent replenishment for volatile products, and reducing stock for declining products.</w:t>
      </w:r>
    </w:p>
    <w:p>
      <w:pPr>
        <w:pStyle w:val="Heading2"/>
      </w:pPr>
      <w:r>
        <w:t>Business Recommendations</w:t>
      </w:r>
    </w:p>
    <w:p>
      <w:r>
        <w:t>1. Increase inventory before September–December due to seasonal demand.</w:t>
        <w:br/>
        <w:t>2. Prioritize expansion in the East region because of its continuous growth.</w:t>
        <w:br/>
        <w:t>3. Deploy XGBoost for production forecasting to improve inventory planning accuracy.</w:t>
      </w:r>
    </w:p>
    <w:p>
      <w:pPr>
        <w:pStyle w:val="Heading2"/>
      </w:pPr>
      <w:r>
        <w:t>Risk &amp; Limitation</w:t>
      </w:r>
    </w:p>
    <w:p>
      <w:r>
        <w:t>The model relies on historical sales (2015–2018) and cannot predict unprecedented events such as supply-chain disruptions or economic shocks. Forecasts should be updated regularly with new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