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B4D"/>
          <w:sz w:val="40"/>
          <w:szCs w:val="40"/>
        </w:rPr>
        <w:t xml:space="preserve">PREDICTING RISK OF SUBJECTIVE COGNITIVE DECLINE</w:t>
      </w:r>
    </w:p>
    <w:p>
      <w:pPr>
        <w:spacing w:after="200" w:before="200"/>
        <w:jc w:val="center"/>
      </w:pPr>
      <w:r>
        <w:rPr>
          <w:color w:val="595959"/>
          <w:sz w:val="26"/>
          <w:szCs w:val="26"/>
        </w:rPr>
        <w:t xml:space="preserve">A Multivariable Logistic Regression Analysis of Six Years of CDC BRFSS Cognitive Decline Module Data (2015-2020)</w:t>
      </w:r>
    </w:p>
    <w:p>
      <w:pPr>
        <w:spacing w:before="600"/>
        <w:jc w:val="center"/>
      </w:pPr>
      <w:r>
        <w:rPr>
          <w:i/>
          <w:iCs/>
          <w:sz w:val="24"/>
          <w:szCs w:val="24"/>
        </w:rPr>
        <w:t xml:space="preserve">An Applied Healthcare Data Analytics Portfolio Project</w:t>
      </w:r>
    </w:p>
    <w:p>
      <w:pPr>
        <w:spacing w:before="1800"/>
        <w:jc w:val="center"/>
      </w:pPr>
      <w:r>
        <w:rPr>
          <w:color w:val="595959"/>
          <w:sz w:val="20"/>
          <w:szCs w:val="20"/>
        </w:rPr>
        <w:t xml:space="preserve">Methodology: R (base statistical computing environment) | Logistic Regression | Population Health Risk Stratification</w:t>
      </w:r>
    </w:p>
    <w:p>
      <w:pPr>
        <w:spacing w:before="200"/>
        <w:jc w:val="center"/>
      </w:pPr>
      <w:r>
        <w:rPr>
          <w:color w:val="595959"/>
          <w:sz w:val="20"/>
          <w:szCs w:val="20"/>
        </w:rPr>
        <w:t xml:space="preserve">Prepared in the style of a CDC Healthy Aging Program / applied epidemiology technical report</w:t>
      </w:r>
    </w:p>
    <w:p>
      <w:pPr>
        <w:spacing w:before="3600"/>
        <w:jc w:val="center"/>
      </w:pPr>
      <w:r>
        <w:rPr>
          <w:sz w:val="22"/>
          <w:szCs w:val="22"/>
        </w:rPr>
        <w:t xml:space="preserve">August 2026</w:t>
      </w:r>
    </w:p>
    <w:p>
      <w:pPr>
        <w:pBdr>
          <w:top w:val="single" w:color="1F3B4D" w:sz="6" w:space="8"/>
        </w:pBdr>
        <w:spacing w:before="800"/>
        <w:jc w:val="center"/>
      </w:pPr>
      <w:r>
        <w:rPr>
          <w:sz w:val="4"/>
          <w:szCs w:val="4"/>
        </w:rPr>
        <w:t xml:space="preserve">  </w:t>
      </w:r>
    </w:p>
    <w:p>
      <w:pPr>
        <w:sectPr>
          <w:pgSz w:w="12240" w:h="15840" w:orient="portrait"/>
          <w:pgMar w:top="1440" w:right="1440" w:bottom="1440" w:left="1440" w:header="708" w:footer="708" w:gutter="0"/>
          <w:pgNumType/>
          <w:docGrid w:linePitch="360"/>
        </w:sectPr>
      </w:pPr>
    </w:p>
    <w:p>
      <w:pPr>
        <w:pStyle w:val="Heading1"/>
        <w:spacing w:after="200" w:before="400"/>
      </w:pPr>
      <w:r>
        <w:t xml:space="preserve">Executive Summary</w:t>
      </w:r>
    </w:p>
    <w:p>
      <w:pPr>
        <w:spacing w:after="160" w:line="276"/>
      </w:pPr>
      <w:r>
        <w:rPr>
          <w:sz w:val="22"/>
          <w:szCs w:val="22"/>
        </w:rPr>
        <w:t xml:space="preserve">This project applies multivariable logistic regression to six years (2015-2020) of respondent-level data structured on the Centers for Disease Control and Prevention's Behavioral Risk Factor Surveillance System (BRFSS) Cognitive Decline optional module to identify demographic, clinical, and behavioral predictors of subjective cognitive decline (SCD) — a self-reported early warning indicator for future dementia and Alzheimer's disease risk — and to translate model output into an actionable, tiered population-risk-stratification framework for public health resource allocation.</w:t>
      </w:r>
    </w:p>
    <w:p>
      <w:pPr>
        <w:spacing w:after="160" w:line="276"/>
      </w:pPr>
      <w:r>
        <w:rPr>
          <w:sz w:val="22"/>
          <w:szCs w:val="22"/>
        </w:rPr>
        <w:t xml:space="preserve">Analyzing 43,436 adults aged 45 and older, the final adjusted model identified advanced age, depression, prior stroke, diabetes, hypertension, heart disease, hearing loss, living alone, social isolation, physical inactivity, current smoking, insufficient sleep, and lower educational attainment as independent, statistically significant predictors of SCD (all p &lt; 0.01). The model achieved acceptable-to-good discrimination on a held-out 25% test set (AUC = 0.7107, 10-fold cross-validated AUC = 0.6868 ± 0.01) with strong calibration across risk deciles and high negative predictive value (93.0%), supporting its use as a population-level screening and prioritization tool rather than an individual diagnostic instrument.</w:t>
      </w:r>
    </w:p>
    <w:p>
      <w:pPr>
        <w:spacing w:after="160" w:line="276"/>
      </w:pPr>
      <w:r>
        <w:rPr>
          <w:sz w:val="22"/>
          <w:szCs w:val="22"/>
        </w:rPr>
        <w:t xml:space="preserve">Population Attributable Risk (PAR) analysis indicates that depression alone accounts for an estimated 11.8% of SCD cases in this population — the single largest modifiable contributor identified — followed by physical inactivity (6.6%), social isolation (5.3%), and untreated hearing loss (4.6%). Applying the validated model across the full sample, 19.3% of respondents fell into the "High" risk tier and 11.9% into "Very High" (observed SCD rates of 17.1% and 30.8% respectively, versus 5.2% in the "Low" tier) — a roughly six-fold gradient in observed risk that public health programs can use to prioritize screening, referral, and modifiable-risk-factor interventions.</w:t>
      </w:r>
    </w:p>
    <w:p>
      <w:pPr>
        <w:spacing w:after="160" w:line="276"/>
      </w:pPr>
      <w:r>
        <w:rPr>
          <w:sz w:val="22"/>
          <w:szCs w:val="22"/>
        </w:rPr>
        <w:t xml:space="preserve">Five public health recommendations, prioritized by estimated population impact and feasibility, are presented in Section 6.</w:t>
      </w:r>
    </w:p>
    <w:p>
      <w:pPr>
        <w:pStyle w:val="Heading1"/>
        <w:spacing w:after="200" w:before="400"/>
      </w:pPr>
      <w:r>
        <w:t xml:space="preserve">1. Background and Public Health Significance</w:t>
      </w:r>
    </w:p>
    <w:p>
      <w:pPr>
        <w:spacing w:after="160" w:line="276"/>
      </w:pPr>
      <w:r>
        <w:rPr>
          <w:sz w:val="22"/>
          <w:szCs w:val="22"/>
        </w:rPr>
        <w:t xml:space="preserve">Subjective cognitive decline (SCD) — the self-reported experience of worsening or more frequent confusion or memory loss — is recognized by CDC's Healthy Aging Program as one of the earliest identifiable warning signs of potential future dementia, including Alzheimer's disease and related dementias (ADRD). Because SCD precedes clinical diagnosis and is not observable on standard cognitive assessment tests, population surveillance of self-reported symptoms provides a uniquely early window for public health intervention, years before a clinical dementia diagnosis would otherwise occur.</w:t>
      </w:r>
    </w:p>
    <w:p>
      <w:pPr>
        <w:spacing w:after="160" w:line="276"/>
      </w:pPr>
      <w:r>
        <w:rPr>
          <w:sz w:val="22"/>
          <w:szCs w:val="22"/>
        </w:rPr>
        <w:t xml:space="preserve">CDC's BRFSS Cognitive Decline module — a six-question optional module administered by states since 2015 — is the nation's primary source of population-representative SCD surveillance data. Published CDC analyses report that approximately 1 in 9 to 1 in 10 adults aged 45 and older experience SCD nationally, that fewer than half discuss these symptoms with a health care provider, and that SCD prevalence is markedly elevated among adults living alone and those with chronic disease. These patterns motivate the current analysis: if modifiable risk factors and high-risk subgroups can be identified with reasonable precision from routinely collected surveillance data, health departments and health systems can target limited screening, caregiver-support, and risk-reduction resources more efficiently.</w:t>
      </w:r>
    </w:p>
    <w:p>
      <w:pPr>
        <w:spacing w:after="160" w:line="276"/>
      </w:pPr>
      <w:r>
        <w:rPr>
          <w:sz w:val="22"/>
          <w:szCs w:val="22"/>
        </w:rPr>
        <w:t xml:space="preserve">This project's objectives are threefold: (1) quantify independent, adjusted associations between demographic/clinical/behavioral factors and SCD; (2) build and validate a logistic regression risk model suitable for population-level stratification; and (3) translate model output into concrete, prioritized public health recommendations.</w:t>
      </w:r>
    </w:p>
    <w:p>
      <w:pPr>
        <w:pStyle w:val="Heading1"/>
        <w:spacing w:after="200" w:before="400"/>
      </w:pPr>
      <w:r>
        <w:t xml:space="preserve">2. Data Source and Methodology</w:t>
      </w:r>
    </w:p>
    <w:p>
      <w:pPr>
        <w:pStyle w:val="Heading2"/>
        <w:spacing w:after="150" w:before="300"/>
      </w:pPr>
      <w:r>
        <w:t xml:space="preserve">2.1 Data Source and Study Population</w:t>
      </w:r>
    </w:p>
    <w:p>
      <w:pPr>
        <w:spacing w:after="160" w:line="276"/>
      </w:pPr>
      <w:r>
        <w:rPr>
          <w:sz w:val="22"/>
          <w:szCs w:val="22"/>
        </w:rPr>
        <w:t xml:space="preserve">The analysis uses respondent-level data structured to replicate the CDC BRFSS Cognitive Decline module's design, variable set, and — critically — its published marginal prevalence statistics for the 2015-2020 pooled survey period.</w:t>
      </w:r>
    </w:p>
    <w:p>
      <w:pPr>
        <w:pBdr>
          <w:left w:val="single" w:color="C1502E" w:sz="18" w:space="8"/>
        </w:pBdr>
        <w:shd w:fill="FBEFE9" w:val="clear"/>
        <w:spacing w:after="200" w:before="100"/>
      </w:pPr>
      <w:r>
        <w:rPr>
          <w:i/>
          <w:iCs/>
          <w:color w:val="5C2E1A"/>
          <w:sz w:val="19"/>
          <w:szCs w:val="19"/>
        </w:rPr>
        <w:t xml:space="preserve">Data disclosure: CDC does not distribute identifiable BRFSS microdata through open, unauthenticated channels. Rather than present an unlabeled dataset, this project uses a calibrated simulation: a defined logistic data-generating process produces respondent records whose marginal prevalence rates are anchored to figures published in the peer-reviewed and CDC MMWR literature for the real Cognitive Decline module — including overall SCD prevalence of 11.2% (2015-2016 pooled, adults 45+; Taylor et al., MMWR 2018), 13.8% among adults living alone, 15.2% among adults with chronic disease, and a downward drift toward roughly 1-in-10 by 2019-2020. Covariate effect directions and relative magnitudes are drawn from the published epidemiological literature on modifiable ADRD risk factors (Livingston et al., Lancet Commission 2020; Omura et al. 2022; Town et al. 2024). This calibration is disclosed transparently here and revisited in Section 7 (Limitations); all statistical methods, code, and diagnostics applied downstream are identical to what would be applied to restricted-use CDC microdata obtained under a formal data use agreement.</w:t>
      </w:r>
    </w:p>
    <w:p>
      <w:pPr>
        <w:spacing w:after="160" w:line="276"/>
      </w:pPr>
      <w:r>
        <w:rPr>
          <w:sz w:val="22"/>
          <w:szCs w:val="22"/>
        </w:rPr>
        <w:t xml:space="preserve">After restricting to complete cases on core binary survey items (98.9% retention), the analytic sample comprised N = 43,436 respondents aged 45+ pooled across survey years 2015-2020, spanning all 50 states and the District of Columbia. Overall SCD prevalence in the analytic sample was 12.5%, consistent with the calibration target range.</w:t>
      </w:r>
    </w:p>
    <w:p>
      <w:pPr>
        <w:pStyle w:val="Heading2"/>
        <w:spacing w:after="150" w:before="300"/>
      </w:pPr>
      <w:r>
        <w:t xml:space="preserve">2.2 Measures</w:t>
      </w:r>
    </w:p>
    <w:p>
      <w:pPr>
        <w:spacing w:after="100"/>
      </w:pPr>
      <w:r>
        <w:rPr>
          <w:b/>
          <w:bCs/>
          <w:sz w:val="22"/>
          <w:szCs w:val="22"/>
        </w:rPr>
        <w:t xml:space="preserve">Outcome: </w:t>
      </w:r>
      <w:r>
        <w:rPr>
          <w:sz w:val="22"/>
          <w:szCs w:val="22"/>
        </w:rPr>
        <w:t xml:space="preserve">Subjective cognitive decline (binary), operationalized per the BRFSS module as an affirmative response to experiencing confusion or memory loss that is happening more often or getting worse, within the past 12 months.</w:t>
      </w:r>
    </w:p>
    <w:p>
      <w:pPr>
        <w:spacing w:after="100"/>
      </w:pPr>
      <w:r>
        <w:rPr>
          <w:b/>
          <w:bCs/>
          <w:sz w:val="22"/>
          <w:szCs w:val="22"/>
        </w:rPr>
        <w:t xml:space="preserve">Demographic covariates: </w:t>
      </w:r>
      <w:r>
        <w:rPr>
          <w:sz w:val="22"/>
          <w:szCs w:val="22"/>
        </w:rPr>
        <w:t xml:space="preserve">age group, sex, race/ethnicity, educational attainment, household income, living arrangement (alone vs. with others), and health insurance coverage.</w:t>
      </w:r>
    </w:p>
    <w:p>
      <w:pPr>
        <w:spacing w:after="100"/>
      </w:pPr>
      <w:r>
        <w:rPr>
          <w:b/>
          <w:bCs/>
          <w:sz w:val="22"/>
          <w:szCs w:val="22"/>
        </w:rPr>
        <w:t xml:space="preserve">Clinical/chronic disease covariates: </w:t>
      </w:r>
      <w:r>
        <w:rPr>
          <w:sz w:val="22"/>
          <w:szCs w:val="22"/>
        </w:rPr>
        <w:t xml:space="preserve">diabetes, hypertension, obesity, heart disease, stroke history, depression, and hearing loss, plus a derived chronic-condition count (comorbidity burden).</w:t>
      </w:r>
    </w:p>
    <w:p>
      <w:pPr>
        <w:spacing w:after="200"/>
      </w:pPr>
      <w:r>
        <w:rPr>
          <w:b/>
          <w:bCs/>
          <w:sz w:val="22"/>
          <w:szCs w:val="22"/>
        </w:rPr>
        <w:t xml:space="preserve">Behavioral/social covariates: </w:t>
      </w:r>
      <w:r>
        <w:rPr>
          <w:sz w:val="22"/>
          <w:szCs w:val="22"/>
        </w:rPr>
        <w:t xml:space="preserve">current smoking, binge drinking, physical inactivity, insufficient sleep (&lt;7 hours/night), and social isolation/loneliness.</w:t>
      </w:r>
    </w:p>
    <w:p>
      <w:pPr>
        <w:pStyle w:val="Heading2"/>
        <w:spacing w:after="150" w:before="300"/>
      </w:pPr>
      <w:r>
        <w:t xml:space="preserve">2.3 Statistical Analysis Plan</w:t>
      </w:r>
    </w:p>
    <w:p>
      <w:pPr>
        <w:pStyle w:val="ListParagraph"/>
        <w:numPr>
          <w:ilvl w:val="0"/>
          <w:numId w:val="1"/>
        </w:numPr>
        <w:spacing w:after="90"/>
      </w:pPr>
      <w:r>
        <w:rPr>
          <w:sz w:val="22"/>
          <w:szCs w:val="22"/>
        </w:rPr>
        <w:t xml:space="preserve">Descriptive epidemiology: prevalence estimation overall, by survey year, and across demographic/clinical subgroups, with chi-square tests of bivariate association (Section 3.1-3.2).</w:t>
      </w:r>
    </w:p>
    <w:p>
      <w:pPr>
        <w:pStyle w:val="ListParagraph"/>
        <w:numPr>
          <w:ilvl w:val="0"/>
          <w:numId w:val="1"/>
        </w:numPr>
        <w:spacing w:after="90"/>
      </w:pPr>
      <w:r>
        <w:rPr>
          <w:sz w:val="22"/>
          <w:szCs w:val="22"/>
        </w:rPr>
        <w:t xml:space="preserve">Multivariable logistic regression: full candidate model fit on a 75% training split, followed by backward stepwise selection using the Akaike Information Criterion (AIC) (Section 3.3).</w:t>
      </w:r>
    </w:p>
    <w:p>
      <w:pPr>
        <w:pStyle w:val="ListParagraph"/>
        <w:numPr>
          <w:ilvl w:val="0"/>
          <w:numId w:val="1"/>
        </w:numPr>
        <w:spacing w:after="90"/>
      </w:pPr>
      <w:r>
        <w:rPr>
          <w:sz w:val="22"/>
          <w:szCs w:val="22"/>
        </w:rPr>
        <w:t xml:space="preserve">Multicollinearity screening via variance inflation factors (VIF), computed directly from auxiliary regressions on the design matrix.</w:t>
      </w:r>
    </w:p>
    <w:p>
      <w:pPr>
        <w:pStyle w:val="ListParagraph"/>
        <w:numPr>
          <w:ilvl w:val="0"/>
          <w:numId w:val="1"/>
        </w:numPr>
        <w:spacing w:after="90"/>
      </w:pPr>
      <w:r>
        <w:rPr>
          <w:sz w:val="22"/>
          <w:szCs w:val="22"/>
        </w:rPr>
        <w:t xml:space="preserve">Out-of-sample validation on the held-out 25% test set: ROC curve and area under the curve (AUC), computed via a hand-implemented trapezoidal-rule ROC (no external packages), Brier score, and 10-fold cross-validation for stability (Section 3.4).</w:t>
      </w:r>
    </w:p>
    <w:p>
      <w:pPr>
        <w:pStyle w:val="ListParagraph"/>
        <w:numPr>
          <w:ilvl w:val="0"/>
          <w:numId w:val="1"/>
        </w:numPr>
        <w:spacing w:after="90"/>
      </w:pPr>
      <w:r>
        <w:rPr>
          <w:sz w:val="22"/>
          <w:szCs w:val="22"/>
        </w:rPr>
        <w:t xml:space="preserve">Calibration assessment by risk decile, comparing mean predicted probability to observed prevalence within each decile.</w:t>
      </w:r>
    </w:p>
    <w:p>
      <w:pPr>
        <w:pStyle w:val="ListParagraph"/>
        <w:numPr>
          <w:ilvl w:val="0"/>
          <w:numId w:val="1"/>
        </w:numPr>
        <w:spacing w:after="90"/>
      </w:pPr>
      <w:r>
        <w:rPr>
          <w:sz w:val="22"/>
          <w:szCs w:val="22"/>
        </w:rPr>
        <w:t xml:space="preserve">Population Attributable Risk (PAR%) estimation for modifiable behavioral/social risk factors, using the standard formula PAR% = pₑ(OR−1) / [pₑ(OR−1)+1], where pₑ is exposure prevalence.</w:t>
      </w:r>
    </w:p>
    <w:p>
      <w:pPr>
        <w:pStyle w:val="ListParagraph"/>
        <w:numPr>
          <w:ilvl w:val="0"/>
          <w:numId w:val="1"/>
        </w:numPr>
        <w:spacing w:after="90"/>
      </w:pPr>
      <w:r>
        <w:rPr>
          <w:sz w:val="22"/>
          <w:szCs w:val="22"/>
        </w:rPr>
        <w:t xml:space="preserve">Risk stratification: application of the validated model to the full sample to assign four-tier risk categories (Low/Moderate/High/Very High), informed by the empirical decile calibration curve.</w:t>
      </w:r>
    </w:p>
    <w:p>
      <w:pPr>
        <w:spacing w:after="160" w:line="276"/>
      </w:pPr>
      <w:r>
        <w:rPr>
          <w:sz w:val="22"/>
          <w:szCs w:val="22"/>
        </w:rPr>
        <w:t xml:space="preserve">All analysis was conducted in base R 4.3.3 without third-party statistical packages (no dplyr, ggplot2, or pROC), to ensure the pipeline is fully reproducible in any standard R installation; ROC/AUC and VIF diagnostics were implemented from first principles. Full source code is included in Appendix B and the accompanying project files.</w:t>
      </w:r>
    </w:p>
    <w:p>
      <w:pPr>
        <w:pStyle w:val="Heading2"/>
        <w:spacing w:after="150" w:before="300"/>
      </w:pPr>
      <w:r>
        <w:t xml:space="preserve">2.4 Missing Data Handling</w:t>
      </w:r>
    </w:p>
    <w:p>
      <w:pPr>
        <w:spacing w:after="160" w:line="276"/>
      </w:pPr>
      <w:r>
        <w:rPr>
          <w:sz w:val="22"/>
          <w:szCs w:val="22"/>
        </w:rPr>
        <w:t xml:space="preserve">Item non-response was low across all fields (income bracket 4.0%, hearing loss 2.0%, sleep duration 1.5%), consistent with typical BRFSS item completion rates, and unrelated to the outcome by design. Income — a modeled ordinal covariate — retained a "Missing" indicator category rather than listwise deletion, to avoid discarding otherwise-complete records; the remaining binary items with missingness were handled via complete-case analysis, a standard and defensible approach for BRFSS-scale survey data with missingness under 5%.</w:t>
      </w:r>
    </w:p>
    <w:p>
      <w:pPr>
        <w:pStyle w:val="Heading1"/>
        <w:spacing w:after="200" w:before="400"/>
      </w:pPr>
      <w:r>
        <w:t xml:space="preserve">3. Results</w:t>
      </w:r>
    </w:p>
    <w:p>
      <w:pPr>
        <w:pStyle w:val="Heading2"/>
        <w:spacing w:after="150" w:before="300"/>
      </w:pPr>
      <w:r>
        <w:t xml:space="preserve">3.1 Descriptive Characteristics and Prevalence</w:t>
      </w:r>
    </w:p>
    <w:p>
      <w:pPr>
        <w:spacing w:after="160" w:line="276"/>
      </w:pPr>
      <w:r>
        <w:rPr>
          <w:sz w:val="22"/>
          <w:szCs w:val="22"/>
        </w:rPr>
        <w:t xml:space="preserve">Table 1 summarizes the analytic sample and unadjusted (crude) SCD prevalence within each demographic and clinical subgroup. SCD prevalence rose sharply with age — from 7.3% among 45-54 year-olds to 23.6% among adults 75 and older — and with chronic condition count, ranging from 7.8% among adults with no chronic conditions to 24.1% among those with three or more.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880"/>
        <w:gridCol w:w="1800"/>
        <w:gridCol w:w="1980"/>
      </w:tblGrid>
      <w:tr>
        <w:tc>
          <w:tcPr>
            <w:tcW w:type="pct" w:w="26%"/>
            <w:shd w:fill="1F3B4D" w:val="clear"/>
            <w:tcMar>
              <w:top w:type="dxa" w:w="80"/>
              <w:left w:type="dxa" w:w="100"/>
              <w:bottom w:type="dxa" w:w="80"/>
              <w:right w:type="dxa" w:w="100"/>
            </w:tcMar>
            <w:vAlign w:val="center"/>
          </w:tcPr>
          <w:p>
            <w:pPr>
              <w:jc w:val="center"/>
            </w:pPr>
            <w:r>
              <w:rPr>
                <w:b/>
                <w:bCs/>
                <w:color w:val="FFFFFF"/>
                <w:sz w:val="19"/>
                <w:szCs w:val="19"/>
              </w:rPr>
              <w:t xml:space="preserve">Characteristic</w:t>
            </w:r>
          </w:p>
        </w:tc>
        <w:tc>
          <w:tcPr>
            <w:tcW w:type="pct" w:w="32%"/>
            <w:shd w:fill="1F3B4D" w:val="clear"/>
            <w:tcMar>
              <w:top w:type="dxa" w:w="80"/>
              <w:left w:type="dxa" w:w="100"/>
              <w:bottom w:type="dxa" w:w="80"/>
              <w:right w:type="dxa" w:w="100"/>
            </w:tcMar>
            <w:vAlign w:val="center"/>
          </w:tcPr>
          <w:p>
            <w:pPr>
              <w:jc w:val="center"/>
            </w:pPr>
            <w:r>
              <w:rPr>
                <w:b/>
                <w:bCs/>
                <w:color w:val="FFFFFF"/>
                <w:sz w:val="19"/>
                <w:szCs w:val="19"/>
              </w:rPr>
              <w:t xml:space="preserve">Category</w:t>
            </w:r>
          </w:p>
        </w:tc>
        <w:tc>
          <w:tcPr>
            <w:tcW w:type="pct" w:w="20%"/>
            <w:shd w:fill="1F3B4D" w:val="clear"/>
            <w:tcMar>
              <w:top w:type="dxa" w:w="80"/>
              <w:left w:type="dxa" w:w="100"/>
              <w:bottom w:type="dxa" w:w="80"/>
              <w:right w:type="dxa" w:w="100"/>
            </w:tcMar>
            <w:vAlign w:val="center"/>
          </w:tcPr>
          <w:p>
            <w:pPr>
              <w:jc w:val="center"/>
            </w:pPr>
            <w:r>
              <w:rPr>
                <w:b/>
                <w:bCs/>
                <w:color w:val="FFFFFF"/>
                <w:sz w:val="19"/>
                <w:szCs w:val="19"/>
              </w:rPr>
              <w:t xml:space="preserve">N</w:t>
            </w:r>
          </w:p>
        </w:tc>
        <w:tc>
          <w:tcPr>
            <w:tcW w:type="pct" w:w="22%"/>
            <w:shd w:fill="1F3B4D" w:val="clear"/>
            <w:tcMar>
              <w:top w:type="dxa" w:w="80"/>
              <w:left w:type="dxa" w:w="100"/>
              <w:bottom w:type="dxa" w:w="80"/>
              <w:right w:type="dxa" w:w="100"/>
            </w:tcMar>
            <w:vAlign w:val="center"/>
          </w:tcPr>
          <w:p>
            <w:pPr>
              <w:jc w:val="center"/>
            </w:pPr>
            <w:r>
              <w:rPr>
                <w:b/>
                <w:bCs/>
                <w:color w:val="FFFFFF"/>
                <w:sz w:val="19"/>
                <w:szCs w:val="19"/>
              </w:rPr>
              <w:t xml:space="preserve">SCD Prevalence</w:t>
            </w:r>
          </w:p>
        </w:tc>
      </w:tr>
      <w:tr>
        <w:tc>
          <w:tcPr>
            <w:tcW w:type="pct" w:w="26%"/>
            <w:tcMar>
              <w:top w:type="dxa" w:w="80"/>
              <w:left w:type="dxa" w:w="100"/>
              <w:bottom w:type="dxa" w:w="80"/>
              <w:right w:type="dxa" w:w="100"/>
            </w:tcMar>
            <w:vAlign w:val="center"/>
          </w:tcPr>
          <w:p>
            <w:pPr>
              <w:jc w:val="left"/>
            </w:pPr>
            <w:r>
              <w:rPr>
                <w:b w:val="false"/>
                <w:bCs w:val="false"/>
                <w:color w:val="000000"/>
                <w:sz w:val="19"/>
                <w:szCs w:val="19"/>
              </w:rPr>
              <w:t xml:space="preserve">Age group</w:t>
            </w:r>
          </w:p>
        </w:tc>
        <w:tc>
          <w:tcPr>
            <w:tcW w:type="pct" w:w="32%"/>
            <w:tcMar>
              <w:top w:type="dxa" w:w="80"/>
              <w:left w:type="dxa" w:w="100"/>
              <w:bottom w:type="dxa" w:w="80"/>
              <w:right w:type="dxa" w:w="100"/>
            </w:tcMar>
            <w:vAlign w:val="center"/>
          </w:tcPr>
          <w:p>
            <w:pPr>
              <w:jc w:val="center"/>
            </w:pPr>
            <w:r>
              <w:rPr>
                <w:b w:val="false"/>
                <w:bCs w:val="false"/>
                <w:color w:val="000000"/>
                <w:sz w:val="19"/>
                <w:szCs w:val="19"/>
              </w:rPr>
              <w:t xml:space="preserve">45-54</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12,993</w:t>
            </w:r>
          </w:p>
        </w:tc>
        <w:tc>
          <w:tcPr>
            <w:tcW w:type="pct" w:w="22%"/>
            <w:tcMar>
              <w:top w:type="dxa" w:w="80"/>
              <w:left w:type="dxa" w:w="100"/>
              <w:bottom w:type="dxa" w:w="80"/>
              <w:right w:type="dxa" w:w="100"/>
            </w:tcMar>
            <w:vAlign w:val="center"/>
          </w:tcPr>
          <w:p>
            <w:pPr>
              <w:jc w:val="center"/>
            </w:pPr>
            <w:r>
              <w:rPr>
                <w:b w:val="false"/>
                <w:bCs w:val="false"/>
                <w:color w:val="000000"/>
                <w:sz w:val="19"/>
                <w:szCs w:val="19"/>
              </w:rPr>
              <w:t xml:space="preserve">7.3%</w:t>
            </w:r>
          </w:p>
        </w:tc>
      </w:tr>
      <w:tr>
        <w:tc>
          <w:tcPr>
            <w:tcW w:type="pct" w:w="26%"/>
            <w:shd w:fill="F2F2F2" w:val="clear"/>
            <w:tcMar>
              <w:top w:type="dxa" w:w="80"/>
              <w:left w:type="dxa" w:w="100"/>
              <w:bottom w:type="dxa" w:w="80"/>
              <w:right w:type="dxa" w:w="100"/>
            </w:tcMar>
            <w:vAlign w:val="center"/>
          </w:tcPr>
          <w:p>
            <w:pPr>
              <w:jc w:val="left"/>
            </w:pPr>
            <w:r>
              <w:rPr>
                <w:b w:val="false"/>
                <w:bCs w:val="false"/>
                <w:color w:val="000000"/>
                <w:sz w:val="19"/>
                <w:szCs w:val="19"/>
              </w:rPr>
              <w:t xml:space="preserve"/>
            </w:r>
          </w:p>
        </w:tc>
        <w:tc>
          <w:tcPr>
            <w:tcW w:type="pct" w:w="3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55-64</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13,862</w:t>
            </w:r>
          </w:p>
        </w:tc>
        <w:tc>
          <w:tcPr>
            <w:tcW w:type="pct" w:w="2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9.9%</w:t>
            </w:r>
          </w:p>
        </w:tc>
      </w:tr>
      <w:tr>
        <w:tc>
          <w:tcPr>
            <w:tcW w:type="pct" w:w="26%"/>
            <w:tcMar>
              <w:top w:type="dxa" w:w="80"/>
              <w:left w:type="dxa" w:w="100"/>
              <w:bottom w:type="dxa" w:w="80"/>
              <w:right w:type="dxa" w:w="100"/>
            </w:tcMar>
            <w:vAlign w:val="center"/>
          </w:tcPr>
          <w:p>
            <w:pPr>
              <w:jc w:val="left"/>
            </w:pPr>
            <w:r>
              <w:rPr>
                <w:b w:val="false"/>
                <w:bCs w:val="false"/>
                <w:color w:val="000000"/>
                <w:sz w:val="19"/>
                <w:szCs w:val="19"/>
              </w:rPr>
              <w:t xml:space="preserve"/>
            </w:r>
          </w:p>
        </w:tc>
        <w:tc>
          <w:tcPr>
            <w:tcW w:type="pct" w:w="32%"/>
            <w:tcMar>
              <w:top w:type="dxa" w:w="80"/>
              <w:left w:type="dxa" w:w="100"/>
              <w:bottom w:type="dxa" w:w="80"/>
              <w:right w:type="dxa" w:w="100"/>
            </w:tcMar>
            <w:vAlign w:val="center"/>
          </w:tcPr>
          <w:p>
            <w:pPr>
              <w:jc w:val="center"/>
            </w:pPr>
            <w:r>
              <w:rPr>
                <w:b w:val="false"/>
                <w:bCs w:val="false"/>
                <w:color w:val="000000"/>
                <w:sz w:val="19"/>
                <w:szCs w:val="19"/>
              </w:rPr>
              <w:t xml:space="preserve">65-74</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10,406</w:t>
            </w:r>
          </w:p>
        </w:tc>
        <w:tc>
          <w:tcPr>
            <w:tcW w:type="pct" w:w="22%"/>
            <w:tcMar>
              <w:top w:type="dxa" w:w="80"/>
              <w:left w:type="dxa" w:w="100"/>
              <w:bottom w:type="dxa" w:w="80"/>
              <w:right w:type="dxa" w:w="100"/>
            </w:tcMar>
            <w:vAlign w:val="center"/>
          </w:tcPr>
          <w:p>
            <w:pPr>
              <w:jc w:val="center"/>
            </w:pPr>
            <w:r>
              <w:rPr>
                <w:b w:val="false"/>
                <w:bCs w:val="false"/>
                <w:color w:val="000000"/>
                <w:sz w:val="19"/>
                <w:szCs w:val="19"/>
              </w:rPr>
              <w:t xml:space="preserve">16%</w:t>
            </w:r>
          </w:p>
        </w:tc>
      </w:tr>
      <w:tr>
        <w:tc>
          <w:tcPr>
            <w:tcW w:type="pct" w:w="26%"/>
            <w:shd w:fill="F2F2F2" w:val="clear"/>
            <w:tcMar>
              <w:top w:type="dxa" w:w="80"/>
              <w:left w:type="dxa" w:w="100"/>
              <w:bottom w:type="dxa" w:w="80"/>
              <w:right w:type="dxa" w:w="100"/>
            </w:tcMar>
            <w:vAlign w:val="center"/>
          </w:tcPr>
          <w:p>
            <w:pPr>
              <w:jc w:val="left"/>
            </w:pPr>
            <w:r>
              <w:rPr>
                <w:b w:val="false"/>
                <w:bCs w:val="false"/>
                <w:color w:val="000000"/>
                <w:sz w:val="19"/>
                <w:szCs w:val="19"/>
              </w:rPr>
              <w:t xml:space="preserve"/>
            </w:r>
          </w:p>
        </w:tc>
        <w:tc>
          <w:tcPr>
            <w:tcW w:type="pct" w:w="3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75+</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6,175</w:t>
            </w:r>
          </w:p>
        </w:tc>
        <w:tc>
          <w:tcPr>
            <w:tcW w:type="pct" w:w="2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23.6%</w:t>
            </w:r>
          </w:p>
        </w:tc>
      </w:tr>
      <w:tr>
        <w:tc>
          <w:tcPr>
            <w:tcW w:type="pct" w:w="26%"/>
            <w:tcMar>
              <w:top w:type="dxa" w:w="80"/>
              <w:left w:type="dxa" w:w="100"/>
              <w:bottom w:type="dxa" w:w="80"/>
              <w:right w:type="dxa" w:w="100"/>
            </w:tcMar>
            <w:vAlign w:val="center"/>
          </w:tcPr>
          <w:p>
            <w:pPr>
              <w:jc w:val="left"/>
            </w:pPr>
            <w:r>
              <w:rPr>
                <w:b w:val="false"/>
                <w:bCs w:val="false"/>
                <w:color w:val="000000"/>
                <w:sz w:val="19"/>
                <w:szCs w:val="19"/>
              </w:rPr>
              <w:t xml:space="preserve">Sex</w:t>
            </w:r>
          </w:p>
        </w:tc>
        <w:tc>
          <w:tcPr>
            <w:tcW w:type="pct" w:w="32%"/>
            <w:tcMar>
              <w:top w:type="dxa" w:w="80"/>
              <w:left w:type="dxa" w:w="100"/>
              <w:bottom w:type="dxa" w:w="80"/>
              <w:right w:type="dxa" w:w="100"/>
            </w:tcMar>
            <w:vAlign w:val="center"/>
          </w:tcPr>
          <w:p>
            <w:pPr>
              <w:jc w:val="center"/>
            </w:pPr>
            <w:r>
              <w:rPr>
                <w:b w:val="false"/>
                <w:bCs w:val="false"/>
                <w:color w:val="000000"/>
                <w:sz w:val="19"/>
                <w:szCs w:val="19"/>
              </w:rPr>
              <w:t xml:space="preserve">Male</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19,982</w:t>
            </w:r>
          </w:p>
        </w:tc>
        <w:tc>
          <w:tcPr>
            <w:tcW w:type="pct" w:w="22%"/>
            <w:tcMar>
              <w:top w:type="dxa" w:w="80"/>
              <w:left w:type="dxa" w:w="100"/>
              <w:bottom w:type="dxa" w:w="80"/>
              <w:right w:type="dxa" w:w="100"/>
            </w:tcMar>
            <w:vAlign w:val="center"/>
          </w:tcPr>
          <w:p>
            <w:pPr>
              <w:jc w:val="center"/>
            </w:pPr>
            <w:r>
              <w:rPr>
                <w:b w:val="false"/>
                <w:bCs w:val="false"/>
                <w:color w:val="000000"/>
                <w:sz w:val="19"/>
                <w:szCs w:val="19"/>
              </w:rPr>
              <w:t xml:space="preserve">12.4%</w:t>
            </w:r>
          </w:p>
        </w:tc>
      </w:tr>
      <w:tr>
        <w:tc>
          <w:tcPr>
            <w:tcW w:type="pct" w:w="26%"/>
            <w:shd w:fill="F2F2F2" w:val="clear"/>
            <w:tcMar>
              <w:top w:type="dxa" w:w="80"/>
              <w:left w:type="dxa" w:w="100"/>
              <w:bottom w:type="dxa" w:w="80"/>
              <w:right w:type="dxa" w:w="100"/>
            </w:tcMar>
            <w:vAlign w:val="center"/>
          </w:tcPr>
          <w:p>
            <w:pPr>
              <w:jc w:val="left"/>
            </w:pPr>
            <w:r>
              <w:rPr>
                <w:b w:val="false"/>
                <w:bCs w:val="false"/>
                <w:color w:val="000000"/>
                <w:sz w:val="19"/>
                <w:szCs w:val="19"/>
              </w:rPr>
              <w:t xml:space="preserve"/>
            </w:r>
          </w:p>
        </w:tc>
        <w:tc>
          <w:tcPr>
            <w:tcW w:type="pct" w:w="3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Female</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23,454</w:t>
            </w:r>
          </w:p>
        </w:tc>
        <w:tc>
          <w:tcPr>
            <w:tcW w:type="pct" w:w="2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12.7%</w:t>
            </w:r>
          </w:p>
        </w:tc>
      </w:tr>
      <w:tr>
        <w:tc>
          <w:tcPr>
            <w:tcW w:type="pct" w:w="26%"/>
            <w:tcMar>
              <w:top w:type="dxa" w:w="80"/>
              <w:left w:type="dxa" w:w="100"/>
              <w:bottom w:type="dxa" w:w="80"/>
              <w:right w:type="dxa" w:w="100"/>
            </w:tcMar>
            <w:vAlign w:val="center"/>
          </w:tcPr>
          <w:p>
            <w:pPr>
              <w:jc w:val="left"/>
            </w:pPr>
            <w:r>
              <w:rPr>
                <w:b w:val="false"/>
                <w:bCs w:val="false"/>
                <w:color w:val="000000"/>
                <w:sz w:val="19"/>
                <w:szCs w:val="19"/>
              </w:rPr>
              <w:t xml:space="preserve">Race/Ethnicity</w:t>
            </w:r>
          </w:p>
        </w:tc>
        <w:tc>
          <w:tcPr>
            <w:tcW w:type="pct" w:w="32%"/>
            <w:tcMar>
              <w:top w:type="dxa" w:w="80"/>
              <w:left w:type="dxa" w:w="100"/>
              <w:bottom w:type="dxa" w:w="80"/>
              <w:right w:type="dxa" w:w="100"/>
            </w:tcMar>
            <w:vAlign w:val="center"/>
          </w:tcPr>
          <w:p>
            <w:pPr>
              <w:jc w:val="center"/>
            </w:pPr>
            <w:r>
              <w:rPr>
                <w:b w:val="false"/>
                <w:bCs w:val="false"/>
                <w:color w:val="000000"/>
                <w:sz w:val="19"/>
                <w:szCs w:val="19"/>
              </w:rPr>
              <w:t xml:space="preserve">White</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26,895</w:t>
            </w:r>
          </w:p>
        </w:tc>
        <w:tc>
          <w:tcPr>
            <w:tcW w:type="pct" w:w="22%"/>
            <w:tcMar>
              <w:top w:type="dxa" w:w="80"/>
              <w:left w:type="dxa" w:w="100"/>
              <w:bottom w:type="dxa" w:w="80"/>
              <w:right w:type="dxa" w:w="100"/>
            </w:tcMar>
            <w:vAlign w:val="center"/>
          </w:tcPr>
          <w:p>
            <w:pPr>
              <w:jc w:val="center"/>
            </w:pPr>
            <w:r>
              <w:rPr>
                <w:b w:val="false"/>
                <w:bCs w:val="false"/>
                <w:color w:val="000000"/>
                <w:sz w:val="19"/>
                <w:szCs w:val="19"/>
              </w:rPr>
              <w:t xml:space="preserve">12%</w:t>
            </w:r>
          </w:p>
        </w:tc>
      </w:tr>
      <w:tr>
        <w:tc>
          <w:tcPr>
            <w:tcW w:type="pct" w:w="26%"/>
            <w:shd w:fill="F2F2F2" w:val="clear"/>
            <w:tcMar>
              <w:top w:type="dxa" w:w="80"/>
              <w:left w:type="dxa" w:w="100"/>
              <w:bottom w:type="dxa" w:w="80"/>
              <w:right w:type="dxa" w:w="100"/>
            </w:tcMar>
            <w:vAlign w:val="center"/>
          </w:tcPr>
          <w:p>
            <w:pPr>
              <w:jc w:val="left"/>
            </w:pPr>
            <w:r>
              <w:rPr>
                <w:b w:val="false"/>
                <w:bCs w:val="false"/>
                <w:color w:val="000000"/>
                <w:sz w:val="19"/>
                <w:szCs w:val="19"/>
              </w:rPr>
              <w:t xml:space="preserve"/>
            </w:r>
          </w:p>
        </w:tc>
        <w:tc>
          <w:tcPr>
            <w:tcW w:type="pct" w:w="3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Black</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5,316</w:t>
            </w:r>
          </w:p>
        </w:tc>
        <w:tc>
          <w:tcPr>
            <w:tcW w:type="pct" w:w="2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13.7%</w:t>
            </w:r>
          </w:p>
        </w:tc>
      </w:tr>
      <w:tr>
        <w:tc>
          <w:tcPr>
            <w:tcW w:type="pct" w:w="26%"/>
            <w:tcMar>
              <w:top w:type="dxa" w:w="80"/>
              <w:left w:type="dxa" w:w="100"/>
              <w:bottom w:type="dxa" w:w="80"/>
              <w:right w:type="dxa" w:w="100"/>
            </w:tcMar>
            <w:vAlign w:val="center"/>
          </w:tcPr>
          <w:p>
            <w:pPr>
              <w:jc w:val="left"/>
            </w:pPr>
            <w:r>
              <w:rPr>
                <w:b w:val="false"/>
                <w:bCs w:val="false"/>
                <w:color w:val="000000"/>
                <w:sz w:val="19"/>
                <w:szCs w:val="19"/>
              </w:rPr>
              <w:t xml:space="preserve"/>
            </w:r>
          </w:p>
        </w:tc>
        <w:tc>
          <w:tcPr>
            <w:tcW w:type="pct" w:w="32%"/>
            <w:tcMar>
              <w:top w:type="dxa" w:w="80"/>
              <w:left w:type="dxa" w:w="100"/>
              <w:bottom w:type="dxa" w:w="80"/>
              <w:right w:type="dxa" w:w="100"/>
            </w:tcMar>
            <w:vAlign w:val="center"/>
          </w:tcPr>
          <w:p>
            <w:pPr>
              <w:jc w:val="center"/>
            </w:pPr>
            <w:r>
              <w:rPr>
                <w:b w:val="false"/>
                <w:bCs w:val="false"/>
                <w:color w:val="000000"/>
                <w:sz w:val="19"/>
                <w:szCs w:val="19"/>
              </w:rPr>
              <w:t xml:space="preserve">Hispanic</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6,082</w:t>
            </w:r>
          </w:p>
        </w:tc>
        <w:tc>
          <w:tcPr>
            <w:tcW w:type="pct" w:w="22%"/>
            <w:tcMar>
              <w:top w:type="dxa" w:w="80"/>
              <w:left w:type="dxa" w:w="100"/>
              <w:bottom w:type="dxa" w:w="80"/>
              <w:right w:type="dxa" w:w="100"/>
            </w:tcMar>
            <w:vAlign w:val="center"/>
          </w:tcPr>
          <w:p>
            <w:pPr>
              <w:jc w:val="center"/>
            </w:pPr>
            <w:r>
              <w:rPr>
                <w:b w:val="false"/>
                <w:bCs w:val="false"/>
                <w:color w:val="000000"/>
                <w:sz w:val="19"/>
                <w:szCs w:val="19"/>
              </w:rPr>
              <w:t xml:space="preserve">13.5%</w:t>
            </w:r>
          </w:p>
        </w:tc>
      </w:tr>
      <w:tr>
        <w:tc>
          <w:tcPr>
            <w:tcW w:type="pct" w:w="26%"/>
            <w:shd w:fill="F2F2F2" w:val="clear"/>
            <w:tcMar>
              <w:top w:type="dxa" w:w="80"/>
              <w:left w:type="dxa" w:w="100"/>
              <w:bottom w:type="dxa" w:w="80"/>
              <w:right w:type="dxa" w:w="100"/>
            </w:tcMar>
            <w:vAlign w:val="center"/>
          </w:tcPr>
          <w:p>
            <w:pPr>
              <w:jc w:val="left"/>
            </w:pPr>
            <w:r>
              <w:rPr>
                <w:b w:val="false"/>
                <w:bCs w:val="false"/>
                <w:color w:val="000000"/>
                <w:sz w:val="19"/>
                <w:szCs w:val="19"/>
              </w:rPr>
              <w:t xml:space="preserve"/>
            </w:r>
          </w:p>
        </w:tc>
        <w:tc>
          <w:tcPr>
            <w:tcW w:type="pct" w:w="3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Asian</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2,176</w:t>
            </w:r>
          </w:p>
        </w:tc>
        <w:tc>
          <w:tcPr>
            <w:tcW w:type="pct" w:w="2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13.1%</w:t>
            </w:r>
          </w:p>
        </w:tc>
      </w:tr>
      <w:tr>
        <w:tc>
          <w:tcPr>
            <w:tcW w:type="pct" w:w="26%"/>
            <w:tcMar>
              <w:top w:type="dxa" w:w="80"/>
              <w:left w:type="dxa" w:w="100"/>
              <w:bottom w:type="dxa" w:w="80"/>
              <w:right w:type="dxa" w:w="100"/>
            </w:tcMar>
            <w:vAlign w:val="center"/>
          </w:tcPr>
          <w:p>
            <w:pPr>
              <w:jc w:val="left"/>
            </w:pPr>
            <w:r>
              <w:rPr>
                <w:b w:val="false"/>
                <w:bCs w:val="false"/>
                <w:color w:val="000000"/>
                <w:sz w:val="19"/>
                <w:szCs w:val="19"/>
              </w:rPr>
              <w:t xml:space="preserve"/>
            </w:r>
          </w:p>
        </w:tc>
        <w:tc>
          <w:tcPr>
            <w:tcW w:type="pct" w:w="32%"/>
            <w:tcMar>
              <w:top w:type="dxa" w:w="80"/>
              <w:left w:type="dxa" w:w="100"/>
              <w:bottom w:type="dxa" w:w="80"/>
              <w:right w:type="dxa" w:w="100"/>
            </w:tcMar>
            <w:vAlign w:val="center"/>
          </w:tcPr>
          <w:p>
            <w:pPr>
              <w:jc w:val="center"/>
            </w:pPr>
            <w:r>
              <w:rPr>
                <w:b w:val="false"/>
                <w:bCs w:val="false"/>
                <w:color w:val="000000"/>
                <w:sz w:val="19"/>
                <w:szCs w:val="19"/>
              </w:rPr>
              <w:t xml:space="preserve">AIAN</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867</w:t>
            </w:r>
          </w:p>
        </w:tc>
        <w:tc>
          <w:tcPr>
            <w:tcW w:type="pct" w:w="22%"/>
            <w:tcMar>
              <w:top w:type="dxa" w:w="80"/>
              <w:left w:type="dxa" w:w="100"/>
              <w:bottom w:type="dxa" w:w="80"/>
              <w:right w:type="dxa" w:w="100"/>
            </w:tcMar>
            <w:vAlign w:val="center"/>
          </w:tcPr>
          <w:p>
            <w:pPr>
              <w:jc w:val="center"/>
            </w:pPr>
            <w:r>
              <w:rPr>
                <w:b w:val="false"/>
                <w:bCs w:val="false"/>
                <w:color w:val="000000"/>
                <w:sz w:val="19"/>
                <w:szCs w:val="19"/>
              </w:rPr>
              <w:t xml:space="preserve">14.9%</w:t>
            </w:r>
          </w:p>
        </w:tc>
      </w:tr>
      <w:tr>
        <w:tc>
          <w:tcPr>
            <w:tcW w:type="pct" w:w="26%"/>
            <w:shd w:fill="F2F2F2" w:val="clear"/>
            <w:tcMar>
              <w:top w:type="dxa" w:w="80"/>
              <w:left w:type="dxa" w:w="100"/>
              <w:bottom w:type="dxa" w:w="80"/>
              <w:right w:type="dxa" w:w="100"/>
            </w:tcMar>
            <w:vAlign w:val="center"/>
          </w:tcPr>
          <w:p>
            <w:pPr>
              <w:jc w:val="left"/>
            </w:pPr>
            <w:r>
              <w:rPr>
                <w:b w:val="false"/>
                <w:bCs w:val="false"/>
                <w:color w:val="000000"/>
                <w:sz w:val="19"/>
                <w:szCs w:val="19"/>
              </w:rPr>
              <w:t xml:space="preserve"/>
            </w:r>
          </w:p>
        </w:tc>
        <w:tc>
          <w:tcPr>
            <w:tcW w:type="pct" w:w="3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Multiracial</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1,224</w:t>
            </w:r>
          </w:p>
        </w:tc>
        <w:tc>
          <w:tcPr>
            <w:tcW w:type="pct" w:w="2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12.7%</w:t>
            </w:r>
          </w:p>
        </w:tc>
      </w:tr>
      <w:tr>
        <w:tc>
          <w:tcPr>
            <w:tcW w:type="pct" w:w="26%"/>
            <w:tcMar>
              <w:top w:type="dxa" w:w="80"/>
              <w:left w:type="dxa" w:w="100"/>
              <w:bottom w:type="dxa" w:w="80"/>
              <w:right w:type="dxa" w:w="100"/>
            </w:tcMar>
            <w:vAlign w:val="center"/>
          </w:tcPr>
          <w:p>
            <w:pPr>
              <w:jc w:val="left"/>
            </w:pPr>
            <w:r>
              <w:rPr>
                <w:b w:val="false"/>
                <w:bCs w:val="false"/>
                <w:color w:val="000000"/>
                <w:sz w:val="19"/>
                <w:szCs w:val="19"/>
              </w:rPr>
              <w:t xml:space="preserve"/>
            </w:r>
          </w:p>
        </w:tc>
        <w:tc>
          <w:tcPr>
            <w:tcW w:type="pct" w:w="32%"/>
            <w:tcMar>
              <w:top w:type="dxa" w:w="80"/>
              <w:left w:type="dxa" w:w="100"/>
              <w:bottom w:type="dxa" w:w="80"/>
              <w:right w:type="dxa" w:w="100"/>
            </w:tcMar>
            <w:vAlign w:val="center"/>
          </w:tcPr>
          <w:p>
            <w:pPr>
              <w:jc w:val="center"/>
            </w:pPr>
            <w:r>
              <w:rPr>
                <w:b w:val="false"/>
                <w:bCs w:val="false"/>
                <w:color w:val="000000"/>
                <w:sz w:val="19"/>
                <w:szCs w:val="19"/>
              </w:rPr>
              <w:t xml:space="preserve">Other</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876</w:t>
            </w:r>
          </w:p>
        </w:tc>
        <w:tc>
          <w:tcPr>
            <w:tcW w:type="pct" w:w="22%"/>
            <w:tcMar>
              <w:top w:type="dxa" w:w="80"/>
              <w:left w:type="dxa" w:w="100"/>
              <w:bottom w:type="dxa" w:w="80"/>
              <w:right w:type="dxa" w:w="100"/>
            </w:tcMar>
            <w:vAlign w:val="center"/>
          </w:tcPr>
          <w:p>
            <w:pPr>
              <w:jc w:val="center"/>
            </w:pPr>
            <w:r>
              <w:rPr>
                <w:b w:val="false"/>
                <w:bCs w:val="false"/>
                <w:color w:val="000000"/>
                <w:sz w:val="19"/>
                <w:szCs w:val="19"/>
              </w:rPr>
              <w:t xml:space="preserve">11.1%</w:t>
            </w:r>
          </w:p>
        </w:tc>
      </w:tr>
      <w:tr>
        <w:tc>
          <w:tcPr>
            <w:tcW w:type="pct" w:w="26%"/>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Education</w:t>
            </w:r>
          </w:p>
        </w:tc>
        <w:tc>
          <w:tcPr>
            <w:tcW w:type="pct" w:w="3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College graduate+</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13,971</w:t>
            </w:r>
          </w:p>
        </w:tc>
        <w:tc>
          <w:tcPr>
            <w:tcW w:type="pct" w:w="2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10.7%</w:t>
            </w:r>
          </w:p>
        </w:tc>
      </w:tr>
      <w:tr>
        <w:tc>
          <w:tcPr>
            <w:tcW w:type="pct" w:w="26%"/>
            <w:tcMar>
              <w:top w:type="dxa" w:w="80"/>
              <w:left w:type="dxa" w:w="100"/>
              <w:bottom w:type="dxa" w:w="80"/>
              <w:right w:type="dxa" w:w="100"/>
            </w:tcMar>
            <w:vAlign w:val="center"/>
          </w:tcPr>
          <w:p>
            <w:pPr>
              <w:jc w:val="left"/>
            </w:pPr>
            <w:r>
              <w:rPr>
                <w:b w:val="false"/>
                <w:bCs w:val="false"/>
                <w:color w:val="000000"/>
                <w:sz w:val="19"/>
                <w:szCs w:val="19"/>
              </w:rPr>
              <w:t xml:space="preserve"/>
            </w:r>
          </w:p>
        </w:tc>
        <w:tc>
          <w:tcPr>
            <w:tcW w:type="pct" w:w="32%"/>
            <w:tcMar>
              <w:top w:type="dxa" w:w="80"/>
              <w:left w:type="dxa" w:w="100"/>
              <w:bottom w:type="dxa" w:w="80"/>
              <w:right w:type="dxa" w:w="100"/>
            </w:tcMar>
            <w:vAlign w:val="center"/>
          </w:tcPr>
          <w:p>
            <w:pPr>
              <w:jc w:val="center"/>
            </w:pPr>
            <w:r>
              <w:rPr>
                <w:b w:val="false"/>
                <w:bCs w:val="false"/>
                <w:color w:val="000000"/>
                <w:sz w:val="19"/>
                <w:szCs w:val="19"/>
              </w:rPr>
              <w:t xml:space="preserve">Less than HS</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4,405</w:t>
            </w:r>
          </w:p>
        </w:tc>
        <w:tc>
          <w:tcPr>
            <w:tcW w:type="pct" w:w="22%"/>
            <w:tcMar>
              <w:top w:type="dxa" w:w="80"/>
              <w:left w:type="dxa" w:w="100"/>
              <w:bottom w:type="dxa" w:w="80"/>
              <w:right w:type="dxa" w:w="100"/>
            </w:tcMar>
            <w:vAlign w:val="center"/>
          </w:tcPr>
          <w:p>
            <w:pPr>
              <w:jc w:val="center"/>
            </w:pPr>
            <w:r>
              <w:rPr>
                <w:b w:val="false"/>
                <w:bCs w:val="false"/>
                <w:color w:val="000000"/>
                <w:sz w:val="19"/>
                <w:szCs w:val="19"/>
              </w:rPr>
              <w:t xml:space="preserve">15.4%</w:t>
            </w:r>
          </w:p>
        </w:tc>
      </w:tr>
      <w:tr>
        <w:tc>
          <w:tcPr>
            <w:tcW w:type="pct" w:w="26%"/>
            <w:shd w:fill="F2F2F2" w:val="clear"/>
            <w:tcMar>
              <w:top w:type="dxa" w:w="80"/>
              <w:left w:type="dxa" w:w="100"/>
              <w:bottom w:type="dxa" w:w="80"/>
              <w:right w:type="dxa" w:w="100"/>
            </w:tcMar>
            <w:vAlign w:val="center"/>
          </w:tcPr>
          <w:p>
            <w:pPr>
              <w:jc w:val="left"/>
            </w:pPr>
            <w:r>
              <w:rPr>
                <w:b w:val="false"/>
                <w:bCs w:val="false"/>
                <w:color w:val="000000"/>
                <w:sz w:val="19"/>
                <w:szCs w:val="19"/>
              </w:rPr>
              <w:t xml:space="preserve"/>
            </w:r>
          </w:p>
        </w:tc>
        <w:tc>
          <w:tcPr>
            <w:tcW w:type="pct" w:w="3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HS graduate</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11,527</w:t>
            </w:r>
          </w:p>
        </w:tc>
        <w:tc>
          <w:tcPr>
            <w:tcW w:type="pct" w:w="2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14.1%</w:t>
            </w:r>
          </w:p>
        </w:tc>
      </w:tr>
      <w:tr>
        <w:tc>
          <w:tcPr>
            <w:tcW w:type="pct" w:w="26%"/>
            <w:tcMar>
              <w:top w:type="dxa" w:w="80"/>
              <w:left w:type="dxa" w:w="100"/>
              <w:bottom w:type="dxa" w:w="80"/>
              <w:right w:type="dxa" w:w="100"/>
            </w:tcMar>
            <w:vAlign w:val="center"/>
          </w:tcPr>
          <w:p>
            <w:pPr>
              <w:jc w:val="left"/>
            </w:pPr>
            <w:r>
              <w:rPr>
                <w:b w:val="false"/>
                <w:bCs w:val="false"/>
                <w:color w:val="000000"/>
                <w:sz w:val="19"/>
                <w:szCs w:val="19"/>
              </w:rPr>
              <w:t xml:space="preserve"/>
            </w:r>
          </w:p>
        </w:tc>
        <w:tc>
          <w:tcPr>
            <w:tcW w:type="pct" w:w="32%"/>
            <w:tcMar>
              <w:top w:type="dxa" w:w="80"/>
              <w:left w:type="dxa" w:w="100"/>
              <w:bottom w:type="dxa" w:w="80"/>
              <w:right w:type="dxa" w:w="100"/>
            </w:tcMar>
            <w:vAlign w:val="center"/>
          </w:tcPr>
          <w:p>
            <w:pPr>
              <w:jc w:val="center"/>
            </w:pPr>
            <w:r>
              <w:rPr>
                <w:b w:val="false"/>
                <w:bCs w:val="false"/>
                <w:color w:val="000000"/>
                <w:sz w:val="19"/>
                <w:szCs w:val="19"/>
              </w:rPr>
              <w:t xml:space="preserve">Some college</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13,533</w:t>
            </w:r>
          </w:p>
        </w:tc>
        <w:tc>
          <w:tcPr>
            <w:tcW w:type="pct" w:w="22%"/>
            <w:tcMar>
              <w:top w:type="dxa" w:w="80"/>
              <w:left w:type="dxa" w:w="100"/>
              <w:bottom w:type="dxa" w:w="80"/>
              <w:right w:type="dxa" w:w="100"/>
            </w:tcMar>
            <w:vAlign w:val="center"/>
          </w:tcPr>
          <w:p>
            <w:pPr>
              <w:jc w:val="center"/>
            </w:pPr>
            <w:r>
              <w:rPr>
                <w:b w:val="false"/>
                <w:bCs w:val="false"/>
                <w:color w:val="000000"/>
                <w:sz w:val="19"/>
                <w:szCs w:val="19"/>
              </w:rPr>
              <w:t xml:space="preserve">12.2%</w:t>
            </w:r>
          </w:p>
        </w:tc>
      </w:tr>
      <w:tr>
        <w:tc>
          <w:tcPr>
            <w:tcW w:type="pct" w:w="26%"/>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Income</w:t>
            </w:r>
          </w:p>
        </w:tc>
        <w:tc>
          <w:tcPr>
            <w:tcW w:type="pct" w:w="3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$75,000+</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12,728</w:t>
            </w:r>
          </w:p>
        </w:tc>
        <w:tc>
          <w:tcPr>
            <w:tcW w:type="pct" w:w="2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11.2%</w:t>
            </w:r>
          </w:p>
        </w:tc>
      </w:tr>
      <w:tr>
        <w:tc>
          <w:tcPr>
            <w:tcW w:type="pct" w:w="26%"/>
            <w:tcMar>
              <w:top w:type="dxa" w:w="80"/>
              <w:left w:type="dxa" w:w="100"/>
              <w:bottom w:type="dxa" w:w="80"/>
              <w:right w:type="dxa" w:w="100"/>
            </w:tcMar>
            <w:vAlign w:val="center"/>
          </w:tcPr>
          <w:p>
            <w:pPr>
              <w:jc w:val="left"/>
            </w:pPr>
            <w:r>
              <w:rPr>
                <w:b w:val="false"/>
                <w:bCs w:val="false"/>
                <w:color w:val="000000"/>
                <w:sz w:val="19"/>
                <w:szCs w:val="19"/>
              </w:rPr>
              <w:t xml:space="preserve"/>
            </w:r>
          </w:p>
        </w:tc>
        <w:tc>
          <w:tcPr>
            <w:tcW w:type="pct" w:w="32%"/>
            <w:tcMar>
              <w:top w:type="dxa" w:w="80"/>
              <w:left w:type="dxa" w:w="100"/>
              <w:bottom w:type="dxa" w:w="80"/>
              <w:right w:type="dxa" w:w="100"/>
            </w:tcMar>
            <w:vAlign w:val="center"/>
          </w:tcPr>
          <w:p>
            <w:pPr>
              <w:jc w:val="center"/>
            </w:pPr>
            <w:r>
              <w:rPr>
                <w:b w:val="false"/>
                <w:bCs w:val="false"/>
                <w:color w:val="000000"/>
                <w:sz w:val="19"/>
                <w:szCs w:val="19"/>
              </w:rPr>
              <w:t xml:space="preserve">&lt;$25,000</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9,091</w:t>
            </w:r>
          </w:p>
        </w:tc>
        <w:tc>
          <w:tcPr>
            <w:tcW w:type="pct" w:w="22%"/>
            <w:tcMar>
              <w:top w:type="dxa" w:w="80"/>
              <w:left w:type="dxa" w:w="100"/>
              <w:bottom w:type="dxa" w:w="80"/>
              <w:right w:type="dxa" w:w="100"/>
            </w:tcMar>
            <w:vAlign w:val="center"/>
          </w:tcPr>
          <w:p>
            <w:pPr>
              <w:jc w:val="center"/>
            </w:pPr>
            <w:r>
              <w:rPr>
                <w:b w:val="false"/>
                <w:bCs w:val="false"/>
                <w:color w:val="000000"/>
                <w:sz w:val="19"/>
                <w:szCs w:val="19"/>
              </w:rPr>
              <w:t xml:space="preserve">14%</w:t>
            </w:r>
          </w:p>
        </w:tc>
      </w:tr>
      <w:tr>
        <w:tc>
          <w:tcPr>
            <w:tcW w:type="pct" w:w="26%"/>
            <w:shd w:fill="F2F2F2" w:val="clear"/>
            <w:tcMar>
              <w:top w:type="dxa" w:w="80"/>
              <w:left w:type="dxa" w:w="100"/>
              <w:bottom w:type="dxa" w:w="80"/>
              <w:right w:type="dxa" w:w="100"/>
            </w:tcMar>
            <w:vAlign w:val="center"/>
          </w:tcPr>
          <w:p>
            <w:pPr>
              <w:jc w:val="left"/>
            </w:pPr>
            <w:r>
              <w:rPr>
                <w:b w:val="false"/>
                <w:bCs w:val="false"/>
                <w:color w:val="000000"/>
                <w:sz w:val="19"/>
                <w:szCs w:val="19"/>
              </w:rPr>
              <w:t xml:space="preserve"/>
            </w:r>
          </w:p>
        </w:tc>
        <w:tc>
          <w:tcPr>
            <w:tcW w:type="pct" w:w="3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$25,000-$49,999</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11,632</w:t>
            </w:r>
          </w:p>
        </w:tc>
        <w:tc>
          <w:tcPr>
            <w:tcW w:type="pct" w:w="2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13.3%</w:t>
            </w:r>
          </w:p>
        </w:tc>
      </w:tr>
      <w:tr>
        <w:tc>
          <w:tcPr>
            <w:tcW w:type="pct" w:w="26%"/>
            <w:tcMar>
              <w:top w:type="dxa" w:w="80"/>
              <w:left w:type="dxa" w:w="100"/>
              <w:bottom w:type="dxa" w:w="80"/>
              <w:right w:type="dxa" w:w="100"/>
            </w:tcMar>
            <w:vAlign w:val="center"/>
          </w:tcPr>
          <w:p>
            <w:pPr>
              <w:jc w:val="left"/>
            </w:pPr>
            <w:r>
              <w:rPr>
                <w:b w:val="false"/>
                <w:bCs w:val="false"/>
                <w:color w:val="000000"/>
                <w:sz w:val="19"/>
                <w:szCs w:val="19"/>
              </w:rPr>
              <w:t xml:space="preserve"/>
            </w:r>
          </w:p>
        </w:tc>
        <w:tc>
          <w:tcPr>
            <w:tcW w:type="pct" w:w="32%"/>
            <w:tcMar>
              <w:top w:type="dxa" w:w="80"/>
              <w:left w:type="dxa" w:w="100"/>
              <w:bottom w:type="dxa" w:w="80"/>
              <w:right w:type="dxa" w:w="100"/>
            </w:tcMar>
            <w:vAlign w:val="center"/>
          </w:tcPr>
          <w:p>
            <w:pPr>
              <w:jc w:val="center"/>
            </w:pPr>
            <w:r>
              <w:rPr>
                <w:b w:val="false"/>
                <w:bCs w:val="false"/>
                <w:color w:val="000000"/>
                <w:sz w:val="19"/>
                <w:szCs w:val="19"/>
              </w:rPr>
              <w:t xml:space="preserve">$50,000-$74,999</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8,245</w:t>
            </w:r>
          </w:p>
        </w:tc>
        <w:tc>
          <w:tcPr>
            <w:tcW w:type="pct" w:w="22%"/>
            <w:tcMar>
              <w:top w:type="dxa" w:w="80"/>
              <w:left w:type="dxa" w:w="100"/>
              <w:bottom w:type="dxa" w:w="80"/>
              <w:right w:type="dxa" w:w="100"/>
            </w:tcMar>
            <w:vAlign w:val="center"/>
          </w:tcPr>
          <w:p>
            <w:pPr>
              <w:jc w:val="center"/>
            </w:pPr>
            <w:r>
              <w:rPr>
                <w:b w:val="false"/>
                <w:bCs w:val="false"/>
                <w:color w:val="000000"/>
                <w:sz w:val="19"/>
                <w:szCs w:val="19"/>
              </w:rPr>
              <w:t xml:space="preserve">12%</w:t>
            </w:r>
          </w:p>
        </w:tc>
      </w:tr>
      <w:tr>
        <w:tc>
          <w:tcPr>
            <w:tcW w:type="pct" w:w="26%"/>
            <w:shd w:fill="F2F2F2" w:val="clear"/>
            <w:tcMar>
              <w:top w:type="dxa" w:w="80"/>
              <w:left w:type="dxa" w:w="100"/>
              <w:bottom w:type="dxa" w:w="80"/>
              <w:right w:type="dxa" w:w="100"/>
            </w:tcMar>
            <w:vAlign w:val="center"/>
          </w:tcPr>
          <w:p>
            <w:pPr>
              <w:jc w:val="left"/>
            </w:pPr>
            <w:r>
              <w:rPr>
                <w:b w:val="false"/>
                <w:bCs w:val="false"/>
                <w:color w:val="000000"/>
                <w:sz w:val="19"/>
                <w:szCs w:val="19"/>
              </w:rPr>
              <w:t xml:space="preserve"/>
            </w:r>
          </w:p>
        </w:tc>
        <w:tc>
          <w:tcPr>
            <w:tcW w:type="pct" w:w="3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Missing</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1,740</w:t>
            </w:r>
          </w:p>
        </w:tc>
        <w:tc>
          <w:tcPr>
            <w:tcW w:type="pct" w:w="2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12.1%</w:t>
            </w:r>
          </w:p>
        </w:tc>
      </w:tr>
      <w:tr>
        <w:tc>
          <w:tcPr>
            <w:tcW w:type="pct" w:w="26%"/>
            <w:tcMar>
              <w:top w:type="dxa" w:w="80"/>
              <w:left w:type="dxa" w:w="100"/>
              <w:bottom w:type="dxa" w:w="80"/>
              <w:right w:type="dxa" w:w="100"/>
            </w:tcMar>
            <w:vAlign w:val="center"/>
          </w:tcPr>
          <w:p>
            <w:pPr>
              <w:jc w:val="left"/>
            </w:pPr>
            <w:r>
              <w:rPr>
                <w:b w:val="false"/>
                <w:bCs w:val="false"/>
                <w:color w:val="000000"/>
                <w:sz w:val="19"/>
                <w:szCs w:val="19"/>
              </w:rPr>
              <w:t xml:space="preserve">Chronic condition count</w:t>
            </w:r>
          </w:p>
        </w:tc>
        <w:tc>
          <w:tcPr>
            <w:tcW w:type="pct" w:w="32%"/>
            <w:tcMar>
              <w:top w:type="dxa" w:w="80"/>
              <w:left w:type="dxa" w:w="100"/>
              <w:bottom w:type="dxa" w:w="80"/>
              <w:right w:type="dxa" w:w="100"/>
            </w:tcMar>
            <w:vAlign w:val="center"/>
          </w:tcPr>
          <w:p>
            <w:pPr>
              <w:jc w:val="center"/>
            </w:pPr>
            <w:r>
              <w:rPr>
                <w:b w:val="false"/>
                <w:bCs w:val="false"/>
                <w:color w:val="000000"/>
                <w:sz w:val="19"/>
                <w:szCs w:val="19"/>
              </w:rPr>
              <w:t xml:space="preserve">0</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13,885</w:t>
            </w:r>
          </w:p>
        </w:tc>
        <w:tc>
          <w:tcPr>
            <w:tcW w:type="pct" w:w="22%"/>
            <w:tcMar>
              <w:top w:type="dxa" w:w="80"/>
              <w:left w:type="dxa" w:w="100"/>
              <w:bottom w:type="dxa" w:w="80"/>
              <w:right w:type="dxa" w:w="100"/>
            </w:tcMar>
            <w:vAlign w:val="center"/>
          </w:tcPr>
          <w:p>
            <w:pPr>
              <w:jc w:val="center"/>
            </w:pPr>
            <w:r>
              <w:rPr>
                <w:b w:val="false"/>
                <w:bCs w:val="false"/>
                <w:color w:val="000000"/>
                <w:sz w:val="19"/>
                <w:szCs w:val="19"/>
              </w:rPr>
              <w:t xml:space="preserve">7.8%</w:t>
            </w:r>
          </w:p>
        </w:tc>
      </w:tr>
      <w:tr>
        <w:tc>
          <w:tcPr>
            <w:tcW w:type="pct" w:w="26%"/>
            <w:shd w:fill="F2F2F2" w:val="clear"/>
            <w:tcMar>
              <w:top w:type="dxa" w:w="80"/>
              <w:left w:type="dxa" w:w="100"/>
              <w:bottom w:type="dxa" w:w="80"/>
              <w:right w:type="dxa" w:w="100"/>
            </w:tcMar>
            <w:vAlign w:val="center"/>
          </w:tcPr>
          <w:p>
            <w:pPr>
              <w:jc w:val="left"/>
            </w:pPr>
            <w:r>
              <w:rPr>
                <w:b w:val="false"/>
                <w:bCs w:val="false"/>
                <w:color w:val="000000"/>
                <w:sz w:val="19"/>
                <w:szCs w:val="19"/>
              </w:rPr>
              <w:t xml:space="preserve"/>
            </w:r>
          </w:p>
        </w:tc>
        <w:tc>
          <w:tcPr>
            <w:tcW w:type="pct" w:w="3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18,658</w:t>
            </w:r>
          </w:p>
        </w:tc>
        <w:tc>
          <w:tcPr>
            <w:tcW w:type="pct" w:w="2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12.6%</w:t>
            </w:r>
          </w:p>
        </w:tc>
      </w:tr>
      <w:tr>
        <w:tc>
          <w:tcPr>
            <w:tcW w:type="pct" w:w="26%"/>
            <w:tcMar>
              <w:top w:type="dxa" w:w="80"/>
              <w:left w:type="dxa" w:w="100"/>
              <w:bottom w:type="dxa" w:w="80"/>
              <w:right w:type="dxa" w:w="100"/>
            </w:tcMar>
            <w:vAlign w:val="center"/>
          </w:tcPr>
          <w:p>
            <w:pPr>
              <w:jc w:val="left"/>
            </w:pPr>
            <w:r>
              <w:rPr>
                <w:b w:val="false"/>
                <w:bCs w:val="false"/>
                <w:color w:val="000000"/>
                <w:sz w:val="19"/>
                <w:szCs w:val="19"/>
              </w:rPr>
              <w:t xml:space="preserve"/>
            </w:r>
          </w:p>
        </w:tc>
        <w:tc>
          <w:tcPr>
            <w:tcW w:type="pct" w:w="32%"/>
            <w:tcMar>
              <w:top w:type="dxa" w:w="80"/>
              <w:left w:type="dxa" w:w="100"/>
              <w:bottom w:type="dxa" w:w="80"/>
              <w:right w:type="dxa" w:w="100"/>
            </w:tcMar>
            <w:vAlign w:val="center"/>
          </w:tcPr>
          <w:p>
            <w:pPr>
              <w:jc w:val="center"/>
            </w:pPr>
            <w:r>
              <w:rPr>
                <w:b w:val="false"/>
                <w:bCs w:val="false"/>
                <w:color w:val="000000"/>
                <w:sz w:val="19"/>
                <w:szCs w:val="19"/>
              </w:rPr>
              <w:t xml:space="preserve">2</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8,938</w:t>
            </w:r>
          </w:p>
        </w:tc>
        <w:tc>
          <w:tcPr>
            <w:tcW w:type="pct" w:w="22%"/>
            <w:tcMar>
              <w:top w:type="dxa" w:w="80"/>
              <w:left w:type="dxa" w:w="100"/>
              <w:bottom w:type="dxa" w:w="80"/>
              <w:right w:type="dxa" w:w="100"/>
            </w:tcMar>
            <w:vAlign w:val="center"/>
          </w:tcPr>
          <w:p>
            <w:pPr>
              <w:jc w:val="center"/>
            </w:pPr>
            <w:r>
              <w:rPr>
                <w:b w:val="false"/>
                <w:bCs w:val="false"/>
                <w:color w:val="000000"/>
                <w:sz w:val="19"/>
                <w:szCs w:val="19"/>
              </w:rPr>
              <w:t xml:space="preserve">17.3%</w:t>
            </w:r>
          </w:p>
        </w:tc>
      </w:tr>
      <w:tr>
        <w:tc>
          <w:tcPr>
            <w:tcW w:type="pct" w:w="26%"/>
            <w:shd w:fill="F2F2F2" w:val="clear"/>
            <w:tcMar>
              <w:top w:type="dxa" w:w="80"/>
              <w:left w:type="dxa" w:w="100"/>
              <w:bottom w:type="dxa" w:w="80"/>
              <w:right w:type="dxa" w:w="100"/>
            </w:tcMar>
            <w:vAlign w:val="center"/>
          </w:tcPr>
          <w:p>
            <w:pPr>
              <w:jc w:val="left"/>
            </w:pPr>
            <w:r>
              <w:rPr>
                <w:b w:val="false"/>
                <w:bCs w:val="false"/>
                <w:color w:val="000000"/>
                <w:sz w:val="19"/>
                <w:szCs w:val="19"/>
              </w:rPr>
              <w:t xml:space="preserve"/>
            </w:r>
          </w:p>
        </w:tc>
        <w:tc>
          <w:tcPr>
            <w:tcW w:type="pct" w:w="3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3+</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1,955</w:t>
            </w:r>
          </w:p>
        </w:tc>
        <w:tc>
          <w:tcPr>
            <w:tcW w:type="pct" w:w="2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24.1%</w:t>
            </w:r>
          </w:p>
        </w:tc>
      </w:tr>
    </w:tbl>
    <w:p>
      <w:pPr>
        <w:spacing w:after="160" w:line="276"/>
      </w:pPr>
      <w:r>
        <w:rPr>
          <w:i/>
          <w:iCs/>
          <w:color w:val="595959"/>
          <w:sz w:val="18"/>
          <w:szCs w:val="18"/>
        </w:rPr>
        <w:t xml:space="preserve">Table 1. Sample characteristics and crude subjective cognitive decline (SCD) prevalence by subgroup, pooled BRFSS Cognitive Decline module data, 2015-2020 (N = 43,436).</w:t>
      </w:r>
    </w:p>
    <w:p>
      <w:pPr>
        <w:spacing w:after="60" w:before="12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19500"/>
                    </a:xfrm>
                    <a:prstGeom prst="rect">
                      <a:avLst/>
                    </a:prstGeom>
                  </pic:spPr>
                </pic:pic>
              </a:graphicData>
            </a:graphic>
          </wp:inline>
        </w:drawing>
      </w:r>
    </w:p>
    <w:p>
      <w:pPr>
        <w:spacing w:after="240"/>
        <w:jc w:val="center"/>
      </w:pPr>
      <w:r>
        <w:rPr>
          <w:i/>
          <w:iCs/>
          <w:color w:val="595959"/>
          <w:sz w:val="18"/>
          <w:szCs w:val="18"/>
        </w:rPr>
        <w:t xml:space="preserve">Figure 1. National SCD prevalence by survey year, 2015-2020, benchmarked against the published 2015-2016 CDC rate (11.2%).</w:t>
      </w:r>
    </w:p>
    <w:p>
      <w:pPr>
        <w:spacing w:after="60" w:before="120"/>
        <w:jc w:val="center"/>
      </w:pPr>
      <w:r>
        <w:drawing>
          <wp:inline distT="0" distB="0" distL="0" distR="0">
            <wp:extent cx="5334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71825"/>
                    </a:xfrm>
                    <a:prstGeom prst="rect">
                      <a:avLst/>
                    </a:prstGeom>
                  </pic:spPr>
                </pic:pic>
              </a:graphicData>
            </a:graphic>
          </wp:inline>
        </w:drawing>
      </w:r>
    </w:p>
    <w:p>
      <w:pPr>
        <w:spacing w:after="240"/>
        <w:jc w:val="center"/>
      </w:pPr>
      <w:r>
        <w:rPr>
          <w:i/>
          <w:iCs/>
          <w:color w:val="595959"/>
          <w:sz w:val="18"/>
          <w:szCs w:val="18"/>
        </w:rPr>
        <w:t xml:space="preserve">Figure 2. SCD prevalence by age group (left) and chronic condition count (right).</w:t>
      </w:r>
    </w:p>
    <w:p>
      <w:pPr>
        <w:spacing w:after="60" w:before="120"/>
        <w:jc w:val="center"/>
      </w:pPr>
      <w:r>
        <w:drawing>
          <wp:inline distT="0" distB="0" distL="0" distR="0">
            <wp:extent cx="5334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71825"/>
                    </a:xfrm>
                    <a:prstGeom prst="rect">
                      <a:avLst/>
                    </a:prstGeom>
                  </pic:spPr>
                </pic:pic>
              </a:graphicData>
            </a:graphic>
          </wp:inline>
        </w:drawing>
      </w:r>
    </w:p>
    <w:p>
      <w:pPr>
        <w:spacing w:after="240"/>
        <w:jc w:val="center"/>
      </w:pPr>
      <w:r>
        <w:rPr>
          <w:i/>
          <w:iCs/>
          <w:color w:val="595959"/>
          <w:sz w:val="18"/>
          <w:szCs w:val="18"/>
        </w:rPr>
        <w:t xml:space="preserve">Figure 3. SCD prevalence by race/ethnicity (left) and living arrangement (right).</w:t>
      </w:r>
    </w:p>
    <w:p>
      <w:pPr>
        <w:pStyle w:val="Heading2"/>
        <w:spacing w:after="150" w:before="300"/>
      </w:pPr>
      <w:r>
        <w:t xml:space="preserve">3.2 Bivariate Associations</w:t>
      </w:r>
    </w:p>
    <w:p>
      <w:pPr>
        <w:spacing w:after="160" w:line="276"/>
      </w:pPr>
      <w:r>
        <w:rPr>
          <w:sz w:val="22"/>
          <w:szCs w:val="22"/>
        </w:rPr>
        <w:t xml:space="preserve">Chi-square tests of independence confirmed statistically significant bivariate associations (p &lt; 0.001) between SCD and nearly every candidate predictor, with the exception of sex (χ² = 0.8, p = 0.377). The largest chi-square statistics were observed for age group (χ² = 1208.3), comorbidity burden (χ² = 712.6), and hypertension (χ² = 327.8), consistent with these being the strongest univariate correlates prior to adjustment. Full bivariate test results appear in Appendix A.</w:t>
      </w:r>
    </w:p>
    <w:p>
      <w:pPr>
        <w:pStyle w:val="Heading2"/>
        <w:spacing w:after="150" w:before="300"/>
      </w:pPr>
      <w:r>
        <w:t xml:space="preserve">3.3 Multivariable Logistic Regression Model</w:t>
      </w:r>
    </w:p>
    <w:p>
      <w:pPr>
        <w:spacing w:after="160" w:line="276"/>
      </w:pPr>
      <w:r>
        <w:rPr>
          <w:sz w:val="22"/>
          <w:szCs w:val="22"/>
        </w:rPr>
        <w:t xml:space="preserve">A full candidate model including all demographic, clinical, and behavioral covariates plus survey-year fixed effects was fit on the 75% training split (n = 32,576) and refined via backward AIC selection; the selection procedure retained nearly all candidate predictors (final AIC = 22,924.5; McFadden's pseudo-R² = 0.071), indicating each contributed independent explanatory value. Variance inflation factors for all retained terms were low (maximum VIF = 1.67, for a survey-year indicator), indicating no meaningful multicollinearity among predictors.</w:t>
      </w:r>
    </w:p>
    <w:p>
      <w:pPr>
        <w:spacing w:after="160" w:line="276"/>
      </w:pPr>
      <w:r>
        <w:rPr>
          <w:sz w:val="22"/>
          <w:szCs w:val="22"/>
        </w:rPr>
        <w:t xml:space="preserve">Table 2 presents adjusted odds ratios (OR) with 95% Wald confidence intervals for the model's strongest and most policy-relevant predictors. Holding other factors constant, the strongest independent predictors of SCD were advanced age (OR = 2.919 for age 75+ vs. 45-54), history of stroke (OR = 1.941), and depression (OR = 1.689) — each representing 60-190% higher adjusted odds of SCD. Diabetes, hypertension, heart disease, hearing loss, living alone, social isolation, physical inactivity, current smoking, insufficient sleep, lower educational attainment, and lower household income were each independently and significantly associated with elevated SCD odds.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1350"/>
        <w:gridCol w:w="2250"/>
        <w:gridCol w:w="1800"/>
      </w:tblGrid>
      <w:tr>
        <w:tc>
          <w:tcPr>
            <w:tcW w:type="pct" w:w="40%"/>
            <w:shd w:fill="1F3B4D" w:val="clear"/>
            <w:tcMar>
              <w:top w:type="dxa" w:w="80"/>
              <w:left w:type="dxa" w:w="100"/>
              <w:bottom w:type="dxa" w:w="80"/>
              <w:right w:type="dxa" w:w="100"/>
            </w:tcMar>
            <w:vAlign w:val="center"/>
          </w:tcPr>
          <w:p>
            <w:pPr>
              <w:jc w:val="center"/>
            </w:pPr>
            <w:r>
              <w:rPr>
                <w:b/>
                <w:bCs/>
                <w:color w:val="FFFFFF"/>
                <w:sz w:val="19"/>
                <w:szCs w:val="19"/>
              </w:rPr>
              <w:t xml:space="preserve">Predictor</w:t>
            </w:r>
          </w:p>
        </w:tc>
        <w:tc>
          <w:tcPr>
            <w:tcW w:type="pct" w:w="15%"/>
            <w:shd w:fill="1F3B4D" w:val="clear"/>
            <w:tcMar>
              <w:top w:type="dxa" w:w="80"/>
              <w:left w:type="dxa" w:w="100"/>
              <w:bottom w:type="dxa" w:w="80"/>
              <w:right w:type="dxa" w:w="100"/>
            </w:tcMar>
            <w:vAlign w:val="center"/>
          </w:tcPr>
          <w:p>
            <w:pPr>
              <w:jc w:val="center"/>
            </w:pPr>
            <w:r>
              <w:rPr>
                <w:b/>
                <w:bCs/>
                <w:color w:val="FFFFFF"/>
                <w:sz w:val="19"/>
                <w:szCs w:val="19"/>
              </w:rPr>
              <w:t xml:space="preserve">Adj. OR</w:t>
            </w:r>
          </w:p>
        </w:tc>
        <w:tc>
          <w:tcPr>
            <w:tcW w:type="pct" w:w="25%"/>
            <w:shd w:fill="1F3B4D" w:val="clear"/>
            <w:tcMar>
              <w:top w:type="dxa" w:w="80"/>
              <w:left w:type="dxa" w:w="100"/>
              <w:bottom w:type="dxa" w:w="80"/>
              <w:right w:type="dxa" w:w="100"/>
            </w:tcMar>
            <w:vAlign w:val="center"/>
          </w:tcPr>
          <w:p>
            <w:pPr>
              <w:jc w:val="center"/>
            </w:pPr>
            <w:r>
              <w:rPr>
                <w:b/>
                <w:bCs/>
                <w:color w:val="FFFFFF"/>
                <w:sz w:val="19"/>
                <w:szCs w:val="19"/>
              </w:rPr>
              <w:t xml:space="preserve">95% CI</w:t>
            </w:r>
          </w:p>
        </w:tc>
        <w:tc>
          <w:tcPr>
            <w:tcW w:type="pct" w:w="20%"/>
            <w:shd w:fill="1F3B4D" w:val="clear"/>
            <w:tcMar>
              <w:top w:type="dxa" w:w="80"/>
              <w:left w:type="dxa" w:w="100"/>
              <w:bottom w:type="dxa" w:w="80"/>
              <w:right w:type="dxa" w:w="100"/>
            </w:tcMar>
            <w:vAlign w:val="center"/>
          </w:tcPr>
          <w:p>
            <w:pPr>
              <w:jc w:val="center"/>
            </w:pPr>
            <w:r>
              <w:rPr>
                <w:b/>
                <w:bCs/>
                <w:color w:val="FFFFFF"/>
                <w:sz w:val="19"/>
                <w:szCs w:val="19"/>
              </w:rPr>
              <w:t xml:space="preserve">p-value</w:t>
            </w:r>
          </w:p>
        </w:tc>
      </w:tr>
      <w:tr>
        <w:tc>
          <w:tcPr>
            <w:tcW w:type="pct" w:w="40%"/>
            <w:tcMar>
              <w:top w:type="dxa" w:w="80"/>
              <w:left w:type="dxa" w:w="100"/>
              <w:bottom w:type="dxa" w:w="80"/>
              <w:right w:type="dxa" w:w="100"/>
            </w:tcMar>
            <w:vAlign w:val="center"/>
          </w:tcPr>
          <w:p>
            <w:pPr>
              <w:jc w:val="left"/>
            </w:pPr>
            <w:r>
              <w:rPr>
                <w:b w:val="false"/>
                <w:bCs w:val="false"/>
                <w:color w:val="000000"/>
                <w:sz w:val="19"/>
                <w:szCs w:val="19"/>
              </w:rPr>
              <w:t xml:space="preserve">Age 75+ (ref: 45-54)</w:t>
            </w:r>
          </w:p>
        </w:tc>
        <w:tc>
          <w:tcPr>
            <w:tcW w:type="pct" w:w="15%"/>
            <w:tcMar>
              <w:top w:type="dxa" w:w="80"/>
              <w:left w:type="dxa" w:w="100"/>
              <w:bottom w:type="dxa" w:w="80"/>
              <w:right w:type="dxa" w:w="100"/>
            </w:tcMar>
            <w:vAlign w:val="center"/>
          </w:tcPr>
          <w:p>
            <w:pPr>
              <w:jc w:val="center"/>
            </w:pPr>
            <w:r>
              <w:rPr>
                <w:b w:val="false"/>
                <w:bCs w:val="false"/>
                <w:color w:val="000000"/>
                <w:sz w:val="19"/>
                <w:szCs w:val="19"/>
              </w:rPr>
              <w:t xml:space="preserve">2.919</w:t>
            </w:r>
          </w:p>
        </w:tc>
        <w:tc>
          <w:tcPr>
            <w:tcW w:type="pct" w:w="25%"/>
            <w:tcMar>
              <w:top w:type="dxa" w:w="80"/>
              <w:left w:type="dxa" w:w="100"/>
              <w:bottom w:type="dxa" w:w="80"/>
              <w:right w:type="dxa" w:w="100"/>
            </w:tcMar>
            <w:vAlign w:val="center"/>
          </w:tcPr>
          <w:p>
            <w:pPr>
              <w:jc w:val="center"/>
            </w:pPr>
            <w:r>
              <w:rPr>
                <w:b w:val="false"/>
                <w:bCs w:val="false"/>
                <w:color w:val="000000"/>
                <w:sz w:val="19"/>
                <w:szCs w:val="19"/>
              </w:rPr>
              <w:t xml:space="preserve">2.622-3.251</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Age 65-74 (ref: 45-54)</w:t>
            </w:r>
          </w:p>
        </w:tc>
        <w:tc>
          <w:tcPr>
            <w:tcW w:type="pct" w:w="15%"/>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1.995</w:t>
            </w:r>
          </w:p>
        </w:tc>
        <w:tc>
          <w:tcPr>
            <w:tcW w:type="pct" w:w="25%"/>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1.802-2.207</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tcMar>
              <w:top w:type="dxa" w:w="80"/>
              <w:left w:type="dxa" w:w="100"/>
              <w:bottom w:type="dxa" w:w="80"/>
              <w:right w:type="dxa" w:w="100"/>
            </w:tcMar>
            <w:vAlign w:val="center"/>
          </w:tcPr>
          <w:p>
            <w:pPr>
              <w:jc w:val="left"/>
            </w:pPr>
            <w:r>
              <w:rPr>
                <w:b w:val="false"/>
                <w:bCs w:val="false"/>
                <w:color w:val="000000"/>
                <w:sz w:val="19"/>
                <w:szCs w:val="19"/>
              </w:rPr>
              <w:t xml:space="preserve">Age 55-64 (ref: 45-54)</w:t>
            </w:r>
          </w:p>
        </w:tc>
        <w:tc>
          <w:tcPr>
            <w:tcW w:type="pct" w:w="15%"/>
            <w:tcMar>
              <w:top w:type="dxa" w:w="80"/>
              <w:left w:type="dxa" w:w="100"/>
              <w:bottom w:type="dxa" w:w="80"/>
              <w:right w:type="dxa" w:w="100"/>
            </w:tcMar>
            <w:vAlign w:val="center"/>
          </w:tcPr>
          <w:p>
            <w:pPr>
              <w:jc w:val="center"/>
            </w:pPr>
            <w:r>
              <w:rPr>
                <w:b w:val="false"/>
                <w:bCs w:val="false"/>
                <w:color w:val="000000"/>
                <w:sz w:val="19"/>
                <w:szCs w:val="19"/>
              </w:rPr>
              <w:t xml:space="preserve">1.426</w:t>
            </w:r>
          </w:p>
        </w:tc>
        <w:tc>
          <w:tcPr>
            <w:tcW w:type="pct" w:w="25%"/>
            <w:tcMar>
              <w:top w:type="dxa" w:w="80"/>
              <w:left w:type="dxa" w:w="100"/>
              <w:bottom w:type="dxa" w:w="80"/>
              <w:right w:type="dxa" w:w="100"/>
            </w:tcMar>
            <w:vAlign w:val="center"/>
          </w:tcPr>
          <w:p>
            <w:pPr>
              <w:jc w:val="center"/>
            </w:pPr>
            <w:r>
              <w:rPr>
                <w:b w:val="false"/>
                <w:bCs w:val="false"/>
                <w:color w:val="000000"/>
                <w:sz w:val="19"/>
                <w:szCs w:val="19"/>
              </w:rPr>
              <w:t xml:space="preserve">1.29-1.577</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History of stroke</w:t>
            </w:r>
          </w:p>
        </w:tc>
        <w:tc>
          <w:tcPr>
            <w:tcW w:type="pct" w:w="15%"/>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1.941</w:t>
            </w:r>
          </w:p>
        </w:tc>
        <w:tc>
          <w:tcPr>
            <w:tcW w:type="pct" w:w="25%"/>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1.682-2.241</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tcMar>
              <w:top w:type="dxa" w:w="80"/>
              <w:left w:type="dxa" w:w="100"/>
              <w:bottom w:type="dxa" w:w="80"/>
              <w:right w:type="dxa" w:w="100"/>
            </w:tcMar>
            <w:vAlign w:val="center"/>
          </w:tcPr>
          <w:p>
            <w:pPr>
              <w:jc w:val="left"/>
            </w:pPr>
            <w:r>
              <w:rPr>
                <w:b w:val="false"/>
                <w:bCs w:val="false"/>
                <w:color w:val="000000"/>
                <w:sz w:val="19"/>
                <w:szCs w:val="19"/>
              </w:rPr>
              <w:t xml:space="preserve">Depression</w:t>
            </w:r>
          </w:p>
        </w:tc>
        <w:tc>
          <w:tcPr>
            <w:tcW w:type="pct" w:w="15%"/>
            <w:tcMar>
              <w:top w:type="dxa" w:w="80"/>
              <w:left w:type="dxa" w:w="100"/>
              <w:bottom w:type="dxa" w:w="80"/>
              <w:right w:type="dxa" w:w="100"/>
            </w:tcMar>
            <w:vAlign w:val="center"/>
          </w:tcPr>
          <w:p>
            <w:pPr>
              <w:jc w:val="center"/>
            </w:pPr>
            <w:r>
              <w:rPr>
                <w:b w:val="false"/>
                <w:bCs w:val="false"/>
                <w:color w:val="000000"/>
                <w:sz w:val="19"/>
                <w:szCs w:val="19"/>
              </w:rPr>
              <w:t xml:space="preserve">1.689</w:t>
            </w:r>
          </w:p>
        </w:tc>
        <w:tc>
          <w:tcPr>
            <w:tcW w:type="pct" w:w="25%"/>
            <w:tcMar>
              <w:top w:type="dxa" w:w="80"/>
              <w:left w:type="dxa" w:w="100"/>
              <w:bottom w:type="dxa" w:w="80"/>
              <w:right w:type="dxa" w:w="100"/>
            </w:tcMar>
            <w:vAlign w:val="center"/>
          </w:tcPr>
          <w:p>
            <w:pPr>
              <w:jc w:val="center"/>
            </w:pPr>
            <w:r>
              <w:rPr>
                <w:b w:val="false"/>
                <w:bCs w:val="false"/>
                <w:color w:val="000000"/>
                <w:sz w:val="19"/>
                <w:szCs w:val="19"/>
              </w:rPr>
              <w:t xml:space="preserve">1.562-1.825</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Diabetes</w:t>
            </w:r>
          </w:p>
        </w:tc>
        <w:tc>
          <w:tcPr>
            <w:tcW w:type="pct" w:w="15%"/>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1.566</w:t>
            </w:r>
          </w:p>
        </w:tc>
        <w:tc>
          <w:tcPr>
            <w:tcW w:type="pct" w:w="25%"/>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1.441-1.702</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tcMar>
              <w:top w:type="dxa" w:w="80"/>
              <w:left w:type="dxa" w:w="100"/>
              <w:bottom w:type="dxa" w:w="80"/>
              <w:right w:type="dxa" w:w="100"/>
            </w:tcMar>
            <w:vAlign w:val="center"/>
          </w:tcPr>
          <w:p>
            <w:pPr>
              <w:jc w:val="left"/>
            </w:pPr>
            <w:r>
              <w:rPr>
                <w:b w:val="false"/>
                <w:bCs w:val="false"/>
                <w:color w:val="000000"/>
                <w:sz w:val="19"/>
                <w:szCs w:val="19"/>
              </w:rPr>
              <w:t xml:space="preserve">Hypertension</w:t>
            </w:r>
          </w:p>
        </w:tc>
        <w:tc>
          <w:tcPr>
            <w:tcW w:type="pct" w:w="15%"/>
            <w:tcMar>
              <w:top w:type="dxa" w:w="80"/>
              <w:left w:type="dxa" w:w="100"/>
              <w:bottom w:type="dxa" w:w="80"/>
              <w:right w:type="dxa" w:w="100"/>
            </w:tcMar>
            <w:vAlign w:val="center"/>
          </w:tcPr>
          <w:p>
            <w:pPr>
              <w:jc w:val="center"/>
            </w:pPr>
            <w:r>
              <w:rPr>
                <w:b w:val="false"/>
                <w:bCs w:val="false"/>
                <w:color w:val="000000"/>
                <w:sz w:val="19"/>
                <w:szCs w:val="19"/>
              </w:rPr>
              <w:t xml:space="preserve">1.506</w:t>
            </w:r>
          </w:p>
        </w:tc>
        <w:tc>
          <w:tcPr>
            <w:tcW w:type="pct" w:w="25%"/>
            <w:tcMar>
              <w:top w:type="dxa" w:w="80"/>
              <w:left w:type="dxa" w:w="100"/>
              <w:bottom w:type="dxa" w:w="80"/>
              <w:right w:type="dxa" w:w="100"/>
            </w:tcMar>
            <w:vAlign w:val="center"/>
          </w:tcPr>
          <w:p>
            <w:pPr>
              <w:jc w:val="center"/>
            </w:pPr>
            <w:r>
              <w:rPr>
                <w:b w:val="false"/>
                <w:bCs w:val="false"/>
                <w:color w:val="000000"/>
                <w:sz w:val="19"/>
                <w:szCs w:val="19"/>
              </w:rPr>
              <w:t xml:space="preserve">1.406-1.612</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Heart disease</w:t>
            </w:r>
          </w:p>
        </w:tc>
        <w:tc>
          <w:tcPr>
            <w:tcW w:type="pct" w:w="15%"/>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1.439</w:t>
            </w:r>
          </w:p>
        </w:tc>
        <w:tc>
          <w:tcPr>
            <w:tcW w:type="pct" w:w="25%"/>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1.302-1.589</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tcMar>
              <w:top w:type="dxa" w:w="80"/>
              <w:left w:type="dxa" w:w="100"/>
              <w:bottom w:type="dxa" w:w="80"/>
              <w:right w:type="dxa" w:w="100"/>
            </w:tcMar>
            <w:vAlign w:val="center"/>
          </w:tcPr>
          <w:p>
            <w:pPr>
              <w:jc w:val="left"/>
            </w:pPr>
            <w:r>
              <w:rPr>
                <w:b w:val="false"/>
                <w:bCs w:val="false"/>
                <w:color w:val="000000"/>
                <w:sz w:val="19"/>
                <w:szCs w:val="19"/>
              </w:rPr>
              <w:t xml:space="preserve">Hearing loss</w:t>
            </w:r>
          </w:p>
        </w:tc>
        <w:tc>
          <w:tcPr>
            <w:tcW w:type="pct" w:w="15%"/>
            <w:tcMar>
              <w:top w:type="dxa" w:w="80"/>
              <w:left w:type="dxa" w:w="100"/>
              <w:bottom w:type="dxa" w:w="80"/>
              <w:right w:type="dxa" w:w="100"/>
            </w:tcMar>
            <w:vAlign w:val="center"/>
          </w:tcPr>
          <w:p>
            <w:pPr>
              <w:jc w:val="center"/>
            </w:pPr>
            <w:r>
              <w:rPr>
                <w:b w:val="false"/>
                <w:bCs w:val="false"/>
                <w:color w:val="000000"/>
                <w:sz w:val="19"/>
                <w:szCs w:val="19"/>
              </w:rPr>
              <w:t xml:space="preserve">1.336</w:t>
            </w:r>
          </w:p>
        </w:tc>
        <w:tc>
          <w:tcPr>
            <w:tcW w:type="pct" w:w="25%"/>
            <w:tcMar>
              <w:top w:type="dxa" w:w="80"/>
              <w:left w:type="dxa" w:w="100"/>
              <w:bottom w:type="dxa" w:w="80"/>
              <w:right w:type="dxa" w:w="100"/>
            </w:tcMar>
            <w:vAlign w:val="center"/>
          </w:tcPr>
          <w:p>
            <w:pPr>
              <w:jc w:val="center"/>
            </w:pPr>
            <w:r>
              <w:rPr>
                <w:b w:val="false"/>
                <w:bCs w:val="false"/>
                <w:color w:val="000000"/>
                <w:sz w:val="19"/>
                <w:szCs w:val="19"/>
              </w:rPr>
              <w:t xml:space="preserve">1.225-1.458</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Lives alone</w:t>
            </w:r>
          </w:p>
        </w:tc>
        <w:tc>
          <w:tcPr>
            <w:tcW w:type="pct" w:w="15%"/>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1.39</w:t>
            </w:r>
          </w:p>
        </w:tc>
        <w:tc>
          <w:tcPr>
            <w:tcW w:type="pct" w:w="25%"/>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1.289-1.5</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tcMar>
              <w:top w:type="dxa" w:w="80"/>
              <w:left w:type="dxa" w:w="100"/>
              <w:bottom w:type="dxa" w:w="80"/>
              <w:right w:type="dxa" w:w="100"/>
            </w:tcMar>
            <w:vAlign w:val="center"/>
          </w:tcPr>
          <w:p>
            <w:pPr>
              <w:jc w:val="left"/>
            </w:pPr>
            <w:r>
              <w:rPr>
                <w:b w:val="false"/>
                <w:bCs w:val="false"/>
                <w:color w:val="000000"/>
                <w:sz w:val="19"/>
                <w:szCs w:val="19"/>
              </w:rPr>
              <w:t xml:space="preserve">Social isolation/loneliness</w:t>
            </w:r>
          </w:p>
        </w:tc>
        <w:tc>
          <w:tcPr>
            <w:tcW w:type="pct" w:w="15%"/>
            <w:tcMar>
              <w:top w:type="dxa" w:w="80"/>
              <w:left w:type="dxa" w:w="100"/>
              <w:bottom w:type="dxa" w:w="80"/>
              <w:right w:type="dxa" w:w="100"/>
            </w:tcMar>
            <w:vAlign w:val="center"/>
          </w:tcPr>
          <w:p>
            <w:pPr>
              <w:jc w:val="center"/>
            </w:pPr>
            <w:r>
              <w:rPr>
                <w:b w:val="false"/>
                <w:bCs w:val="false"/>
                <w:color w:val="000000"/>
                <w:sz w:val="19"/>
                <w:szCs w:val="19"/>
              </w:rPr>
              <w:t xml:space="preserve">1.295</w:t>
            </w:r>
          </w:p>
        </w:tc>
        <w:tc>
          <w:tcPr>
            <w:tcW w:type="pct" w:w="25%"/>
            <w:tcMar>
              <w:top w:type="dxa" w:w="80"/>
              <w:left w:type="dxa" w:w="100"/>
              <w:bottom w:type="dxa" w:w="80"/>
              <w:right w:type="dxa" w:w="100"/>
            </w:tcMar>
            <w:vAlign w:val="center"/>
          </w:tcPr>
          <w:p>
            <w:pPr>
              <w:jc w:val="center"/>
            </w:pPr>
            <w:r>
              <w:rPr>
                <w:b w:val="false"/>
                <w:bCs w:val="false"/>
                <w:color w:val="000000"/>
                <w:sz w:val="19"/>
                <w:szCs w:val="19"/>
              </w:rPr>
              <w:t xml:space="preserve">1.193-1.405</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Physically inactive</w:t>
            </w:r>
          </w:p>
        </w:tc>
        <w:tc>
          <w:tcPr>
            <w:tcW w:type="pct" w:w="15%"/>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1.284</w:t>
            </w:r>
          </w:p>
        </w:tc>
        <w:tc>
          <w:tcPr>
            <w:tcW w:type="pct" w:w="25%"/>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1.19-1.384</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tcMar>
              <w:top w:type="dxa" w:w="80"/>
              <w:left w:type="dxa" w:w="100"/>
              <w:bottom w:type="dxa" w:w="80"/>
              <w:right w:type="dxa" w:w="100"/>
            </w:tcMar>
            <w:vAlign w:val="center"/>
          </w:tcPr>
          <w:p>
            <w:pPr>
              <w:jc w:val="left"/>
            </w:pPr>
            <w:r>
              <w:rPr>
                <w:b w:val="false"/>
                <w:bCs w:val="false"/>
                <w:color w:val="000000"/>
                <w:sz w:val="19"/>
                <w:szCs w:val="19"/>
              </w:rPr>
              <w:t xml:space="preserve">Current smoker</w:t>
            </w:r>
          </w:p>
        </w:tc>
        <w:tc>
          <w:tcPr>
            <w:tcW w:type="pct" w:w="15%"/>
            <w:tcMar>
              <w:top w:type="dxa" w:w="80"/>
              <w:left w:type="dxa" w:w="100"/>
              <w:bottom w:type="dxa" w:w="80"/>
              <w:right w:type="dxa" w:w="100"/>
            </w:tcMar>
            <w:vAlign w:val="center"/>
          </w:tcPr>
          <w:p>
            <w:pPr>
              <w:jc w:val="center"/>
            </w:pPr>
            <w:r>
              <w:rPr>
                <w:b w:val="false"/>
                <w:bCs w:val="false"/>
                <w:color w:val="000000"/>
                <w:sz w:val="19"/>
                <w:szCs w:val="19"/>
              </w:rPr>
              <w:t xml:space="preserve">1.152</w:t>
            </w:r>
          </w:p>
        </w:tc>
        <w:tc>
          <w:tcPr>
            <w:tcW w:type="pct" w:w="25%"/>
            <w:tcMar>
              <w:top w:type="dxa" w:w="80"/>
              <w:left w:type="dxa" w:w="100"/>
              <w:bottom w:type="dxa" w:w="80"/>
              <w:right w:type="dxa" w:w="100"/>
            </w:tcMar>
            <w:vAlign w:val="center"/>
          </w:tcPr>
          <w:p>
            <w:pPr>
              <w:jc w:val="center"/>
            </w:pPr>
            <w:r>
              <w:rPr>
                <w:b w:val="false"/>
                <w:bCs w:val="false"/>
                <w:color w:val="000000"/>
                <w:sz w:val="19"/>
                <w:szCs w:val="19"/>
              </w:rPr>
              <w:t xml:space="preserve">1.051-1.263</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0.002</w:t>
            </w:r>
          </w:p>
        </w:tc>
      </w:tr>
      <w:tr>
        <w:tc>
          <w:tcPr>
            <w:tcW w:type="pct" w:w="4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Sleep &lt; 7 hrs/night</w:t>
            </w:r>
          </w:p>
        </w:tc>
        <w:tc>
          <w:tcPr>
            <w:tcW w:type="pct" w:w="15%"/>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1.135</w:t>
            </w:r>
          </w:p>
        </w:tc>
        <w:tc>
          <w:tcPr>
            <w:tcW w:type="pct" w:w="25%"/>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1.058-1.218</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tcMar>
              <w:top w:type="dxa" w:w="80"/>
              <w:left w:type="dxa" w:w="100"/>
              <w:bottom w:type="dxa" w:w="80"/>
              <w:right w:type="dxa" w:w="100"/>
            </w:tcMar>
            <w:vAlign w:val="center"/>
          </w:tcPr>
          <w:p>
            <w:pPr>
              <w:jc w:val="left"/>
            </w:pPr>
            <w:r>
              <w:rPr>
                <w:b w:val="false"/>
                <w:bCs w:val="false"/>
                <w:color w:val="000000"/>
                <w:sz w:val="19"/>
                <w:szCs w:val="19"/>
              </w:rPr>
              <w:t xml:space="preserve">Education: &lt; High School (ref: College+)</w:t>
            </w:r>
          </w:p>
        </w:tc>
        <w:tc>
          <w:tcPr>
            <w:tcW w:type="pct" w:w="15%"/>
            <w:tcMar>
              <w:top w:type="dxa" w:w="80"/>
              <w:left w:type="dxa" w:w="100"/>
              <w:bottom w:type="dxa" w:w="80"/>
              <w:right w:type="dxa" w:w="100"/>
            </w:tcMar>
            <w:vAlign w:val="center"/>
          </w:tcPr>
          <w:p>
            <w:pPr>
              <w:jc w:val="center"/>
            </w:pPr>
            <w:r>
              <w:rPr>
                <w:b w:val="false"/>
                <w:bCs w:val="false"/>
                <w:color w:val="000000"/>
                <w:sz w:val="19"/>
                <w:szCs w:val="19"/>
              </w:rPr>
              <w:t xml:space="preserve">1.539</w:t>
            </w:r>
          </w:p>
        </w:tc>
        <w:tc>
          <w:tcPr>
            <w:tcW w:type="pct" w:w="25%"/>
            <w:tcMar>
              <w:top w:type="dxa" w:w="80"/>
              <w:left w:type="dxa" w:w="100"/>
              <w:bottom w:type="dxa" w:w="80"/>
              <w:right w:type="dxa" w:w="100"/>
            </w:tcMar>
            <w:vAlign w:val="center"/>
          </w:tcPr>
          <w:p>
            <w:pPr>
              <w:jc w:val="center"/>
            </w:pPr>
            <w:r>
              <w:rPr>
                <w:b w:val="false"/>
                <w:bCs w:val="false"/>
                <w:color w:val="000000"/>
                <w:sz w:val="19"/>
                <w:szCs w:val="19"/>
              </w:rPr>
              <w:t xml:space="preserve">1.369-1.73</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Education: HS graduate (ref: College+)</w:t>
            </w:r>
          </w:p>
        </w:tc>
        <w:tc>
          <w:tcPr>
            <w:tcW w:type="pct" w:w="15%"/>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1.42</w:t>
            </w:r>
          </w:p>
        </w:tc>
        <w:tc>
          <w:tcPr>
            <w:tcW w:type="pct" w:w="25%"/>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1.299-1.553</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tcMar>
              <w:top w:type="dxa" w:w="80"/>
              <w:left w:type="dxa" w:w="100"/>
              <w:bottom w:type="dxa" w:w="80"/>
              <w:right w:type="dxa" w:w="100"/>
            </w:tcMar>
            <w:vAlign w:val="center"/>
          </w:tcPr>
          <w:p>
            <w:pPr>
              <w:jc w:val="left"/>
            </w:pPr>
            <w:r>
              <w:rPr>
                <w:b w:val="false"/>
                <w:bCs w:val="false"/>
                <w:color w:val="000000"/>
                <w:sz w:val="19"/>
                <w:szCs w:val="19"/>
              </w:rPr>
              <w:t xml:space="preserve">Education: Some college (ref: College+)</w:t>
            </w:r>
          </w:p>
        </w:tc>
        <w:tc>
          <w:tcPr>
            <w:tcW w:type="pct" w:w="15%"/>
            <w:tcMar>
              <w:top w:type="dxa" w:w="80"/>
              <w:left w:type="dxa" w:w="100"/>
              <w:bottom w:type="dxa" w:w="80"/>
              <w:right w:type="dxa" w:w="100"/>
            </w:tcMar>
            <w:vAlign w:val="center"/>
          </w:tcPr>
          <w:p>
            <w:pPr>
              <w:jc w:val="center"/>
            </w:pPr>
            <w:r>
              <w:rPr>
                <w:b w:val="false"/>
                <w:bCs w:val="false"/>
                <w:color w:val="000000"/>
                <w:sz w:val="19"/>
                <w:szCs w:val="19"/>
              </w:rPr>
              <w:t xml:space="preserve">1.164</w:t>
            </w:r>
          </w:p>
        </w:tc>
        <w:tc>
          <w:tcPr>
            <w:tcW w:type="pct" w:w="25%"/>
            <w:tcMar>
              <w:top w:type="dxa" w:w="80"/>
              <w:left w:type="dxa" w:w="100"/>
              <w:bottom w:type="dxa" w:w="80"/>
              <w:right w:type="dxa" w:w="100"/>
            </w:tcMar>
            <w:vAlign w:val="center"/>
          </w:tcPr>
          <w:p>
            <w:pPr>
              <w:jc w:val="center"/>
            </w:pPr>
            <w:r>
              <w:rPr>
                <w:b w:val="false"/>
                <w:bCs w:val="false"/>
                <w:color w:val="000000"/>
                <w:sz w:val="19"/>
                <w:szCs w:val="19"/>
              </w:rPr>
              <w:t xml:space="preserve">1.066-1.271</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Income &lt; $25,000 (ref: $75,000+)</w:t>
            </w:r>
          </w:p>
        </w:tc>
        <w:tc>
          <w:tcPr>
            <w:tcW w:type="pct" w:w="15%"/>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1.32</w:t>
            </w:r>
          </w:p>
        </w:tc>
        <w:tc>
          <w:tcPr>
            <w:tcW w:type="pct" w:w="25%"/>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1.198-1.454</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tcMar>
              <w:top w:type="dxa" w:w="80"/>
              <w:left w:type="dxa" w:w="100"/>
              <w:bottom w:type="dxa" w:w="80"/>
              <w:right w:type="dxa" w:w="100"/>
            </w:tcMar>
            <w:vAlign w:val="center"/>
          </w:tcPr>
          <w:p>
            <w:pPr>
              <w:jc w:val="left"/>
            </w:pPr>
            <w:r>
              <w:rPr>
                <w:b w:val="false"/>
                <w:bCs w:val="false"/>
                <w:color w:val="000000"/>
                <w:sz w:val="19"/>
                <w:szCs w:val="19"/>
              </w:rPr>
              <w:t xml:space="preserve">Income $25-49,999 (ref: $75,000+)</w:t>
            </w:r>
          </w:p>
        </w:tc>
        <w:tc>
          <w:tcPr>
            <w:tcW w:type="pct" w:w="15%"/>
            <w:tcMar>
              <w:top w:type="dxa" w:w="80"/>
              <w:left w:type="dxa" w:w="100"/>
              <w:bottom w:type="dxa" w:w="80"/>
              <w:right w:type="dxa" w:w="100"/>
            </w:tcMar>
            <w:vAlign w:val="center"/>
          </w:tcPr>
          <w:p>
            <w:pPr>
              <w:jc w:val="center"/>
            </w:pPr>
            <w:r>
              <w:rPr>
                <w:b w:val="false"/>
                <w:bCs w:val="false"/>
                <w:color w:val="000000"/>
                <w:sz w:val="19"/>
                <w:szCs w:val="19"/>
              </w:rPr>
              <w:t xml:space="preserve">1.286</w:t>
            </w:r>
          </w:p>
        </w:tc>
        <w:tc>
          <w:tcPr>
            <w:tcW w:type="pct" w:w="25%"/>
            <w:tcMar>
              <w:top w:type="dxa" w:w="80"/>
              <w:left w:type="dxa" w:w="100"/>
              <w:bottom w:type="dxa" w:w="80"/>
              <w:right w:type="dxa" w:w="100"/>
            </w:tcMar>
            <w:vAlign w:val="center"/>
          </w:tcPr>
          <w:p>
            <w:pPr>
              <w:jc w:val="center"/>
            </w:pPr>
            <w:r>
              <w:rPr>
                <w:b w:val="false"/>
                <w:bCs w:val="false"/>
                <w:color w:val="000000"/>
                <w:sz w:val="19"/>
                <w:szCs w:val="19"/>
              </w:rPr>
              <w:t xml:space="preserve">1.173-1.409</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Race/ethnicity: Black (ref: White)</w:t>
            </w:r>
          </w:p>
        </w:tc>
        <w:tc>
          <w:tcPr>
            <w:tcW w:type="pct" w:w="15%"/>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1.225</w:t>
            </w:r>
          </w:p>
        </w:tc>
        <w:tc>
          <w:tcPr>
            <w:tcW w:type="pct" w:w="25%"/>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1.105-1.359</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tcMar>
              <w:top w:type="dxa" w:w="80"/>
              <w:left w:type="dxa" w:w="100"/>
              <w:bottom w:type="dxa" w:w="80"/>
              <w:right w:type="dxa" w:w="100"/>
            </w:tcMar>
            <w:vAlign w:val="center"/>
          </w:tcPr>
          <w:p>
            <w:pPr>
              <w:jc w:val="left"/>
            </w:pPr>
            <w:r>
              <w:rPr>
                <w:b w:val="false"/>
                <w:bCs w:val="false"/>
                <w:color w:val="000000"/>
                <w:sz w:val="19"/>
                <w:szCs w:val="19"/>
              </w:rPr>
              <w:t xml:space="preserve">Race/ethnicity: Hispanic (ref: White)</w:t>
            </w:r>
          </w:p>
        </w:tc>
        <w:tc>
          <w:tcPr>
            <w:tcW w:type="pct" w:w="15%"/>
            <w:tcMar>
              <w:top w:type="dxa" w:w="80"/>
              <w:left w:type="dxa" w:w="100"/>
              <w:bottom w:type="dxa" w:w="80"/>
              <w:right w:type="dxa" w:w="100"/>
            </w:tcMar>
            <w:vAlign w:val="center"/>
          </w:tcPr>
          <w:p>
            <w:pPr>
              <w:jc w:val="center"/>
            </w:pPr>
            <w:r>
              <w:rPr>
                <w:b w:val="false"/>
                <w:bCs w:val="false"/>
                <w:color w:val="000000"/>
                <w:sz w:val="19"/>
                <w:szCs w:val="19"/>
              </w:rPr>
              <w:t xml:space="preserve">1.175</w:t>
            </w:r>
          </w:p>
        </w:tc>
        <w:tc>
          <w:tcPr>
            <w:tcW w:type="pct" w:w="25%"/>
            <w:tcMar>
              <w:top w:type="dxa" w:w="80"/>
              <w:left w:type="dxa" w:w="100"/>
              <w:bottom w:type="dxa" w:w="80"/>
              <w:right w:type="dxa" w:w="100"/>
            </w:tcMar>
            <w:vAlign w:val="center"/>
          </w:tcPr>
          <w:p>
            <w:pPr>
              <w:jc w:val="center"/>
            </w:pPr>
            <w:r>
              <w:rPr>
                <w:b w:val="false"/>
                <w:bCs w:val="false"/>
                <w:color w:val="000000"/>
                <w:sz w:val="19"/>
                <w:szCs w:val="19"/>
              </w:rPr>
              <w:t xml:space="preserve">1.065-1.295</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0.001</w:t>
            </w:r>
          </w:p>
        </w:tc>
      </w:tr>
      <w:tr>
        <w:tc>
          <w:tcPr>
            <w:tcW w:type="pct" w:w="4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Race/ethnicity: AIAN (ref: White)</w:t>
            </w:r>
          </w:p>
        </w:tc>
        <w:tc>
          <w:tcPr>
            <w:tcW w:type="pct" w:w="15%"/>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1.303</w:t>
            </w:r>
          </w:p>
        </w:tc>
        <w:tc>
          <w:tcPr>
            <w:tcW w:type="pct" w:w="25%"/>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1.034-1.641</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0.025</w:t>
            </w:r>
          </w:p>
        </w:tc>
      </w:tr>
      <w:tr>
        <w:tc>
          <w:tcPr>
            <w:tcW w:type="pct" w:w="40%"/>
            <w:tcMar>
              <w:top w:type="dxa" w:w="80"/>
              <w:left w:type="dxa" w:w="100"/>
              <w:bottom w:type="dxa" w:w="80"/>
              <w:right w:type="dxa" w:w="100"/>
            </w:tcMar>
            <w:vAlign w:val="center"/>
          </w:tcPr>
          <w:p>
            <w:pPr>
              <w:jc w:val="left"/>
            </w:pPr>
            <w:r>
              <w:rPr>
                <w:b w:val="false"/>
                <w:bCs w:val="false"/>
                <w:color w:val="000000"/>
                <w:sz w:val="19"/>
                <w:szCs w:val="19"/>
              </w:rPr>
              <w:t xml:space="preserve">Race/ethnicity: Asian (ref: White)</w:t>
            </w:r>
          </w:p>
        </w:tc>
        <w:tc>
          <w:tcPr>
            <w:tcW w:type="pct" w:w="15%"/>
            <w:tcMar>
              <w:top w:type="dxa" w:w="80"/>
              <w:left w:type="dxa" w:w="100"/>
              <w:bottom w:type="dxa" w:w="80"/>
              <w:right w:type="dxa" w:w="100"/>
            </w:tcMar>
            <w:vAlign w:val="center"/>
          </w:tcPr>
          <w:p>
            <w:pPr>
              <w:jc w:val="center"/>
            </w:pPr>
            <w:r>
              <w:rPr>
                <w:b w:val="false"/>
                <w:bCs w:val="false"/>
                <w:color w:val="000000"/>
                <w:sz w:val="19"/>
                <w:szCs w:val="19"/>
              </w:rPr>
              <w:t xml:space="preserve">1.16</w:t>
            </w:r>
          </w:p>
        </w:tc>
        <w:tc>
          <w:tcPr>
            <w:tcW w:type="pct" w:w="25%"/>
            <w:tcMar>
              <w:top w:type="dxa" w:w="80"/>
              <w:left w:type="dxa" w:w="100"/>
              <w:bottom w:type="dxa" w:w="80"/>
              <w:right w:type="dxa" w:w="100"/>
            </w:tcMar>
            <w:vAlign w:val="center"/>
          </w:tcPr>
          <w:p>
            <w:pPr>
              <w:jc w:val="center"/>
            </w:pPr>
            <w:r>
              <w:rPr>
                <w:b w:val="false"/>
                <w:bCs w:val="false"/>
                <w:color w:val="000000"/>
                <w:sz w:val="19"/>
                <w:szCs w:val="19"/>
              </w:rPr>
              <w:t xml:space="preserve">0.995-1.352</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0.057</w:t>
            </w:r>
          </w:p>
        </w:tc>
      </w:tr>
    </w:tbl>
    <w:p>
      <w:pPr>
        <w:spacing w:after="160" w:line="276"/>
      </w:pPr>
      <w:r>
        <w:rPr>
          <w:i/>
          <w:iCs/>
          <w:color w:val="595959"/>
          <w:sz w:val="18"/>
          <w:szCs w:val="18"/>
        </w:rPr>
        <w:t xml:space="preserve">Table 2. Adjusted odds ratios from the final multivariable logistic regression model (backward AIC-selected), test-set-independent training sample, n = 32,576. Reference categories noted in parentheses. Full coefficient table (all 32 terms) in Appendix A.</w:t>
      </w:r>
    </w:p>
    <w:p>
      <w:pPr>
        <w:spacing w:after="60" w:before="120"/>
        <w:jc w:val="center"/>
      </w:pPr>
      <w:r>
        <w:drawing>
          <wp:inline distT="0" distB="0" distL="0" distR="0">
            <wp:extent cx="5334000"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619625"/>
                    </a:xfrm>
                    <a:prstGeom prst="rect">
                      <a:avLst/>
                    </a:prstGeom>
                  </pic:spPr>
                </pic:pic>
              </a:graphicData>
            </a:graphic>
          </wp:inline>
        </w:drawing>
      </w:r>
    </w:p>
    <w:p>
      <w:pPr>
        <w:spacing w:after="240"/>
        <w:jc w:val="center"/>
      </w:pPr>
      <w:r>
        <w:rPr>
          <w:i/>
          <w:iCs/>
          <w:color w:val="595959"/>
          <w:sz w:val="18"/>
          <w:szCs w:val="18"/>
        </w:rPr>
        <w:t xml:space="preserve">Figure 4. Forest plot of the top 15 predictors by adjusted odds ratio magnitude, with 95% confidence intervals. Reference line at OR = 1.0.</w:t>
      </w:r>
    </w:p>
    <w:p>
      <w:pPr>
        <w:pStyle w:val="Heading2"/>
        <w:spacing w:after="150" w:before="300"/>
      </w:pPr>
      <w:r>
        <w:t xml:space="preserve">3.4 Model Diagnostics and Out-of-Sample Validation</w:t>
      </w:r>
    </w:p>
    <w:p>
      <w:pPr>
        <w:spacing w:after="160" w:line="276"/>
      </w:pPr>
      <w:r>
        <w:rPr>
          <w:sz w:val="22"/>
          <w:szCs w:val="22"/>
        </w:rPr>
        <w:t xml:space="preserve">The final model was evaluated on the held-out 25% test set (n = 10,860), which played no role in model fitting or variable selection. The model achieved an AUC of 0.7107, indicating acceptable-to-good discrimination between respondents with and without SCD — meaningfully better than chance (AUC = 0.5) though, expectedly, imperfect given that SCD is a self-reported, multiply-determined outcome not fully captured by administratively available covariates. Ten-fold cross-validation on the training data produced a consistent mean AUC of 0.6868 (SD = 0.01), indicating the model's performance is stable and not an artifact of a single train/test split.</w:t>
      </w:r>
    </w:p>
    <w:p>
      <w:pPr>
        <w:spacing w:after="60" w:before="120"/>
        <w:jc w:val="center"/>
      </w:pPr>
      <w:r>
        <w:drawing>
          <wp:inline distT="0" distB="0" distL="0" distR="0">
            <wp:extent cx="5334000" cy="48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848225"/>
                    </a:xfrm>
                    <a:prstGeom prst="rect">
                      <a:avLst/>
                    </a:prstGeom>
                  </pic:spPr>
                </pic:pic>
              </a:graphicData>
            </a:graphic>
          </wp:inline>
        </w:drawing>
      </w:r>
    </w:p>
    <w:p>
      <w:pPr>
        <w:spacing w:after="240"/>
        <w:jc w:val="center"/>
      </w:pPr>
      <w:r>
        <w:rPr>
          <w:i/>
          <w:iCs/>
          <w:color w:val="595959"/>
          <w:sz w:val="18"/>
          <w:szCs w:val="18"/>
        </w:rPr>
        <w:t xml:space="preserve">Figure 5. Receiver operating characteristic (ROC) curve, held-out test set.</w:t>
      </w:r>
    </w:p>
    <w:p>
      <w:pPr>
        <w:spacing w:after="160" w:line="276"/>
      </w:pPr>
      <w:r>
        <w:rPr>
          <w:sz w:val="22"/>
          <w:szCs w:val="22"/>
        </w:rPr>
        <w:t xml:space="preserve">Calibration — the agreement between predicted and observed risk — was strong across the full range of predicted risk deciles (Figure 6), with predicted and observed prevalence tracking closely (Brier score = 0.1015, where 0 indicates perfect calibration). At the Youden-optimal classification threshold (predicted probability ≥ 0.125), the model achieved sensitivity of 65.1%, specificity of 66.6%, positive predictive value of 21.9%, and — most relevant for a population screening tool used to rule respondents in for further assessment — negative predictive value of 93.0%. The high NPV indicates the model is particularly reliable at identifying respondents who are not currently experiencing elevated SCD risk, supporting its use to efficiently exclude low-risk individuals from more resource-intensive follow-up.</w:t>
      </w:r>
    </w:p>
    <w:p>
      <w:pPr>
        <w:spacing w:after="60" w:before="120"/>
        <w:jc w:val="center"/>
      </w:pPr>
      <w:r>
        <w:drawing>
          <wp:inline distT="0" distB="0" distL="0" distR="0">
            <wp:extent cx="5334000" cy="48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848225"/>
                    </a:xfrm>
                    <a:prstGeom prst="rect">
                      <a:avLst/>
                    </a:prstGeom>
                  </pic:spPr>
                </pic:pic>
              </a:graphicData>
            </a:graphic>
          </wp:inline>
        </w:drawing>
      </w:r>
    </w:p>
    <w:p>
      <w:pPr>
        <w:spacing w:after="240"/>
        <w:jc w:val="center"/>
      </w:pPr>
      <w:r>
        <w:rPr>
          <w:i/>
          <w:iCs/>
          <w:color w:val="595959"/>
          <w:sz w:val="18"/>
          <w:szCs w:val="18"/>
        </w:rPr>
        <w:t xml:space="preserve">Figure 6. Calibration plot comparing mean predicted risk to observed SCD prevalence across ten risk deciles. Points near the diagonal reference line indicate good calibration.</w:t>
      </w:r>
    </w:p>
    <w:p>
      <w:pPr>
        <w:pStyle w:val="Heading2"/>
        <w:spacing w:after="150" w:before="300"/>
      </w:pPr>
      <w:r>
        <w:t xml:space="preserve">3.5 Population Risk Stratification</w:t>
      </w:r>
    </w:p>
    <w:p>
      <w:pPr>
        <w:spacing w:after="160" w:line="276"/>
      </w:pPr>
      <w:r>
        <w:rPr>
          <w:sz w:val="22"/>
          <w:szCs w:val="22"/>
        </w:rPr>
        <w:t xml:space="preserve">Applying the validated model to the full analytic sample (N = 43,436) produced four risk tiers with a strong observed-risk gradient: Low (27.1% of sample, 5.2% observed SCD), Moderate (41.7%, 10%), High (19.3%, 17.1%), and Very High (11.9%, 30.8%). This represents roughly a six-fold difference in observed SCD rates between the Low and Very High tiers, demonstrating the model's practical utility for prioritizing a finite pool of screening and outreach resources toward the ~31% of the population (High + Very High combined) carrying a disproportionate share of population SCD burden.</w:t>
      </w:r>
    </w:p>
    <w:p>
      <w:pPr>
        <w:spacing w:after="160" w:line="276"/>
      </w:pPr>
      <w:r>
        <w:rPr>
          <w:sz w:val="22"/>
          <w:szCs w:val="22"/>
        </w:rPr>
        <w:t xml:space="preserve">Note on geographic variation: state was not included as an independent predictor because it was not a meaningful driver of risk in this dataset once demographic and clinical covariates were accounted for (consistent with real BRFSS analyses, where most state-level variation in SCD reflects the demographic composition of each state's population rather than an independent geographic effect). State-level high-risk-tier shares (Appendix A) should therefore be interpreted as reflecting each state's underlying population composition rather than an independent state effect, and are presented for illustrative resource-planning purposes only.</w:t>
      </w:r>
    </w:p>
    <w:p>
      <w:pPr>
        <w:spacing w:after="60" w:before="120"/>
        <w:jc w:val="center"/>
      </w:pPr>
      <w:r>
        <w:drawing>
          <wp:inline distT="0" distB="0" distL="0" distR="0">
            <wp:extent cx="5334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81325"/>
                    </a:xfrm>
                    <a:prstGeom prst="rect">
                      <a:avLst/>
                    </a:prstGeom>
                  </pic:spPr>
                </pic:pic>
              </a:graphicData>
            </a:graphic>
          </wp:inline>
        </w:drawing>
      </w:r>
    </w:p>
    <w:p>
      <w:pPr>
        <w:spacing w:after="240"/>
        <w:jc w:val="center"/>
      </w:pPr>
      <w:r>
        <w:rPr>
          <w:i/>
          <w:iCs/>
          <w:color w:val="595959"/>
          <w:sz w:val="18"/>
          <w:szCs w:val="18"/>
        </w:rPr>
        <w:t xml:space="preserve">Figure 7. Distribution of the population across predicted risk tiers (left) and the ten states with the largest share of adults 45+ in the High/Very-High risk tiers (right).</w:t>
      </w:r>
    </w:p>
    <w:p>
      <w:pPr>
        <w:pStyle w:val="Heading2"/>
        <w:spacing w:after="150" w:before="300"/>
      </w:pPr>
      <w:r>
        <w:t xml:space="preserve">3.6 Population Attributable Risk of Modifiable Factors</w:t>
      </w:r>
    </w:p>
    <w:p>
      <w:pPr>
        <w:spacing w:after="160" w:line="276"/>
      </w:pPr>
      <w:r>
        <w:rPr>
          <w:sz w:val="22"/>
          <w:szCs w:val="22"/>
        </w:rPr>
        <w:t xml:space="preserve">To prioritize modifiable-risk-factor interventions by expected population impact, Population Attributable Risk (PAR%) was estimated for six behavioral and social risk factors (Table 3, Figure 8). Depression carried by far the largest estimated population impact, plausibly accounting for 11.8% of SCD cases in this population given its combination of moderate prevalence (19.5%) and strong adjusted association (OR = 1.689). Physical inactivity and social isolation followed, each attributable to roughly 5-7% of cases; their high prevalence in the general population (24.8% and 18.8%, respectively) means even modest reductions could yield meaningful population-level benefit despite more moderate individual-level odds ratios.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40"/>
        <w:gridCol w:w="1980"/>
        <w:gridCol w:w="1800"/>
        <w:gridCol w:w="1980"/>
      </w:tblGrid>
      <w:tr>
        <w:tc>
          <w:tcPr>
            <w:tcW w:type="pct" w:w="36%"/>
            <w:shd w:fill="1F3B4D" w:val="clear"/>
            <w:tcMar>
              <w:top w:type="dxa" w:w="80"/>
              <w:left w:type="dxa" w:w="100"/>
              <w:bottom w:type="dxa" w:w="80"/>
              <w:right w:type="dxa" w:w="100"/>
            </w:tcMar>
            <w:vAlign w:val="center"/>
          </w:tcPr>
          <w:p>
            <w:pPr>
              <w:jc w:val="center"/>
            </w:pPr>
            <w:r>
              <w:rPr>
                <w:b/>
                <w:bCs/>
                <w:color w:val="FFFFFF"/>
                <w:sz w:val="19"/>
                <w:szCs w:val="19"/>
              </w:rPr>
              <w:t xml:space="preserve">Modifiable Factor</w:t>
            </w:r>
          </w:p>
        </w:tc>
        <w:tc>
          <w:tcPr>
            <w:tcW w:type="pct" w:w="22%"/>
            <w:shd w:fill="1F3B4D" w:val="clear"/>
            <w:tcMar>
              <w:top w:type="dxa" w:w="80"/>
              <w:left w:type="dxa" w:w="100"/>
              <w:bottom w:type="dxa" w:w="80"/>
              <w:right w:type="dxa" w:w="100"/>
            </w:tcMar>
            <w:vAlign w:val="center"/>
          </w:tcPr>
          <w:p>
            <w:pPr>
              <w:jc w:val="center"/>
            </w:pPr>
            <w:r>
              <w:rPr>
                <w:b/>
                <w:bCs/>
                <w:color w:val="FFFFFF"/>
                <w:sz w:val="19"/>
                <w:szCs w:val="19"/>
              </w:rPr>
              <w:t xml:space="preserve">Prevalence</w:t>
            </w:r>
          </w:p>
        </w:tc>
        <w:tc>
          <w:tcPr>
            <w:tcW w:type="pct" w:w="20%"/>
            <w:shd w:fill="1F3B4D" w:val="clear"/>
            <w:tcMar>
              <w:top w:type="dxa" w:w="80"/>
              <w:left w:type="dxa" w:w="100"/>
              <w:bottom w:type="dxa" w:w="80"/>
              <w:right w:type="dxa" w:w="100"/>
            </w:tcMar>
            <w:vAlign w:val="center"/>
          </w:tcPr>
          <w:p>
            <w:pPr>
              <w:jc w:val="center"/>
            </w:pPr>
            <w:r>
              <w:rPr>
                <w:b/>
                <w:bCs/>
                <w:color w:val="FFFFFF"/>
                <w:sz w:val="19"/>
                <w:szCs w:val="19"/>
              </w:rPr>
              <w:t xml:space="preserve">Adj. OR</w:t>
            </w:r>
          </w:p>
        </w:tc>
        <w:tc>
          <w:tcPr>
            <w:tcW w:type="pct" w:w="22%"/>
            <w:shd w:fill="1F3B4D" w:val="clear"/>
            <w:tcMar>
              <w:top w:type="dxa" w:w="80"/>
              <w:left w:type="dxa" w:w="100"/>
              <w:bottom w:type="dxa" w:w="80"/>
              <w:right w:type="dxa" w:w="100"/>
            </w:tcMar>
            <w:vAlign w:val="center"/>
          </w:tcPr>
          <w:p>
            <w:pPr>
              <w:jc w:val="center"/>
            </w:pPr>
            <w:r>
              <w:rPr>
                <w:b/>
                <w:bCs/>
                <w:color w:val="FFFFFF"/>
                <w:sz w:val="19"/>
                <w:szCs w:val="19"/>
              </w:rPr>
              <w:t xml:space="preserve">PAR %</w:t>
            </w:r>
          </w:p>
        </w:tc>
      </w:tr>
      <w:tr>
        <w:tc>
          <w:tcPr>
            <w:tcW w:type="pct" w:w="36%"/>
            <w:tcMar>
              <w:top w:type="dxa" w:w="80"/>
              <w:left w:type="dxa" w:w="100"/>
              <w:bottom w:type="dxa" w:w="80"/>
              <w:right w:type="dxa" w:w="100"/>
            </w:tcMar>
            <w:vAlign w:val="center"/>
          </w:tcPr>
          <w:p>
            <w:pPr>
              <w:jc w:val="left"/>
            </w:pPr>
            <w:r>
              <w:rPr>
                <w:b w:val="false"/>
                <w:bCs w:val="false"/>
                <w:color w:val="000000"/>
                <w:sz w:val="19"/>
                <w:szCs w:val="19"/>
              </w:rPr>
              <w:t xml:space="preserve">Depression</w:t>
            </w:r>
          </w:p>
        </w:tc>
        <w:tc>
          <w:tcPr>
            <w:tcW w:type="pct" w:w="22%"/>
            <w:tcMar>
              <w:top w:type="dxa" w:w="80"/>
              <w:left w:type="dxa" w:w="100"/>
              <w:bottom w:type="dxa" w:w="80"/>
              <w:right w:type="dxa" w:w="100"/>
            </w:tcMar>
            <w:vAlign w:val="center"/>
          </w:tcPr>
          <w:p>
            <w:pPr>
              <w:jc w:val="center"/>
            </w:pPr>
            <w:r>
              <w:rPr>
                <w:b w:val="false"/>
                <w:bCs w:val="false"/>
                <w:color w:val="000000"/>
                <w:sz w:val="19"/>
                <w:szCs w:val="19"/>
              </w:rPr>
              <w:t xml:space="preserve">19.5%</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1.689</w:t>
            </w:r>
          </w:p>
        </w:tc>
        <w:tc>
          <w:tcPr>
            <w:tcW w:type="pct" w:w="22%"/>
            <w:tcMar>
              <w:top w:type="dxa" w:w="80"/>
              <w:left w:type="dxa" w:w="100"/>
              <w:bottom w:type="dxa" w:w="80"/>
              <w:right w:type="dxa" w:w="100"/>
            </w:tcMar>
            <w:vAlign w:val="center"/>
          </w:tcPr>
          <w:p>
            <w:pPr>
              <w:jc w:val="center"/>
            </w:pPr>
            <w:r>
              <w:rPr>
                <w:b w:val="false"/>
                <w:bCs w:val="false"/>
                <w:color w:val="000000"/>
                <w:sz w:val="19"/>
                <w:szCs w:val="19"/>
              </w:rPr>
              <w:t xml:space="preserve">11.8%</w:t>
            </w:r>
          </w:p>
        </w:tc>
      </w:tr>
      <w:tr>
        <w:tc>
          <w:tcPr>
            <w:tcW w:type="pct" w:w="36%"/>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Physical inactivity</w:t>
            </w:r>
          </w:p>
        </w:tc>
        <w:tc>
          <w:tcPr>
            <w:tcW w:type="pct" w:w="2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24.8%</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1.284</w:t>
            </w:r>
          </w:p>
        </w:tc>
        <w:tc>
          <w:tcPr>
            <w:tcW w:type="pct" w:w="2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6.6%</w:t>
            </w:r>
          </w:p>
        </w:tc>
      </w:tr>
      <w:tr>
        <w:tc>
          <w:tcPr>
            <w:tcW w:type="pct" w:w="36%"/>
            <w:tcMar>
              <w:top w:type="dxa" w:w="80"/>
              <w:left w:type="dxa" w:w="100"/>
              <w:bottom w:type="dxa" w:w="80"/>
              <w:right w:type="dxa" w:w="100"/>
            </w:tcMar>
            <w:vAlign w:val="center"/>
          </w:tcPr>
          <w:p>
            <w:pPr>
              <w:jc w:val="left"/>
            </w:pPr>
            <w:r>
              <w:rPr>
                <w:b w:val="false"/>
                <w:bCs w:val="false"/>
                <w:color w:val="000000"/>
                <w:sz w:val="19"/>
                <w:szCs w:val="19"/>
              </w:rPr>
              <w:t xml:space="preserve">Social isolation</w:t>
            </w:r>
          </w:p>
        </w:tc>
        <w:tc>
          <w:tcPr>
            <w:tcW w:type="pct" w:w="22%"/>
            <w:tcMar>
              <w:top w:type="dxa" w:w="80"/>
              <w:left w:type="dxa" w:w="100"/>
              <w:bottom w:type="dxa" w:w="80"/>
              <w:right w:type="dxa" w:w="100"/>
            </w:tcMar>
            <w:vAlign w:val="center"/>
          </w:tcPr>
          <w:p>
            <w:pPr>
              <w:jc w:val="center"/>
            </w:pPr>
            <w:r>
              <w:rPr>
                <w:b w:val="false"/>
                <w:bCs w:val="false"/>
                <w:color w:val="000000"/>
                <w:sz w:val="19"/>
                <w:szCs w:val="19"/>
              </w:rPr>
              <w:t xml:space="preserve">18.8%</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1.295</w:t>
            </w:r>
          </w:p>
        </w:tc>
        <w:tc>
          <w:tcPr>
            <w:tcW w:type="pct" w:w="22%"/>
            <w:tcMar>
              <w:top w:type="dxa" w:w="80"/>
              <w:left w:type="dxa" w:w="100"/>
              <w:bottom w:type="dxa" w:w="80"/>
              <w:right w:type="dxa" w:w="100"/>
            </w:tcMar>
            <w:vAlign w:val="center"/>
          </w:tcPr>
          <w:p>
            <w:pPr>
              <w:jc w:val="center"/>
            </w:pPr>
            <w:r>
              <w:rPr>
                <w:b w:val="false"/>
                <w:bCs w:val="false"/>
                <w:color w:val="000000"/>
                <w:sz w:val="19"/>
                <w:szCs w:val="19"/>
              </w:rPr>
              <w:t xml:space="preserve">5.3%</w:t>
            </w:r>
          </w:p>
        </w:tc>
      </w:tr>
      <w:tr>
        <w:tc>
          <w:tcPr>
            <w:tcW w:type="pct" w:w="36%"/>
            <w:shd w:fill="F2F2F2" w:val="clear"/>
            <w:tcMar>
              <w:top w:type="dxa" w:w="80"/>
              <w:left w:type="dxa" w:w="100"/>
              <w:bottom w:type="dxa" w:w="80"/>
              <w:right w:type="dxa" w:w="100"/>
            </w:tcMar>
            <w:vAlign w:val="center"/>
          </w:tcPr>
          <w:p>
            <w:pPr>
              <w:jc w:val="left"/>
            </w:pPr>
            <w:r>
              <w:rPr>
                <w:b w:val="false"/>
                <w:bCs w:val="false"/>
                <w:color w:val="000000"/>
                <w:sz w:val="19"/>
                <w:szCs w:val="19"/>
              </w:rPr>
              <w:t xml:space="preserve">Hearing loss (untreated)</w:t>
            </w:r>
          </w:p>
        </w:tc>
        <w:tc>
          <w:tcPr>
            <w:tcW w:type="pct" w:w="2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14.4%</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1.336</w:t>
            </w:r>
          </w:p>
        </w:tc>
        <w:tc>
          <w:tcPr>
            <w:tcW w:type="pct" w:w="2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4.6%</w:t>
            </w:r>
          </w:p>
        </w:tc>
      </w:tr>
      <w:tr>
        <w:tc>
          <w:tcPr>
            <w:tcW w:type="pct" w:w="36%"/>
            <w:tcMar>
              <w:top w:type="dxa" w:w="80"/>
              <w:left w:type="dxa" w:w="100"/>
              <w:bottom w:type="dxa" w:w="80"/>
              <w:right w:type="dxa" w:w="100"/>
            </w:tcMar>
            <w:vAlign w:val="center"/>
          </w:tcPr>
          <w:p>
            <w:pPr>
              <w:jc w:val="left"/>
            </w:pPr>
            <w:r>
              <w:rPr>
                <w:b w:val="false"/>
                <w:bCs w:val="false"/>
                <w:color w:val="000000"/>
                <w:sz w:val="19"/>
                <w:szCs w:val="19"/>
              </w:rPr>
              <w:t xml:space="preserve">Insufficient sleep (&lt;7 hrs)</w:t>
            </w:r>
          </w:p>
        </w:tc>
        <w:tc>
          <w:tcPr>
            <w:tcW w:type="pct" w:w="22%"/>
            <w:tcMar>
              <w:top w:type="dxa" w:w="80"/>
              <w:left w:type="dxa" w:w="100"/>
              <w:bottom w:type="dxa" w:w="80"/>
              <w:right w:type="dxa" w:w="100"/>
            </w:tcMar>
            <w:vAlign w:val="center"/>
          </w:tcPr>
          <w:p>
            <w:pPr>
              <w:jc w:val="center"/>
            </w:pPr>
            <w:r>
              <w:rPr>
                <w:b w:val="false"/>
                <w:bCs w:val="false"/>
                <w:color w:val="000000"/>
                <w:sz w:val="19"/>
                <w:szCs w:val="19"/>
              </w:rPr>
              <w:t xml:space="preserve">33.9%</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1.135</w:t>
            </w:r>
          </w:p>
        </w:tc>
        <w:tc>
          <w:tcPr>
            <w:tcW w:type="pct" w:w="22%"/>
            <w:tcMar>
              <w:top w:type="dxa" w:w="80"/>
              <w:left w:type="dxa" w:w="100"/>
              <w:bottom w:type="dxa" w:w="80"/>
              <w:right w:type="dxa" w:w="100"/>
            </w:tcMar>
            <w:vAlign w:val="center"/>
          </w:tcPr>
          <w:p>
            <w:pPr>
              <w:jc w:val="center"/>
            </w:pPr>
            <w:r>
              <w:rPr>
                <w:b w:val="false"/>
                <w:bCs w:val="false"/>
                <w:color w:val="000000"/>
                <w:sz w:val="19"/>
                <w:szCs w:val="19"/>
              </w:rPr>
              <w:t xml:space="preserve">4.4%</w:t>
            </w:r>
          </w:p>
        </w:tc>
      </w:tr>
      <w:tr>
        <w:tc>
          <w:tcPr>
            <w:tcW w:type="pct" w:w="36%"/>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Current smoking</w:t>
            </w:r>
          </w:p>
        </w:tc>
        <w:tc>
          <w:tcPr>
            <w:tcW w:type="pct" w:w="2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14.8%</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1.152</w:t>
            </w:r>
          </w:p>
        </w:tc>
        <w:tc>
          <w:tcPr>
            <w:tcW w:type="pct" w:w="22%"/>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2.2%</w:t>
            </w:r>
          </w:p>
        </w:tc>
      </w:tr>
    </w:tbl>
    <w:p>
      <w:pPr>
        <w:spacing w:after="160" w:line="276"/>
      </w:pPr>
      <w:r>
        <w:rPr>
          <w:i/>
          <w:iCs/>
          <w:color w:val="595959"/>
          <w:sz w:val="18"/>
          <w:szCs w:val="18"/>
        </w:rPr>
        <w:t xml:space="preserve">Table 3. Population Attributable Risk (PAR%) for modifiable behavioral and social risk factors, ranked by estimated population impact.</w:t>
      </w:r>
    </w:p>
    <w:p>
      <w:pPr>
        <w:spacing w:after="60" w:before="12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619500"/>
                    </a:xfrm>
                    <a:prstGeom prst="rect">
                      <a:avLst/>
                    </a:prstGeom>
                  </pic:spPr>
                </pic:pic>
              </a:graphicData>
            </a:graphic>
          </wp:inline>
        </w:drawing>
      </w:r>
    </w:p>
    <w:p>
      <w:pPr>
        <w:spacing w:after="240"/>
        <w:jc w:val="center"/>
      </w:pPr>
      <w:r>
        <w:rPr>
          <w:i/>
          <w:iCs/>
          <w:color w:val="595959"/>
          <w:sz w:val="18"/>
          <w:szCs w:val="18"/>
        </w:rPr>
        <w:t xml:space="preserve">Figure 8. Estimated share of SCD cases attributable to each modifiable risk factor, evaluated individually.</w:t>
      </w:r>
    </w:p>
    <w:p>
      <w:pPr>
        <w:pStyle w:val="Heading1"/>
        <w:spacing w:after="200" w:before="400"/>
      </w:pPr>
      <w:r>
        <w:t xml:space="preserve">4. Public Health Recommendations</w:t>
      </w:r>
    </w:p>
    <w:p>
      <w:pPr>
        <w:spacing w:after="160" w:line="276"/>
      </w:pPr>
      <w:r>
        <w:rPr>
          <w:sz w:val="22"/>
          <w:szCs w:val="22"/>
        </w:rPr>
        <w:t xml:space="preserve">The following recommendations are prioritized by estimated population impact (informed by PAR% and risk-tier analysis), feasibility of implementation through existing public health infrastructure, and alignment with CDC's Healthy Brain Initiative Road Map priorities.</w:t>
      </w:r>
    </w:p>
    <w:p>
      <w:pPr>
        <w:spacing w:after="60" w:before="200"/>
      </w:pPr>
      <w:r>
        <w:rPr>
          <w:b/>
          <w:bCs/>
          <w:color w:val="1F3B4D"/>
          <w:sz w:val="22"/>
          <w:szCs w:val="22"/>
        </w:rPr>
        <w:t xml:space="preserve">1. Integrate depression screening into routine care for adults 45+.</w:t>
      </w:r>
    </w:p>
    <w:p>
      <w:pPr>
        <w:spacing w:after="160" w:line="276"/>
      </w:pPr>
      <w:r>
        <w:rPr>
          <w:sz w:val="22"/>
          <w:szCs w:val="22"/>
        </w:rPr>
        <w:t xml:space="preserve">Depression carries the single largest estimated population attributable risk for SCD (11.8%) in this analysis. Embedding validated depression screeners (e.g., PHQ-2/PHQ-9) into annual wellness visits and Area Agency on Aging touchpoints — paired with referral pathways to treatment — represents the highest-leverage single intervention identified.</w:t>
      </w:r>
    </w:p>
    <w:p>
      <w:pPr>
        <w:spacing w:after="60" w:before="200"/>
      </w:pPr>
      <w:r>
        <w:rPr>
          <w:b/>
          <w:bCs/>
          <w:color w:val="1F3B4D"/>
          <w:sz w:val="22"/>
          <w:szCs w:val="22"/>
        </w:rPr>
        <w:t xml:space="preserve">2. Target the ~31% "High/Very High" risk-tier population for proactive cognitive health outreach.</w:t>
      </w:r>
    </w:p>
    <w:p>
      <w:pPr>
        <w:spacing w:after="160" w:line="276"/>
      </w:pPr>
      <w:r>
        <w:rPr>
          <w:sz w:val="22"/>
          <w:szCs w:val="22"/>
        </w:rPr>
        <w:t xml:space="preserve">Rather than universal screening, health departments and health systems can use a model of this kind to prioritize outreach — cognitive health education, caregiver-support referrals, and provider-discussion prompts — toward the subgroup of adults carrying a roughly six-fold elevated observed SCD rate relative to the lowest-risk tier, improving the efficiency of constrained public health budgets.</w:t>
      </w:r>
    </w:p>
    <w:p>
      <w:pPr>
        <w:spacing w:after="60" w:before="200"/>
      </w:pPr>
      <w:r>
        <w:rPr>
          <w:b/>
          <w:bCs/>
          <w:color w:val="1F3B4D"/>
          <w:sz w:val="22"/>
          <w:szCs w:val="22"/>
        </w:rPr>
        <w:t xml:space="preserve">3. Expand combined social-isolation and physical-activity programming for older and living-alone adults.</w:t>
      </w:r>
    </w:p>
    <w:p>
      <w:pPr>
        <w:spacing w:after="160" w:line="276"/>
      </w:pPr>
      <w:r>
        <w:rPr>
          <w:sz w:val="22"/>
          <w:szCs w:val="22"/>
        </w:rPr>
        <w:t xml:space="preserve">Social isolation and physical inactivity together account for an estimated 11.9% of population SCD burden and are both markedly elevated among adults living alone. Community-based programs that combine group physical activity with structured social contact (e.g., senior center walking groups, congregate meal programs) address two modifiable risk factors simultaneously.</w:t>
      </w:r>
    </w:p>
    <w:p>
      <w:pPr>
        <w:spacing w:after="60" w:before="200"/>
      </w:pPr>
      <w:r>
        <w:rPr>
          <w:b/>
          <w:bCs/>
          <w:color w:val="1F3B4D"/>
          <w:sz w:val="22"/>
          <w:szCs w:val="22"/>
        </w:rPr>
        <w:t xml:space="preserve">4. Promote hearing-loss screening and treatment access as a cognitive health intervention, not solely an audiology issue.</w:t>
      </w:r>
    </w:p>
    <w:p>
      <w:pPr>
        <w:spacing w:after="160" w:line="276"/>
      </w:pPr>
      <w:r>
        <w:rPr>
          <w:sz w:val="22"/>
          <w:szCs w:val="22"/>
        </w:rPr>
        <w:t xml:space="preserve">Untreated hearing loss showed a significant independent association with SCD (OR = 1.336) and an estimated 4.6% PAR. Given growing clinical evidence (independent of this analysis) linking hearing loss to dementia risk, and the recent expansion of over-the-counter hearing aid access, public health messaging linking hearing health to cognitive health could improve both screening uptake and treatment adherence.</w:t>
      </w:r>
    </w:p>
    <w:p>
      <w:pPr>
        <w:spacing w:after="60" w:before="200"/>
      </w:pPr>
      <w:r>
        <w:rPr>
          <w:b/>
          <w:bCs/>
          <w:color w:val="1F3B4D"/>
          <w:sz w:val="22"/>
          <w:szCs w:val="22"/>
        </w:rPr>
        <w:t xml:space="preserve">5. Improve provider-discussion rates for adults reporting SCD symptoms.</w:t>
      </w:r>
    </w:p>
    <w:p>
      <w:pPr>
        <w:spacing w:after="160" w:line="276"/>
      </w:pPr>
      <w:r>
        <w:rPr>
          <w:sz w:val="22"/>
          <w:szCs w:val="22"/>
        </w:rPr>
        <w:t xml:space="preserve">Consistent with national CDC findings, fewer than half of respondents with SCD in this dataset discussed symptoms with a health care provider. Clinical decision-support prompts and patient-facing educational materials normalizing these conversations could improve early-detection rates and connect symptomatic adults to appropriate clinical evaluation and community resources sooner.</w:t>
      </w:r>
    </w:p>
    <w:p>
      <w:pPr>
        <w:pStyle w:val="Heading1"/>
        <w:spacing w:after="200" w:before="400"/>
      </w:pPr>
      <w:r>
        <w:t xml:space="preserve">5. Limitations</w:t>
      </w:r>
    </w:p>
    <w:p>
      <w:pPr>
        <w:pStyle w:val="ListParagraph"/>
        <w:numPr>
          <w:ilvl w:val="0"/>
          <w:numId w:val="1"/>
        </w:numPr>
        <w:spacing w:after="90"/>
      </w:pPr>
      <w:r>
        <w:rPr>
          <w:sz w:val="22"/>
          <w:szCs w:val="22"/>
        </w:rPr>
        <w:t xml:space="preserve">Simulated, calibrated data: as disclosed in Section 2.1, the underlying microdata is a calibrated simulation anchored to published CDC marginal statistics rather than restricted-use BRFSS microdata; absolute effect sizes should be interpreted as illustrative of plausible magnitudes rather than definitive population estimates. The analytic pipeline (cleaning, modeling, validation, PAR) is identical to what would be applied to authentic microdata under a CDC data use agreement.</w:t>
      </w:r>
    </w:p>
    <w:p>
      <w:pPr>
        <w:pStyle w:val="ListParagraph"/>
        <w:numPr>
          <w:ilvl w:val="0"/>
          <w:numId w:val="1"/>
        </w:numPr>
        <w:spacing w:after="90"/>
      </w:pPr>
      <w:r>
        <w:rPr>
          <w:sz w:val="22"/>
          <w:szCs w:val="22"/>
        </w:rPr>
        <w:t xml:space="preserve">Self-reported outcome: SCD is a self-reported measure, not a clinical diagnosis, and is subject to recall bias, social desirability bias, and cross-cultural variation in symptom reporting and willingness to disclose.</w:t>
      </w:r>
    </w:p>
    <w:p>
      <w:pPr>
        <w:pStyle w:val="ListParagraph"/>
        <w:numPr>
          <w:ilvl w:val="0"/>
          <w:numId w:val="1"/>
        </w:numPr>
        <w:spacing w:after="90"/>
      </w:pPr>
      <w:r>
        <w:rPr>
          <w:sz w:val="22"/>
          <w:szCs w:val="22"/>
        </w:rPr>
        <w:t xml:space="preserve">Cross-sectional design: BRFSS is a repeated cross-sectional (not longitudinal) survey; causal inference between risk factors and SCD onset is not supported by this design, and reverse causation (e.g., undiagnosed early cognitive decline affecting reported physical activity or social engagement) cannot be ruled out.</w:t>
      </w:r>
    </w:p>
    <w:p>
      <w:pPr>
        <w:pStyle w:val="ListParagraph"/>
        <w:numPr>
          <w:ilvl w:val="0"/>
          <w:numId w:val="1"/>
        </w:numPr>
        <w:spacing w:after="90"/>
      </w:pPr>
      <w:r>
        <w:rPr>
          <w:sz w:val="22"/>
          <w:szCs w:val="22"/>
        </w:rPr>
        <w:t xml:space="preserve">Modest discrimination: an AUC of ~0.71 indicates the model captures meaningful but incomplete signal; unmeasured factors (genetic risk, detailed neuropsychological history, biomarkers) likely explain additional variance not available in survey-based surveillance data.</w:t>
      </w:r>
    </w:p>
    <w:p>
      <w:pPr>
        <w:pStyle w:val="ListParagraph"/>
        <w:numPr>
          <w:ilvl w:val="0"/>
          <w:numId w:val="1"/>
        </w:numPr>
        <w:spacing w:after="90"/>
      </w:pPr>
      <w:r>
        <w:rPr>
          <w:sz w:val="22"/>
          <w:szCs w:val="22"/>
        </w:rPr>
        <w:t xml:space="preserve">Telephone survey coverage: BRFSS is administered by phone, which can underrepresent adults without landline/cell access, individuals in institutional settings, and some hard-to-reach populations, potentially limiting generalizability.</w:t>
      </w:r>
    </w:p>
    <w:p>
      <w:pPr>
        <w:pStyle w:val="ListParagraph"/>
        <w:numPr>
          <w:ilvl w:val="0"/>
          <w:numId w:val="1"/>
        </w:numPr>
        <w:spacing w:after="90"/>
      </w:pPr>
      <w:r>
        <w:rPr>
          <w:sz w:val="22"/>
          <w:szCs w:val="22"/>
        </w:rPr>
        <w:t xml:space="preserve">Geographic estimates: state-level figures reflect demographic composition rather than an independently modeled geographic risk factor, as noted in Section 3.5, and should not be interpreted as evidence of state-level policy effects.</w:t>
      </w:r>
    </w:p>
    <w:p>
      <w:pPr>
        <w:pStyle w:val="Heading1"/>
        <w:spacing w:after="200" w:before="400"/>
      </w:pPr>
      <w:r>
        <w:t xml:space="preserve">6. Conclusion</w:t>
      </w:r>
    </w:p>
    <w:p>
      <w:pPr>
        <w:spacing w:after="160" w:line="276"/>
      </w:pPr>
      <w:r>
        <w:rPr>
          <w:sz w:val="22"/>
          <w:szCs w:val="22"/>
        </w:rPr>
        <w:t xml:space="preserve">This analysis demonstrates that a transparent, fully reproducible logistic regression pipeline — built entirely in base R — can identify well-established, epidemiologically plausible predictors of subjective cognitive decline from BRFSS-structured surveillance data and translate them into a validated risk-stratification framework with genuine population health utility. With acceptable out-of-sample discrimination, strong calibration, and clear identification of high-impact modifiable risk factors — led by depression, physical inactivity, and social isolation — the approach illustrates how routinely collected public health surveillance data can support targeted, resource-efficient interventions for a population confronting a growing burden of cognitive health concerns as the U.S. population ages.</w:t>
      </w:r>
    </w:p>
    <w:p>
      <w:r>
        <w:br w:type="page"/>
      </w:r>
    </w:p>
    <w:p>
      <w:pPr>
        <w:pStyle w:val="Heading1"/>
        <w:spacing w:after="200" w:before="400"/>
      </w:pPr>
      <w:r>
        <w:t xml:space="preserve">Appendix A: Supplementary Tables</w:t>
      </w:r>
    </w:p>
    <w:p>
      <w:pPr>
        <w:pStyle w:val="Heading2"/>
        <w:spacing w:after="150" w:before="300"/>
      </w:pPr>
      <w:r>
        <w:t xml:space="preserve">A.1 Full Bivariate Chi-Square Test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00"/>
      </w:tblGrid>
      <w:tr>
        <w:tc>
          <w:tcPr>
            <w:tcW w:type="pct" w:w="40%"/>
            <w:shd w:fill="1F3B4D" w:val="clear"/>
            <w:tcMar>
              <w:top w:type="dxa" w:w="80"/>
              <w:left w:type="dxa" w:w="100"/>
              <w:bottom w:type="dxa" w:w="80"/>
              <w:right w:type="dxa" w:w="100"/>
            </w:tcMar>
            <w:vAlign w:val="center"/>
          </w:tcPr>
          <w:p>
            <w:pPr>
              <w:jc w:val="center"/>
            </w:pPr>
            <w:r>
              <w:rPr>
                <w:b/>
                <w:bCs/>
                <w:color w:val="FFFFFF"/>
                <w:sz w:val="19"/>
                <w:szCs w:val="19"/>
              </w:rPr>
              <w:t xml:space="preserve">Variable</w:t>
            </w:r>
          </w:p>
        </w:tc>
        <w:tc>
          <w:tcPr>
            <w:tcW w:type="pct" w:w="20%"/>
            <w:shd w:fill="1F3B4D" w:val="clear"/>
            <w:tcMar>
              <w:top w:type="dxa" w:w="80"/>
              <w:left w:type="dxa" w:w="100"/>
              <w:bottom w:type="dxa" w:w="80"/>
              <w:right w:type="dxa" w:w="100"/>
            </w:tcMar>
            <w:vAlign w:val="center"/>
          </w:tcPr>
          <w:p>
            <w:pPr>
              <w:jc w:val="center"/>
            </w:pPr>
            <w:r>
              <w:rPr>
                <w:b/>
                <w:bCs/>
                <w:color w:val="FFFFFF"/>
                <w:sz w:val="19"/>
                <w:szCs w:val="19"/>
              </w:rPr>
              <w:t xml:space="preserve">χ²</w:t>
            </w:r>
          </w:p>
        </w:tc>
        <w:tc>
          <w:tcPr>
            <w:tcW w:type="pct" w:w="20%"/>
            <w:shd w:fill="1F3B4D" w:val="clear"/>
            <w:tcMar>
              <w:top w:type="dxa" w:w="80"/>
              <w:left w:type="dxa" w:w="100"/>
              <w:bottom w:type="dxa" w:w="80"/>
              <w:right w:type="dxa" w:w="100"/>
            </w:tcMar>
            <w:vAlign w:val="center"/>
          </w:tcPr>
          <w:p>
            <w:pPr>
              <w:jc w:val="center"/>
            </w:pPr>
            <w:r>
              <w:rPr>
                <w:b/>
                <w:bCs/>
                <w:color w:val="FFFFFF"/>
                <w:sz w:val="19"/>
                <w:szCs w:val="19"/>
              </w:rPr>
              <w:t xml:space="preserve">df</w:t>
            </w:r>
          </w:p>
        </w:tc>
        <w:tc>
          <w:tcPr>
            <w:tcW w:type="pct" w:w="20%"/>
            <w:shd w:fill="1F3B4D" w:val="clear"/>
            <w:tcMar>
              <w:top w:type="dxa" w:w="80"/>
              <w:left w:type="dxa" w:w="100"/>
              <w:bottom w:type="dxa" w:w="80"/>
              <w:right w:type="dxa" w:w="100"/>
            </w:tcMar>
            <w:vAlign w:val="center"/>
          </w:tcPr>
          <w:p>
            <w:pPr>
              <w:jc w:val="center"/>
            </w:pPr>
            <w:r>
              <w:rPr>
                <w:b/>
                <w:bCs/>
                <w:color w:val="FFFFFF"/>
                <w:sz w:val="19"/>
                <w:szCs w:val="19"/>
              </w:rPr>
              <w:t xml:space="preserve">p-value</w:t>
            </w:r>
          </w:p>
        </w:tc>
      </w:tr>
      <w:tr>
        <w:tc>
          <w:tcPr>
            <w:tcW w:type="pct" w:w="40%"/>
            <w:tcMar>
              <w:top w:type="dxa" w:w="80"/>
              <w:left w:type="dxa" w:w="100"/>
              <w:bottom w:type="dxa" w:w="80"/>
              <w:right w:type="dxa" w:w="100"/>
            </w:tcMar>
            <w:vAlign w:val="center"/>
          </w:tcPr>
          <w:p>
            <w:pPr>
              <w:jc w:val="left"/>
            </w:pPr>
            <w:r>
              <w:rPr>
                <w:b w:val="false"/>
                <w:bCs w:val="false"/>
                <w:color w:val="000000"/>
                <w:sz w:val="19"/>
                <w:szCs w:val="19"/>
              </w:rPr>
              <w:t xml:space="preserve">age_group</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1208.3</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3</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sex</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0.8</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0.377</w:t>
            </w:r>
          </w:p>
        </w:tc>
      </w:tr>
      <w:tr>
        <w:tc>
          <w:tcPr>
            <w:tcW w:type="pct" w:w="40%"/>
            <w:tcMar>
              <w:top w:type="dxa" w:w="80"/>
              <w:left w:type="dxa" w:w="100"/>
              <w:bottom w:type="dxa" w:w="80"/>
              <w:right w:type="dxa" w:w="100"/>
            </w:tcMar>
            <w:vAlign w:val="center"/>
          </w:tcPr>
          <w:p>
            <w:pPr>
              <w:jc w:val="left"/>
            </w:pPr>
            <w:r>
              <w:rPr>
                <w:b w:val="false"/>
                <w:bCs w:val="false"/>
                <w:color w:val="000000"/>
                <w:sz w:val="19"/>
                <w:szCs w:val="19"/>
              </w:rPr>
              <w:t xml:space="preserve">race_ethnicity</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25.6</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6</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education</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102.9</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3</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tcMar>
              <w:top w:type="dxa" w:w="80"/>
              <w:left w:type="dxa" w:w="100"/>
              <w:bottom w:type="dxa" w:w="80"/>
              <w:right w:type="dxa" w:w="100"/>
            </w:tcMar>
            <w:vAlign w:val="center"/>
          </w:tcPr>
          <w:p>
            <w:pPr>
              <w:jc w:val="left"/>
            </w:pPr>
            <w:r>
              <w:rPr>
                <w:b w:val="false"/>
                <w:bCs w:val="false"/>
                <w:color w:val="000000"/>
                <w:sz w:val="19"/>
                <w:szCs w:val="19"/>
              </w:rPr>
              <w:t xml:space="preserve">income_bracket</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45.7</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4</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living_alone</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287.6</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tcMar>
              <w:top w:type="dxa" w:w="80"/>
              <w:left w:type="dxa" w:w="100"/>
              <w:bottom w:type="dxa" w:w="80"/>
              <w:right w:type="dxa" w:w="100"/>
            </w:tcMar>
            <w:vAlign w:val="center"/>
          </w:tcPr>
          <w:p>
            <w:pPr>
              <w:jc w:val="left"/>
            </w:pPr>
            <w:r>
              <w:rPr>
                <w:b w:val="false"/>
                <w:bCs w:val="false"/>
                <w:color w:val="000000"/>
                <w:sz w:val="19"/>
                <w:szCs w:val="19"/>
              </w:rPr>
              <w:t xml:space="preserve">diabetes</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180.7</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1</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hypertension</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327.8</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tcMar>
              <w:top w:type="dxa" w:w="80"/>
              <w:left w:type="dxa" w:w="100"/>
              <w:bottom w:type="dxa" w:w="80"/>
              <w:right w:type="dxa" w:w="100"/>
            </w:tcMar>
            <w:vAlign w:val="center"/>
          </w:tcPr>
          <w:p>
            <w:pPr>
              <w:jc w:val="left"/>
            </w:pPr>
            <w:r>
              <w:rPr>
                <w:b w:val="false"/>
                <w:bCs w:val="false"/>
                <w:color w:val="000000"/>
                <w:sz w:val="19"/>
                <w:szCs w:val="19"/>
              </w:rPr>
              <w:t xml:space="preserve">heart_disease</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187.4</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1</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stroke_history</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174.8</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tcMar>
              <w:top w:type="dxa" w:w="80"/>
              <w:left w:type="dxa" w:w="100"/>
              <w:bottom w:type="dxa" w:w="80"/>
              <w:right w:type="dxa" w:w="100"/>
            </w:tcMar>
            <w:vAlign w:val="center"/>
          </w:tcPr>
          <w:p>
            <w:pPr>
              <w:jc w:val="left"/>
            </w:pPr>
            <w:r>
              <w:rPr>
                <w:b w:val="false"/>
                <w:bCs w:val="false"/>
                <w:color w:val="000000"/>
                <w:sz w:val="19"/>
                <w:szCs w:val="19"/>
              </w:rPr>
              <w:t xml:space="preserve">depression</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283.1</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1</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hearing_loss</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245.8</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tcMar>
              <w:top w:type="dxa" w:w="80"/>
              <w:left w:type="dxa" w:w="100"/>
              <w:bottom w:type="dxa" w:w="80"/>
              <w:right w:type="dxa" w:w="100"/>
            </w:tcMar>
            <w:vAlign w:val="center"/>
          </w:tcPr>
          <w:p>
            <w:pPr>
              <w:jc w:val="left"/>
            </w:pPr>
            <w:r>
              <w:rPr>
                <w:b w:val="false"/>
                <w:bCs w:val="false"/>
                <w:color w:val="000000"/>
                <w:sz w:val="19"/>
                <w:szCs w:val="19"/>
              </w:rPr>
              <w:t xml:space="preserve">current_smoker</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20.7</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1</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physically_inactive</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76</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tcMar>
              <w:top w:type="dxa" w:w="80"/>
              <w:left w:type="dxa" w:w="100"/>
              <w:bottom w:type="dxa" w:w="80"/>
              <w:right w:type="dxa" w:w="100"/>
            </w:tcMar>
            <w:vAlign w:val="center"/>
          </w:tcPr>
          <w:p>
            <w:pPr>
              <w:jc w:val="left"/>
            </w:pPr>
            <w:r>
              <w:rPr>
                <w:b w:val="false"/>
                <w:bCs w:val="false"/>
                <w:color w:val="000000"/>
                <w:sz w:val="19"/>
                <w:szCs w:val="19"/>
              </w:rPr>
              <w:t xml:space="preserve">social_isolation</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101.8</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1</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4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comorbidity_burden</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712.6</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3</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&lt;0.001</w:t>
            </w:r>
          </w:p>
        </w:tc>
      </w:tr>
    </w:tbl>
    <w:p>
      <w:pPr>
        <w:pStyle w:val="Heading2"/>
        <w:spacing w:after="150" w:before="300"/>
      </w:pPr>
      <w:r>
        <w:t xml:space="preserve">A.2 Full Multivariable Model Coefficient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20"/>
        <w:gridCol w:w="1440"/>
        <w:gridCol w:w="2340"/>
        <w:gridCol w:w="1800"/>
      </w:tblGrid>
      <w:tr>
        <w:tc>
          <w:tcPr>
            <w:tcW w:type="pct" w:w="38%"/>
            <w:shd w:fill="1F3B4D" w:val="clear"/>
            <w:tcMar>
              <w:top w:type="dxa" w:w="80"/>
              <w:left w:type="dxa" w:w="100"/>
              <w:bottom w:type="dxa" w:w="80"/>
              <w:right w:type="dxa" w:w="100"/>
            </w:tcMar>
            <w:vAlign w:val="center"/>
          </w:tcPr>
          <w:p>
            <w:pPr>
              <w:jc w:val="center"/>
            </w:pPr>
            <w:r>
              <w:rPr>
                <w:b/>
                <w:bCs/>
                <w:color w:val="FFFFFF"/>
                <w:sz w:val="19"/>
                <w:szCs w:val="19"/>
              </w:rPr>
              <w:t xml:space="preserve">Term</w:t>
            </w:r>
          </w:p>
        </w:tc>
        <w:tc>
          <w:tcPr>
            <w:tcW w:type="pct" w:w="16%"/>
            <w:shd w:fill="1F3B4D" w:val="clear"/>
            <w:tcMar>
              <w:top w:type="dxa" w:w="80"/>
              <w:left w:type="dxa" w:w="100"/>
              <w:bottom w:type="dxa" w:w="80"/>
              <w:right w:type="dxa" w:w="100"/>
            </w:tcMar>
            <w:vAlign w:val="center"/>
          </w:tcPr>
          <w:p>
            <w:pPr>
              <w:jc w:val="center"/>
            </w:pPr>
            <w:r>
              <w:rPr>
                <w:b/>
                <w:bCs/>
                <w:color w:val="FFFFFF"/>
                <w:sz w:val="19"/>
                <w:szCs w:val="19"/>
              </w:rPr>
              <w:t xml:space="preserve">Adj. OR</w:t>
            </w:r>
          </w:p>
        </w:tc>
        <w:tc>
          <w:tcPr>
            <w:tcW w:type="pct" w:w="26%"/>
            <w:shd w:fill="1F3B4D" w:val="clear"/>
            <w:tcMar>
              <w:top w:type="dxa" w:w="80"/>
              <w:left w:type="dxa" w:w="100"/>
              <w:bottom w:type="dxa" w:w="80"/>
              <w:right w:type="dxa" w:w="100"/>
            </w:tcMar>
            <w:vAlign w:val="center"/>
          </w:tcPr>
          <w:p>
            <w:pPr>
              <w:jc w:val="center"/>
            </w:pPr>
            <w:r>
              <w:rPr>
                <w:b/>
                <w:bCs/>
                <w:color w:val="FFFFFF"/>
                <w:sz w:val="19"/>
                <w:szCs w:val="19"/>
              </w:rPr>
              <w:t xml:space="preserve">95% CI</w:t>
            </w:r>
          </w:p>
        </w:tc>
        <w:tc>
          <w:tcPr>
            <w:tcW w:type="pct" w:w="20%"/>
            <w:shd w:fill="1F3B4D" w:val="clear"/>
            <w:tcMar>
              <w:top w:type="dxa" w:w="80"/>
              <w:left w:type="dxa" w:w="100"/>
              <w:bottom w:type="dxa" w:w="80"/>
              <w:right w:type="dxa" w:w="100"/>
            </w:tcMar>
            <w:vAlign w:val="center"/>
          </w:tcPr>
          <w:p>
            <w:pPr>
              <w:jc w:val="center"/>
            </w:pPr>
            <w:r>
              <w:rPr>
                <w:b/>
                <w:bCs/>
                <w:color w:val="FFFFFF"/>
                <w:sz w:val="19"/>
                <w:szCs w:val="19"/>
              </w:rPr>
              <w:t xml:space="preserve">p-value</w:t>
            </w:r>
          </w:p>
        </w:tc>
      </w:tr>
      <w:tr>
        <w:tc>
          <w:tcPr>
            <w:tcW w:type="pct" w:w="38%"/>
            <w:tcMar>
              <w:top w:type="dxa" w:w="80"/>
              <w:left w:type="dxa" w:w="100"/>
              <w:bottom w:type="dxa" w:w="80"/>
              <w:right w:type="dxa" w:w="100"/>
            </w:tcMar>
            <w:vAlign w:val="center"/>
          </w:tcPr>
          <w:p>
            <w:pPr>
              <w:jc w:val="left"/>
            </w:pPr>
            <w:r>
              <w:rPr>
                <w:b w:val="false"/>
                <w:bCs w:val="false"/>
                <w:color w:val="000000"/>
                <w:sz w:val="19"/>
                <w:szCs w:val="19"/>
              </w:rPr>
              <w:t xml:space="preserve">age_group55-64</w:t>
            </w:r>
          </w:p>
        </w:tc>
        <w:tc>
          <w:tcPr>
            <w:tcW w:type="pct" w:w="16%"/>
            <w:tcMar>
              <w:top w:type="dxa" w:w="80"/>
              <w:left w:type="dxa" w:w="100"/>
              <w:bottom w:type="dxa" w:w="80"/>
              <w:right w:type="dxa" w:w="100"/>
            </w:tcMar>
            <w:vAlign w:val="center"/>
          </w:tcPr>
          <w:p>
            <w:pPr>
              <w:jc w:val="center"/>
            </w:pPr>
            <w:r>
              <w:rPr>
                <w:b w:val="false"/>
                <w:bCs w:val="false"/>
                <w:color w:val="000000"/>
                <w:sz w:val="19"/>
                <w:szCs w:val="19"/>
              </w:rPr>
              <w:t xml:space="preserve">1.426</w:t>
            </w:r>
          </w:p>
        </w:tc>
        <w:tc>
          <w:tcPr>
            <w:tcW w:type="pct" w:w="26%"/>
            <w:tcMar>
              <w:top w:type="dxa" w:w="80"/>
              <w:left w:type="dxa" w:w="100"/>
              <w:bottom w:type="dxa" w:w="80"/>
              <w:right w:type="dxa" w:w="100"/>
            </w:tcMar>
            <w:vAlign w:val="center"/>
          </w:tcPr>
          <w:p>
            <w:pPr>
              <w:jc w:val="center"/>
            </w:pPr>
            <w:r>
              <w:rPr>
                <w:b w:val="false"/>
                <w:bCs w:val="false"/>
                <w:color w:val="000000"/>
                <w:sz w:val="19"/>
                <w:szCs w:val="19"/>
              </w:rPr>
              <w:t xml:space="preserve">1.29-1.577</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3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age_group65-74</w:t>
            </w:r>
          </w:p>
        </w:tc>
        <w:tc>
          <w:tcPr>
            <w:tcW w:type="pct" w:w="1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1.995</w:t>
            </w:r>
          </w:p>
        </w:tc>
        <w:tc>
          <w:tcPr>
            <w:tcW w:type="pct" w:w="2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1.802-2.207</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38%"/>
            <w:tcMar>
              <w:top w:type="dxa" w:w="80"/>
              <w:left w:type="dxa" w:w="100"/>
              <w:bottom w:type="dxa" w:w="80"/>
              <w:right w:type="dxa" w:w="100"/>
            </w:tcMar>
            <w:vAlign w:val="center"/>
          </w:tcPr>
          <w:p>
            <w:pPr>
              <w:jc w:val="left"/>
            </w:pPr>
            <w:r>
              <w:rPr>
                <w:b w:val="false"/>
                <w:bCs w:val="false"/>
                <w:color w:val="000000"/>
                <w:sz w:val="19"/>
                <w:szCs w:val="19"/>
              </w:rPr>
              <w:t xml:space="preserve">age_group75+</w:t>
            </w:r>
          </w:p>
        </w:tc>
        <w:tc>
          <w:tcPr>
            <w:tcW w:type="pct" w:w="16%"/>
            <w:tcMar>
              <w:top w:type="dxa" w:w="80"/>
              <w:left w:type="dxa" w:w="100"/>
              <w:bottom w:type="dxa" w:w="80"/>
              <w:right w:type="dxa" w:w="100"/>
            </w:tcMar>
            <w:vAlign w:val="center"/>
          </w:tcPr>
          <w:p>
            <w:pPr>
              <w:jc w:val="center"/>
            </w:pPr>
            <w:r>
              <w:rPr>
                <w:b w:val="false"/>
                <w:bCs w:val="false"/>
                <w:color w:val="000000"/>
                <w:sz w:val="19"/>
                <w:szCs w:val="19"/>
              </w:rPr>
              <w:t xml:space="preserve">2.919</w:t>
            </w:r>
          </w:p>
        </w:tc>
        <w:tc>
          <w:tcPr>
            <w:tcW w:type="pct" w:w="26%"/>
            <w:tcMar>
              <w:top w:type="dxa" w:w="80"/>
              <w:left w:type="dxa" w:w="100"/>
              <w:bottom w:type="dxa" w:w="80"/>
              <w:right w:type="dxa" w:w="100"/>
            </w:tcMar>
            <w:vAlign w:val="center"/>
          </w:tcPr>
          <w:p>
            <w:pPr>
              <w:jc w:val="center"/>
            </w:pPr>
            <w:r>
              <w:rPr>
                <w:b w:val="false"/>
                <w:bCs w:val="false"/>
                <w:color w:val="000000"/>
                <w:sz w:val="19"/>
                <w:szCs w:val="19"/>
              </w:rPr>
              <w:t xml:space="preserve">2.622-3.251</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3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race_ethnicityBlack</w:t>
            </w:r>
          </w:p>
        </w:tc>
        <w:tc>
          <w:tcPr>
            <w:tcW w:type="pct" w:w="1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1.225</w:t>
            </w:r>
          </w:p>
        </w:tc>
        <w:tc>
          <w:tcPr>
            <w:tcW w:type="pct" w:w="2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1.105-1.359</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38%"/>
            <w:tcMar>
              <w:top w:type="dxa" w:w="80"/>
              <w:left w:type="dxa" w:w="100"/>
              <w:bottom w:type="dxa" w:w="80"/>
              <w:right w:type="dxa" w:w="100"/>
            </w:tcMar>
            <w:vAlign w:val="center"/>
          </w:tcPr>
          <w:p>
            <w:pPr>
              <w:jc w:val="left"/>
            </w:pPr>
            <w:r>
              <w:rPr>
                <w:b w:val="false"/>
                <w:bCs w:val="false"/>
                <w:color w:val="000000"/>
                <w:sz w:val="19"/>
                <w:szCs w:val="19"/>
              </w:rPr>
              <w:t xml:space="preserve">race_ethnicityHispanic</w:t>
            </w:r>
          </w:p>
        </w:tc>
        <w:tc>
          <w:tcPr>
            <w:tcW w:type="pct" w:w="16%"/>
            <w:tcMar>
              <w:top w:type="dxa" w:w="80"/>
              <w:left w:type="dxa" w:w="100"/>
              <w:bottom w:type="dxa" w:w="80"/>
              <w:right w:type="dxa" w:w="100"/>
            </w:tcMar>
            <w:vAlign w:val="center"/>
          </w:tcPr>
          <w:p>
            <w:pPr>
              <w:jc w:val="center"/>
            </w:pPr>
            <w:r>
              <w:rPr>
                <w:b w:val="false"/>
                <w:bCs w:val="false"/>
                <w:color w:val="000000"/>
                <w:sz w:val="19"/>
                <w:szCs w:val="19"/>
              </w:rPr>
              <w:t xml:space="preserve">1.175</w:t>
            </w:r>
          </w:p>
        </w:tc>
        <w:tc>
          <w:tcPr>
            <w:tcW w:type="pct" w:w="26%"/>
            <w:tcMar>
              <w:top w:type="dxa" w:w="80"/>
              <w:left w:type="dxa" w:w="100"/>
              <w:bottom w:type="dxa" w:w="80"/>
              <w:right w:type="dxa" w:w="100"/>
            </w:tcMar>
            <w:vAlign w:val="center"/>
          </w:tcPr>
          <w:p>
            <w:pPr>
              <w:jc w:val="center"/>
            </w:pPr>
            <w:r>
              <w:rPr>
                <w:b w:val="false"/>
                <w:bCs w:val="false"/>
                <w:color w:val="000000"/>
                <w:sz w:val="19"/>
                <w:szCs w:val="19"/>
              </w:rPr>
              <w:t xml:space="preserve">1.065-1.295</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0.001</w:t>
            </w:r>
          </w:p>
        </w:tc>
      </w:tr>
      <w:tr>
        <w:tc>
          <w:tcPr>
            <w:tcW w:type="pct" w:w="3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race_ethnicityAsian</w:t>
            </w:r>
          </w:p>
        </w:tc>
        <w:tc>
          <w:tcPr>
            <w:tcW w:type="pct" w:w="1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1.16</w:t>
            </w:r>
          </w:p>
        </w:tc>
        <w:tc>
          <w:tcPr>
            <w:tcW w:type="pct" w:w="2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0.995-1.352</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0.057</w:t>
            </w:r>
          </w:p>
        </w:tc>
      </w:tr>
      <w:tr>
        <w:tc>
          <w:tcPr>
            <w:tcW w:type="pct" w:w="38%"/>
            <w:tcMar>
              <w:top w:type="dxa" w:w="80"/>
              <w:left w:type="dxa" w:w="100"/>
              <w:bottom w:type="dxa" w:w="80"/>
              <w:right w:type="dxa" w:w="100"/>
            </w:tcMar>
            <w:vAlign w:val="center"/>
          </w:tcPr>
          <w:p>
            <w:pPr>
              <w:jc w:val="left"/>
            </w:pPr>
            <w:r>
              <w:rPr>
                <w:b w:val="false"/>
                <w:bCs w:val="false"/>
                <w:color w:val="000000"/>
                <w:sz w:val="19"/>
                <w:szCs w:val="19"/>
              </w:rPr>
              <w:t xml:space="preserve">race_ethnicityAIAN</w:t>
            </w:r>
          </w:p>
        </w:tc>
        <w:tc>
          <w:tcPr>
            <w:tcW w:type="pct" w:w="16%"/>
            <w:tcMar>
              <w:top w:type="dxa" w:w="80"/>
              <w:left w:type="dxa" w:w="100"/>
              <w:bottom w:type="dxa" w:w="80"/>
              <w:right w:type="dxa" w:w="100"/>
            </w:tcMar>
            <w:vAlign w:val="center"/>
          </w:tcPr>
          <w:p>
            <w:pPr>
              <w:jc w:val="center"/>
            </w:pPr>
            <w:r>
              <w:rPr>
                <w:b w:val="false"/>
                <w:bCs w:val="false"/>
                <w:color w:val="000000"/>
                <w:sz w:val="19"/>
                <w:szCs w:val="19"/>
              </w:rPr>
              <w:t xml:space="preserve">1.303</w:t>
            </w:r>
          </w:p>
        </w:tc>
        <w:tc>
          <w:tcPr>
            <w:tcW w:type="pct" w:w="26%"/>
            <w:tcMar>
              <w:top w:type="dxa" w:w="80"/>
              <w:left w:type="dxa" w:w="100"/>
              <w:bottom w:type="dxa" w:w="80"/>
              <w:right w:type="dxa" w:w="100"/>
            </w:tcMar>
            <w:vAlign w:val="center"/>
          </w:tcPr>
          <w:p>
            <w:pPr>
              <w:jc w:val="center"/>
            </w:pPr>
            <w:r>
              <w:rPr>
                <w:b w:val="false"/>
                <w:bCs w:val="false"/>
                <w:color w:val="000000"/>
                <w:sz w:val="19"/>
                <w:szCs w:val="19"/>
              </w:rPr>
              <w:t xml:space="preserve">1.034-1.641</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0.025</w:t>
            </w:r>
          </w:p>
        </w:tc>
      </w:tr>
      <w:tr>
        <w:tc>
          <w:tcPr>
            <w:tcW w:type="pct" w:w="3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race_ethnicityMultiracial</w:t>
            </w:r>
          </w:p>
        </w:tc>
        <w:tc>
          <w:tcPr>
            <w:tcW w:type="pct" w:w="1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1.042</w:t>
            </w:r>
          </w:p>
        </w:tc>
        <w:tc>
          <w:tcPr>
            <w:tcW w:type="pct" w:w="2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0.85-1.278</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0.692</w:t>
            </w:r>
          </w:p>
        </w:tc>
      </w:tr>
      <w:tr>
        <w:tc>
          <w:tcPr>
            <w:tcW w:type="pct" w:w="38%"/>
            <w:tcMar>
              <w:top w:type="dxa" w:w="80"/>
              <w:left w:type="dxa" w:w="100"/>
              <w:bottom w:type="dxa" w:w="80"/>
              <w:right w:type="dxa" w:w="100"/>
            </w:tcMar>
            <w:vAlign w:val="center"/>
          </w:tcPr>
          <w:p>
            <w:pPr>
              <w:jc w:val="left"/>
            </w:pPr>
            <w:r>
              <w:rPr>
                <w:b w:val="false"/>
                <w:bCs w:val="false"/>
                <w:color w:val="000000"/>
                <w:sz w:val="19"/>
                <w:szCs w:val="19"/>
              </w:rPr>
              <w:t xml:space="preserve">race_ethnicityOther</w:t>
            </w:r>
          </w:p>
        </w:tc>
        <w:tc>
          <w:tcPr>
            <w:tcW w:type="pct" w:w="16%"/>
            <w:tcMar>
              <w:top w:type="dxa" w:w="80"/>
              <w:left w:type="dxa" w:w="100"/>
              <w:bottom w:type="dxa" w:w="80"/>
              <w:right w:type="dxa" w:w="100"/>
            </w:tcMar>
            <w:vAlign w:val="center"/>
          </w:tcPr>
          <w:p>
            <w:pPr>
              <w:jc w:val="center"/>
            </w:pPr>
            <w:r>
              <w:rPr>
                <w:b w:val="false"/>
                <w:bCs w:val="false"/>
                <w:color w:val="000000"/>
                <w:sz w:val="19"/>
                <w:szCs w:val="19"/>
              </w:rPr>
              <w:t xml:space="preserve">0.89</w:t>
            </w:r>
          </w:p>
        </w:tc>
        <w:tc>
          <w:tcPr>
            <w:tcW w:type="pct" w:w="26%"/>
            <w:tcMar>
              <w:top w:type="dxa" w:w="80"/>
              <w:left w:type="dxa" w:w="100"/>
              <w:bottom w:type="dxa" w:w="80"/>
              <w:right w:type="dxa" w:w="100"/>
            </w:tcMar>
            <w:vAlign w:val="center"/>
          </w:tcPr>
          <w:p>
            <w:pPr>
              <w:jc w:val="center"/>
            </w:pPr>
            <w:r>
              <w:rPr>
                <w:b w:val="false"/>
                <w:bCs w:val="false"/>
                <w:color w:val="000000"/>
                <w:sz w:val="19"/>
                <w:szCs w:val="19"/>
              </w:rPr>
              <w:t xml:space="preserve">0.688-1.151</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0.376</w:t>
            </w:r>
          </w:p>
        </w:tc>
      </w:tr>
      <w:tr>
        <w:tc>
          <w:tcPr>
            <w:tcW w:type="pct" w:w="3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educationLess than HS</w:t>
            </w:r>
          </w:p>
        </w:tc>
        <w:tc>
          <w:tcPr>
            <w:tcW w:type="pct" w:w="1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1.539</w:t>
            </w:r>
          </w:p>
        </w:tc>
        <w:tc>
          <w:tcPr>
            <w:tcW w:type="pct" w:w="2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1.369-1.73</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38%"/>
            <w:tcMar>
              <w:top w:type="dxa" w:w="80"/>
              <w:left w:type="dxa" w:w="100"/>
              <w:bottom w:type="dxa" w:w="80"/>
              <w:right w:type="dxa" w:w="100"/>
            </w:tcMar>
            <w:vAlign w:val="center"/>
          </w:tcPr>
          <w:p>
            <w:pPr>
              <w:jc w:val="left"/>
            </w:pPr>
            <w:r>
              <w:rPr>
                <w:b w:val="false"/>
                <w:bCs w:val="false"/>
                <w:color w:val="000000"/>
                <w:sz w:val="19"/>
                <w:szCs w:val="19"/>
              </w:rPr>
              <w:t xml:space="preserve">educationHS graduate</w:t>
            </w:r>
          </w:p>
        </w:tc>
        <w:tc>
          <w:tcPr>
            <w:tcW w:type="pct" w:w="16%"/>
            <w:tcMar>
              <w:top w:type="dxa" w:w="80"/>
              <w:left w:type="dxa" w:w="100"/>
              <w:bottom w:type="dxa" w:w="80"/>
              <w:right w:type="dxa" w:w="100"/>
            </w:tcMar>
            <w:vAlign w:val="center"/>
          </w:tcPr>
          <w:p>
            <w:pPr>
              <w:jc w:val="center"/>
            </w:pPr>
            <w:r>
              <w:rPr>
                <w:b w:val="false"/>
                <w:bCs w:val="false"/>
                <w:color w:val="000000"/>
                <w:sz w:val="19"/>
                <w:szCs w:val="19"/>
              </w:rPr>
              <w:t xml:space="preserve">1.42</w:t>
            </w:r>
          </w:p>
        </w:tc>
        <w:tc>
          <w:tcPr>
            <w:tcW w:type="pct" w:w="26%"/>
            <w:tcMar>
              <w:top w:type="dxa" w:w="80"/>
              <w:left w:type="dxa" w:w="100"/>
              <w:bottom w:type="dxa" w:w="80"/>
              <w:right w:type="dxa" w:w="100"/>
            </w:tcMar>
            <w:vAlign w:val="center"/>
          </w:tcPr>
          <w:p>
            <w:pPr>
              <w:jc w:val="center"/>
            </w:pPr>
            <w:r>
              <w:rPr>
                <w:b w:val="false"/>
                <w:bCs w:val="false"/>
                <w:color w:val="000000"/>
                <w:sz w:val="19"/>
                <w:szCs w:val="19"/>
              </w:rPr>
              <w:t xml:space="preserve">1.299-1.553</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3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educationSome college</w:t>
            </w:r>
          </w:p>
        </w:tc>
        <w:tc>
          <w:tcPr>
            <w:tcW w:type="pct" w:w="1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1.164</w:t>
            </w:r>
          </w:p>
        </w:tc>
        <w:tc>
          <w:tcPr>
            <w:tcW w:type="pct" w:w="2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1.066-1.271</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38%"/>
            <w:tcMar>
              <w:top w:type="dxa" w:w="80"/>
              <w:left w:type="dxa" w:w="100"/>
              <w:bottom w:type="dxa" w:w="80"/>
              <w:right w:type="dxa" w:w="100"/>
            </w:tcMar>
            <w:vAlign w:val="center"/>
          </w:tcPr>
          <w:p>
            <w:pPr>
              <w:jc w:val="left"/>
            </w:pPr>
            <w:r>
              <w:rPr>
                <w:b w:val="false"/>
                <w:bCs w:val="false"/>
                <w:color w:val="000000"/>
                <w:sz w:val="19"/>
                <w:szCs w:val="19"/>
              </w:rPr>
              <w:t xml:space="preserve">income_bracket&lt;$25,000</w:t>
            </w:r>
          </w:p>
        </w:tc>
        <w:tc>
          <w:tcPr>
            <w:tcW w:type="pct" w:w="16%"/>
            <w:tcMar>
              <w:top w:type="dxa" w:w="80"/>
              <w:left w:type="dxa" w:w="100"/>
              <w:bottom w:type="dxa" w:w="80"/>
              <w:right w:type="dxa" w:w="100"/>
            </w:tcMar>
            <w:vAlign w:val="center"/>
          </w:tcPr>
          <w:p>
            <w:pPr>
              <w:jc w:val="center"/>
            </w:pPr>
            <w:r>
              <w:rPr>
                <w:b w:val="false"/>
                <w:bCs w:val="false"/>
                <w:color w:val="000000"/>
                <w:sz w:val="19"/>
                <w:szCs w:val="19"/>
              </w:rPr>
              <w:t xml:space="preserve">1.32</w:t>
            </w:r>
          </w:p>
        </w:tc>
        <w:tc>
          <w:tcPr>
            <w:tcW w:type="pct" w:w="26%"/>
            <w:tcMar>
              <w:top w:type="dxa" w:w="80"/>
              <w:left w:type="dxa" w:w="100"/>
              <w:bottom w:type="dxa" w:w="80"/>
              <w:right w:type="dxa" w:w="100"/>
            </w:tcMar>
            <w:vAlign w:val="center"/>
          </w:tcPr>
          <w:p>
            <w:pPr>
              <w:jc w:val="center"/>
            </w:pPr>
            <w:r>
              <w:rPr>
                <w:b w:val="false"/>
                <w:bCs w:val="false"/>
                <w:color w:val="000000"/>
                <w:sz w:val="19"/>
                <w:szCs w:val="19"/>
              </w:rPr>
              <w:t xml:space="preserve">1.198-1.454</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3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income_bracket$25,000-$49,999</w:t>
            </w:r>
          </w:p>
        </w:tc>
        <w:tc>
          <w:tcPr>
            <w:tcW w:type="pct" w:w="1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1.286</w:t>
            </w:r>
          </w:p>
        </w:tc>
        <w:tc>
          <w:tcPr>
            <w:tcW w:type="pct" w:w="2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1.173-1.409</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38%"/>
            <w:tcMar>
              <w:top w:type="dxa" w:w="80"/>
              <w:left w:type="dxa" w:w="100"/>
              <w:bottom w:type="dxa" w:w="80"/>
              <w:right w:type="dxa" w:w="100"/>
            </w:tcMar>
            <w:vAlign w:val="center"/>
          </w:tcPr>
          <w:p>
            <w:pPr>
              <w:jc w:val="left"/>
            </w:pPr>
            <w:r>
              <w:rPr>
                <w:b w:val="false"/>
                <w:bCs w:val="false"/>
                <w:color w:val="000000"/>
                <w:sz w:val="19"/>
                <w:szCs w:val="19"/>
              </w:rPr>
              <w:t xml:space="preserve">income_bracket$50,000-$74,999</w:t>
            </w:r>
          </w:p>
        </w:tc>
        <w:tc>
          <w:tcPr>
            <w:tcW w:type="pct" w:w="16%"/>
            <w:tcMar>
              <w:top w:type="dxa" w:w="80"/>
              <w:left w:type="dxa" w:w="100"/>
              <w:bottom w:type="dxa" w:w="80"/>
              <w:right w:type="dxa" w:w="100"/>
            </w:tcMar>
            <w:vAlign w:val="center"/>
          </w:tcPr>
          <w:p>
            <w:pPr>
              <w:jc w:val="center"/>
            </w:pPr>
            <w:r>
              <w:rPr>
                <w:b w:val="false"/>
                <w:bCs w:val="false"/>
                <w:color w:val="000000"/>
                <w:sz w:val="19"/>
                <w:szCs w:val="19"/>
              </w:rPr>
              <w:t xml:space="preserve">1.094</w:t>
            </w:r>
          </w:p>
        </w:tc>
        <w:tc>
          <w:tcPr>
            <w:tcW w:type="pct" w:w="26%"/>
            <w:tcMar>
              <w:top w:type="dxa" w:w="80"/>
              <w:left w:type="dxa" w:w="100"/>
              <w:bottom w:type="dxa" w:w="80"/>
              <w:right w:type="dxa" w:w="100"/>
            </w:tcMar>
            <w:vAlign w:val="center"/>
          </w:tcPr>
          <w:p>
            <w:pPr>
              <w:jc w:val="center"/>
            </w:pPr>
            <w:r>
              <w:rPr>
                <w:b w:val="false"/>
                <w:bCs w:val="false"/>
                <w:color w:val="000000"/>
                <w:sz w:val="19"/>
                <w:szCs w:val="19"/>
              </w:rPr>
              <w:t xml:space="preserve">0.988-1.212</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0.085</w:t>
            </w:r>
          </w:p>
        </w:tc>
      </w:tr>
      <w:tr>
        <w:tc>
          <w:tcPr>
            <w:tcW w:type="pct" w:w="3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income_bracketMissing</w:t>
            </w:r>
          </w:p>
        </w:tc>
        <w:tc>
          <w:tcPr>
            <w:tcW w:type="pct" w:w="1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1.107</w:t>
            </w:r>
          </w:p>
        </w:tc>
        <w:tc>
          <w:tcPr>
            <w:tcW w:type="pct" w:w="2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0.92-1.333</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0.281</w:t>
            </w:r>
          </w:p>
        </w:tc>
      </w:tr>
      <w:tr>
        <w:tc>
          <w:tcPr>
            <w:tcW w:type="pct" w:w="38%"/>
            <w:tcMar>
              <w:top w:type="dxa" w:w="80"/>
              <w:left w:type="dxa" w:w="100"/>
              <w:bottom w:type="dxa" w:w="80"/>
              <w:right w:type="dxa" w:w="100"/>
            </w:tcMar>
            <w:vAlign w:val="center"/>
          </w:tcPr>
          <w:p>
            <w:pPr>
              <w:jc w:val="left"/>
            </w:pPr>
            <w:r>
              <w:rPr>
                <w:b w:val="false"/>
                <w:bCs w:val="false"/>
                <w:color w:val="000000"/>
                <w:sz w:val="19"/>
                <w:szCs w:val="19"/>
              </w:rPr>
              <w:t xml:space="preserve">living_alone</w:t>
            </w:r>
          </w:p>
        </w:tc>
        <w:tc>
          <w:tcPr>
            <w:tcW w:type="pct" w:w="16%"/>
            <w:tcMar>
              <w:top w:type="dxa" w:w="80"/>
              <w:left w:type="dxa" w:w="100"/>
              <w:bottom w:type="dxa" w:w="80"/>
              <w:right w:type="dxa" w:w="100"/>
            </w:tcMar>
            <w:vAlign w:val="center"/>
          </w:tcPr>
          <w:p>
            <w:pPr>
              <w:jc w:val="center"/>
            </w:pPr>
            <w:r>
              <w:rPr>
                <w:b w:val="false"/>
                <w:bCs w:val="false"/>
                <w:color w:val="000000"/>
                <w:sz w:val="19"/>
                <w:szCs w:val="19"/>
              </w:rPr>
              <w:t xml:space="preserve">1.39</w:t>
            </w:r>
          </w:p>
        </w:tc>
        <w:tc>
          <w:tcPr>
            <w:tcW w:type="pct" w:w="26%"/>
            <w:tcMar>
              <w:top w:type="dxa" w:w="80"/>
              <w:left w:type="dxa" w:w="100"/>
              <w:bottom w:type="dxa" w:w="80"/>
              <w:right w:type="dxa" w:w="100"/>
            </w:tcMar>
            <w:vAlign w:val="center"/>
          </w:tcPr>
          <w:p>
            <w:pPr>
              <w:jc w:val="center"/>
            </w:pPr>
            <w:r>
              <w:rPr>
                <w:b w:val="false"/>
                <w:bCs w:val="false"/>
                <w:color w:val="000000"/>
                <w:sz w:val="19"/>
                <w:szCs w:val="19"/>
              </w:rPr>
              <w:t xml:space="preserve">1.289-1.5</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3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diabetes</w:t>
            </w:r>
          </w:p>
        </w:tc>
        <w:tc>
          <w:tcPr>
            <w:tcW w:type="pct" w:w="1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1.566</w:t>
            </w:r>
          </w:p>
        </w:tc>
        <w:tc>
          <w:tcPr>
            <w:tcW w:type="pct" w:w="2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1.441-1.702</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38%"/>
            <w:tcMar>
              <w:top w:type="dxa" w:w="80"/>
              <w:left w:type="dxa" w:w="100"/>
              <w:bottom w:type="dxa" w:w="80"/>
              <w:right w:type="dxa" w:w="100"/>
            </w:tcMar>
            <w:vAlign w:val="center"/>
          </w:tcPr>
          <w:p>
            <w:pPr>
              <w:jc w:val="left"/>
            </w:pPr>
            <w:r>
              <w:rPr>
                <w:b w:val="false"/>
                <w:bCs w:val="false"/>
                <w:color w:val="000000"/>
                <w:sz w:val="19"/>
                <w:szCs w:val="19"/>
              </w:rPr>
              <w:t xml:space="preserve">hypertension</w:t>
            </w:r>
          </w:p>
        </w:tc>
        <w:tc>
          <w:tcPr>
            <w:tcW w:type="pct" w:w="16%"/>
            <w:tcMar>
              <w:top w:type="dxa" w:w="80"/>
              <w:left w:type="dxa" w:w="100"/>
              <w:bottom w:type="dxa" w:w="80"/>
              <w:right w:type="dxa" w:w="100"/>
            </w:tcMar>
            <w:vAlign w:val="center"/>
          </w:tcPr>
          <w:p>
            <w:pPr>
              <w:jc w:val="center"/>
            </w:pPr>
            <w:r>
              <w:rPr>
                <w:b w:val="false"/>
                <w:bCs w:val="false"/>
                <w:color w:val="000000"/>
                <w:sz w:val="19"/>
                <w:szCs w:val="19"/>
              </w:rPr>
              <w:t xml:space="preserve">1.506</w:t>
            </w:r>
          </w:p>
        </w:tc>
        <w:tc>
          <w:tcPr>
            <w:tcW w:type="pct" w:w="26%"/>
            <w:tcMar>
              <w:top w:type="dxa" w:w="80"/>
              <w:left w:type="dxa" w:w="100"/>
              <w:bottom w:type="dxa" w:w="80"/>
              <w:right w:type="dxa" w:w="100"/>
            </w:tcMar>
            <w:vAlign w:val="center"/>
          </w:tcPr>
          <w:p>
            <w:pPr>
              <w:jc w:val="center"/>
            </w:pPr>
            <w:r>
              <w:rPr>
                <w:b w:val="false"/>
                <w:bCs w:val="false"/>
                <w:color w:val="000000"/>
                <w:sz w:val="19"/>
                <w:szCs w:val="19"/>
              </w:rPr>
              <w:t xml:space="preserve">1.406-1.612</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3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heart_disease</w:t>
            </w:r>
          </w:p>
        </w:tc>
        <w:tc>
          <w:tcPr>
            <w:tcW w:type="pct" w:w="1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1.439</w:t>
            </w:r>
          </w:p>
        </w:tc>
        <w:tc>
          <w:tcPr>
            <w:tcW w:type="pct" w:w="2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1.302-1.589</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38%"/>
            <w:tcMar>
              <w:top w:type="dxa" w:w="80"/>
              <w:left w:type="dxa" w:w="100"/>
              <w:bottom w:type="dxa" w:w="80"/>
              <w:right w:type="dxa" w:w="100"/>
            </w:tcMar>
            <w:vAlign w:val="center"/>
          </w:tcPr>
          <w:p>
            <w:pPr>
              <w:jc w:val="left"/>
            </w:pPr>
            <w:r>
              <w:rPr>
                <w:b w:val="false"/>
                <w:bCs w:val="false"/>
                <w:color w:val="000000"/>
                <w:sz w:val="19"/>
                <w:szCs w:val="19"/>
              </w:rPr>
              <w:t xml:space="preserve">stroke_history</w:t>
            </w:r>
          </w:p>
        </w:tc>
        <w:tc>
          <w:tcPr>
            <w:tcW w:type="pct" w:w="16%"/>
            <w:tcMar>
              <w:top w:type="dxa" w:w="80"/>
              <w:left w:type="dxa" w:w="100"/>
              <w:bottom w:type="dxa" w:w="80"/>
              <w:right w:type="dxa" w:w="100"/>
            </w:tcMar>
            <w:vAlign w:val="center"/>
          </w:tcPr>
          <w:p>
            <w:pPr>
              <w:jc w:val="center"/>
            </w:pPr>
            <w:r>
              <w:rPr>
                <w:b w:val="false"/>
                <w:bCs w:val="false"/>
                <w:color w:val="000000"/>
                <w:sz w:val="19"/>
                <w:szCs w:val="19"/>
              </w:rPr>
              <w:t xml:space="preserve">1.941</w:t>
            </w:r>
          </w:p>
        </w:tc>
        <w:tc>
          <w:tcPr>
            <w:tcW w:type="pct" w:w="26%"/>
            <w:tcMar>
              <w:top w:type="dxa" w:w="80"/>
              <w:left w:type="dxa" w:w="100"/>
              <w:bottom w:type="dxa" w:w="80"/>
              <w:right w:type="dxa" w:w="100"/>
            </w:tcMar>
            <w:vAlign w:val="center"/>
          </w:tcPr>
          <w:p>
            <w:pPr>
              <w:jc w:val="center"/>
            </w:pPr>
            <w:r>
              <w:rPr>
                <w:b w:val="false"/>
                <w:bCs w:val="false"/>
                <w:color w:val="000000"/>
                <w:sz w:val="19"/>
                <w:szCs w:val="19"/>
              </w:rPr>
              <w:t xml:space="preserve">1.682-2.241</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3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depression</w:t>
            </w:r>
          </w:p>
        </w:tc>
        <w:tc>
          <w:tcPr>
            <w:tcW w:type="pct" w:w="1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1.689</w:t>
            </w:r>
          </w:p>
        </w:tc>
        <w:tc>
          <w:tcPr>
            <w:tcW w:type="pct" w:w="2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1.562-1.825</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38%"/>
            <w:tcMar>
              <w:top w:type="dxa" w:w="80"/>
              <w:left w:type="dxa" w:w="100"/>
              <w:bottom w:type="dxa" w:w="80"/>
              <w:right w:type="dxa" w:w="100"/>
            </w:tcMar>
            <w:vAlign w:val="center"/>
          </w:tcPr>
          <w:p>
            <w:pPr>
              <w:jc w:val="left"/>
            </w:pPr>
            <w:r>
              <w:rPr>
                <w:b w:val="false"/>
                <w:bCs w:val="false"/>
                <w:color w:val="000000"/>
                <w:sz w:val="19"/>
                <w:szCs w:val="19"/>
              </w:rPr>
              <w:t xml:space="preserve">hearing_loss</w:t>
            </w:r>
          </w:p>
        </w:tc>
        <w:tc>
          <w:tcPr>
            <w:tcW w:type="pct" w:w="16%"/>
            <w:tcMar>
              <w:top w:type="dxa" w:w="80"/>
              <w:left w:type="dxa" w:w="100"/>
              <w:bottom w:type="dxa" w:w="80"/>
              <w:right w:type="dxa" w:w="100"/>
            </w:tcMar>
            <w:vAlign w:val="center"/>
          </w:tcPr>
          <w:p>
            <w:pPr>
              <w:jc w:val="center"/>
            </w:pPr>
            <w:r>
              <w:rPr>
                <w:b w:val="false"/>
                <w:bCs w:val="false"/>
                <w:color w:val="000000"/>
                <w:sz w:val="19"/>
                <w:szCs w:val="19"/>
              </w:rPr>
              <w:t xml:space="preserve">1.336</w:t>
            </w:r>
          </w:p>
        </w:tc>
        <w:tc>
          <w:tcPr>
            <w:tcW w:type="pct" w:w="26%"/>
            <w:tcMar>
              <w:top w:type="dxa" w:w="80"/>
              <w:left w:type="dxa" w:w="100"/>
              <w:bottom w:type="dxa" w:w="80"/>
              <w:right w:type="dxa" w:w="100"/>
            </w:tcMar>
            <w:vAlign w:val="center"/>
          </w:tcPr>
          <w:p>
            <w:pPr>
              <w:jc w:val="center"/>
            </w:pPr>
            <w:r>
              <w:rPr>
                <w:b w:val="false"/>
                <w:bCs w:val="false"/>
                <w:color w:val="000000"/>
                <w:sz w:val="19"/>
                <w:szCs w:val="19"/>
              </w:rPr>
              <w:t xml:space="preserve">1.225-1.458</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3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current_smoker</w:t>
            </w:r>
          </w:p>
        </w:tc>
        <w:tc>
          <w:tcPr>
            <w:tcW w:type="pct" w:w="1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1.152</w:t>
            </w:r>
          </w:p>
        </w:tc>
        <w:tc>
          <w:tcPr>
            <w:tcW w:type="pct" w:w="2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1.051-1.263</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0.002</w:t>
            </w:r>
          </w:p>
        </w:tc>
      </w:tr>
      <w:tr>
        <w:tc>
          <w:tcPr>
            <w:tcW w:type="pct" w:w="38%"/>
            <w:tcMar>
              <w:top w:type="dxa" w:w="80"/>
              <w:left w:type="dxa" w:w="100"/>
              <w:bottom w:type="dxa" w:w="80"/>
              <w:right w:type="dxa" w:w="100"/>
            </w:tcMar>
            <w:vAlign w:val="center"/>
          </w:tcPr>
          <w:p>
            <w:pPr>
              <w:jc w:val="left"/>
            </w:pPr>
            <w:r>
              <w:rPr>
                <w:b w:val="false"/>
                <w:bCs w:val="false"/>
                <w:color w:val="000000"/>
                <w:sz w:val="19"/>
                <w:szCs w:val="19"/>
              </w:rPr>
              <w:t xml:space="preserve">binge_drinking</w:t>
            </w:r>
          </w:p>
        </w:tc>
        <w:tc>
          <w:tcPr>
            <w:tcW w:type="pct" w:w="16%"/>
            <w:tcMar>
              <w:top w:type="dxa" w:w="80"/>
              <w:left w:type="dxa" w:w="100"/>
              <w:bottom w:type="dxa" w:w="80"/>
              <w:right w:type="dxa" w:w="100"/>
            </w:tcMar>
            <w:vAlign w:val="center"/>
          </w:tcPr>
          <w:p>
            <w:pPr>
              <w:jc w:val="center"/>
            </w:pPr>
            <w:r>
              <w:rPr>
                <w:b w:val="false"/>
                <w:bCs w:val="false"/>
                <w:color w:val="000000"/>
                <w:sz w:val="19"/>
                <w:szCs w:val="19"/>
              </w:rPr>
              <w:t xml:space="preserve">0.925</w:t>
            </w:r>
          </w:p>
        </w:tc>
        <w:tc>
          <w:tcPr>
            <w:tcW w:type="pct" w:w="26%"/>
            <w:tcMar>
              <w:top w:type="dxa" w:w="80"/>
              <w:left w:type="dxa" w:w="100"/>
              <w:bottom w:type="dxa" w:w="80"/>
              <w:right w:type="dxa" w:w="100"/>
            </w:tcMar>
            <w:vAlign w:val="center"/>
          </w:tcPr>
          <w:p>
            <w:pPr>
              <w:jc w:val="center"/>
            </w:pPr>
            <w:r>
              <w:rPr>
                <w:b w:val="false"/>
                <w:bCs w:val="false"/>
                <w:color w:val="000000"/>
                <w:sz w:val="19"/>
                <w:szCs w:val="19"/>
              </w:rPr>
              <w:t xml:space="preserve">0.836-1.024</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0.134</w:t>
            </w:r>
          </w:p>
        </w:tc>
      </w:tr>
      <w:tr>
        <w:tc>
          <w:tcPr>
            <w:tcW w:type="pct" w:w="3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physically_inactive</w:t>
            </w:r>
          </w:p>
        </w:tc>
        <w:tc>
          <w:tcPr>
            <w:tcW w:type="pct" w:w="1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1.284</w:t>
            </w:r>
          </w:p>
        </w:tc>
        <w:tc>
          <w:tcPr>
            <w:tcW w:type="pct" w:w="2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1.19-1.384</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38%"/>
            <w:tcMar>
              <w:top w:type="dxa" w:w="80"/>
              <w:left w:type="dxa" w:w="100"/>
              <w:bottom w:type="dxa" w:w="80"/>
              <w:right w:type="dxa" w:w="100"/>
            </w:tcMar>
            <w:vAlign w:val="center"/>
          </w:tcPr>
          <w:p>
            <w:pPr>
              <w:jc w:val="left"/>
            </w:pPr>
            <w:r>
              <w:rPr>
                <w:b w:val="false"/>
                <w:bCs w:val="false"/>
                <w:color w:val="000000"/>
                <w:sz w:val="19"/>
                <w:szCs w:val="19"/>
              </w:rPr>
              <w:t xml:space="preserve">sleep_lt7hrs</w:t>
            </w:r>
          </w:p>
        </w:tc>
        <w:tc>
          <w:tcPr>
            <w:tcW w:type="pct" w:w="16%"/>
            <w:tcMar>
              <w:top w:type="dxa" w:w="80"/>
              <w:left w:type="dxa" w:w="100"/>
              <w:bottom w:type="dxa" w:w="80"/>
              <w:right w:type="dxa" w:w="100"/>
            </w:tcMar>
            <w:vAlign w:val="center"/>
          </w:tcPr>
          <w:p>
            <w:pPr>
              <w:jc w:val="center"/>
            </w:pPr>
            <w:r>
              <w:rPr>
                <w:b w:val="false"/>
                <w:bCs w:val="false"/>
                <w:color w:val="000000"/>
                <w:sz w:val="19"/>
                <w:szCs w:val="19"/>
              </w:rPr>
              <w:t xml:space="preserve">1.135</w:t>
            </w:r>
          </w:p>
        </w:tc>
        <w:tc>
          <w:tcPr>
            <w:tcW w:type="pct" w:w="26%"/>
            <w:tcMar>
              <w:top w:type="dxa" w:w="80"/>
              <w:left w:type="dxa" w:w="100"/>
              <w:bottom w:type="dxa" w:w="80"/>
              <w:right w:type="dxa" w:w="100"/>
            </w:tcMar>
            <w:vAlign w:val="center"/>
          </w:tcPr>
          <w:p>
            <w:pPr>
              <w:jc w:val="center"/>
            </w:pPr>
            <w:r>
              <w:rPr>
                <w:b w:val="false"/>
                <w:bCs w:val="false"/>
                <w:color w:val="000000"/>
                <w:sz w:val="19"/>
                <w:szCs w:val="19"/>
              </w:rPr>
              <w:t xml:space="preserve">1.058-1.218</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3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social_isolation</w:t>
            </w:r>
          </w:p>
        </w:tc>
        <w:tc>
          <w:tcPr>
            <w:tcW w:type="pct" w:w="1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1.295</w:t>
            </w:r>
          </w:p>
        </w:tc>
        <w:tc>
          <w:tcPr>
            <w:tcW w:type="pct" w:w="2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1.193-1.405</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&lt;0.001</w:t>
            </w:r>
          </w:p>
        </w:tc>
      </w:tr>
      <w:tr>
        <w:tc>
          <w:tcPr>
            <w:tcW w:type="pct" w:w="38%"/>
            <w:tcMar>
              <w:top w:type="dxa" w:w="80"/>
              <w:left w:type="dxa" w:w="100"/>
              <w:bottom w:type="dxa" w:w="80"/>
              <w:right w:type="dxa" w:w="100"/>
            </w:tcMar>
            <w:vAlign w:val="center"/>
          </w:tcPr>
          <w:p>
            <w:pPr>
              <w:jc w:val="left"/>
            </w:pPr>
            <w:r>
              <w:rPr>
                <w:b w:val="false"/>
                <w:bCs w:val="false"/>
                <w:color w:val="000000"/>
                <w:sz w:val="19"/>
                <w:szCs w:val="19"/>
              </w:rPr>
              <w:t xml:space="preserve">factor(survey_year)2016</w:t>
            </w:r>
          </w:p>
        </w:tc>
        <w:tc>
          <w:tcPr>
            <w:tcW w:type="pct" w:w="16%"/>
            <w:tcMar>
              <w:top w:type="dxa" w:w="80"/>
              <w:left w:type="dxa" w:w="100"/>
              <w:bottom w:type="dxa" w:w="80"/>
              <w:right w:type="dxa" w:w="100"/>
            </w:tcMar>
            <w:vAlign w:val="center"/>
          </w:tcPr>
          <w:p>
            <w:pPr>
              <w:jc w:val="center"/>
            </w:pPr>
            <w:r>
              <w:rPr>
                <w:b w:val="false"/>
                <w:bCs w:val="false"/>
                <w:color w:val="000000"/>
                <w:sz w:val="19"/>
                <w:szCs w:val="19"/>
              </w:rPr>
              <w:t xml:space="preserve">1.029</w:t>
            </w:r>
          </w:p>
        </w:tc>
        <w:tc>
          <w:tcPr>
            <w:tcW w:type="pct" w:w="26%"/>
            <w:tcMar>
              <w:top w:type="dxa" w:w="80"/>
              <w:left w:type="dxa" w:w="100"/>
              <w:bottom w:type="dxa" w:w="80"/>
              <w:right w:type="dxa" w:w="100"/>
            </w:tcMar>
            <w:vAlign w:val="center"/>
          </w:tcPr>
          <w:p>
            <w:pPr>
              <w:jc w:val="center"/>
            </w:pPr>
            <w:r>
              <w:rPr>
                <w:b w:val="false"/>
                <w:bCs w:val="false"/>
                <w:color w:val="000000"/>
                <w:sz w:val="19"/>
                <w:szCs w:val="19"/>
              </w:rPr>
              <w:t xml:space="preserve">0.919-1.153</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0.620</w:t>
            </w:r>
          </w:p>
        </w:tc>
      </w:tr>
      <w:tr>
        <w:tc>
          <w:tcPr>
            <w:tcW w:type="pct" w:w="3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factor(survey_year)2017</w:t>
            </w:r>
          </w:p>
        </w:tc>
        <w:tc>
          <w:tcPr>
            <w:tcW w:type="pct" w:w="1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0.992</w:t>
            </w:r>
          </w:p>
        </w:tc>
        <w:tc>
          <w:tcPr>
            <w:tcW w:type="pct" w:w="2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0.885-1.113</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0.895</w:t>
            </w:r>
          </w:p>
        </w:tc>
      </w:tr>
      <w:tr>
        <w:tc>
          <w:tcPr>
            <w:tcW w:type="pct" w:w="38%"/>
            <w:tcMar>
              <w:top w:type="dxa" w:w="80"/>
              <w:left w:type="dxa" w:w="100"/>
              <w:bottom w:type="dxa" w:w="80"/>
              <w:right w:type="dxa" w:w="100"/>
            </w:tcMar>
            <w:vAlign w:val="center"/>
          </w:tcPr>
          <w:p>
            <w:pPr>
              <w:jc w:val="left"/>
            </w:pPr>
            <w:r>
              <w:rPr>
                <w:b w:val="false"/>
                <w:bCs w:val="false"/>
                <w:color w:val="000000"/>
                <w:sz w:val="19"/>
                <w:szCs w:val="19"/>
              </w:rPr>
              <w:t xml:space="preserve">factor(survey_year)2018</w:t>
            </w:r>
          </w:p>
        </w:tc>
        <w:tc>
          <w:tcPr>
            <w:tcW w:type="pct" w:w="16%"/>
            <w:tcMar>
              <w:top w:type="dxa" w:w="80"/>
              <w:left w:type="dxa" w:w="100"/>
              <w:bottom w:type="dxa" w:w="80"/>
              <w:right w:type="dxa" w:w="100"/>
            </w:tcMar>
            <w:vAlign w:val="center"/>
          </w:tcPr>
          <w:p>
            <w:pPr>
              <w:jc w:val="center"/>
            </w:pPr>
            <w:r>
              <w:rPr>
                <w:b w:val="false"/>
                <w:bCs w:val="false"/>
                <w:color w:val="000000"/>
                <w:sz w:val="19"/>
                <w:szCs w:val="19"/>
              </w:rPr>
              <w:t xml:space="preserve">0.896</w:t>
            </w:r>
          </w:p>
        </w:tc>
        <w:tc>
          <w:tcPr>
            <w:tcW w:type="pct" w:w="26%"/>
            <w:tcMar>
              <w:top w:type="dxa" w:w="80"/>
              <w:left w:type="dxa" w:w="100"/>
              <w:bottom w:type="dxa" w:w="80"/>
              <w:right w:type="dxa" w:w="100"/>
            </w:tcMar>
            <w:vAlign w:val="center"/>
          </w:tcPr>
          <w:p>
            <w:pPr>
              <w:jc w:val="center"/>
            </w:pPr>
            <w:r>
              <w:rPr>
                <w:b w:val="false"/>
                <w:bCs w:val="false"/>
                <w:color w:val="000000"/>
                <w:sz w:val="19"/>
                <w:szCs w:val="19"/>
              </w:rPr>
              <w:t xml:space="preserve">0.798-1.008</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0.067</w:t>
            </w:r>
          </w:p>
        </w:tc>
      </w:tr>
      <w:tr>
        <w:tc>
          <w:tcPr>
            <w:tcW w:type="pct" w:w="3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factor(survey_year)2019</w:t>
            </w:r>
          </w:p>
        </w:tc>
        <w:tc>
          <w:tcPr>
            <w:tcW w:type="pct" w:w="1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0.887</w:t>
            </w:r>
          </w:p>
        </w:tc>
        <w:tc>
          <w:tcPr>
            <w:tcW w:type="pct" w:w="26%"/>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0.79-0.997</w:t>
            </w:r>
          </w:p>
        </w:tc>
        <w:tc>
          <w:tcPr>
            <w:tcW w:type="pct" w:w="2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0.045</w:t>
            </w:r>
          </w:p>
        </w:tc>
      </w:tr>
      <w:tr>
        <w:tc>
          <w:tcPr>
            <w:tcW w:type="pct" w:w="38%"/>
            <w:tcMar>
              <w:top w:type="dxa" w:w="80"/>
              <w:left w:type="dxa" w:w="100"/>
              <w:bottom w:type="dxa" w:w="80"/>
              <w:right w:type="dxa" w:w="100"/>
            </w:tcMar>
            <w:vAlign w:val="center"/>
          </w:tcPr>
          <w:p>
            <w:pPr>
              <w:jc w:val="left"/>
            </w:pPr>
            <w:r>
              <w:rPr>
                <w:b w:val="false"/>
                <w:bCs w:val="false"/>
                <w:color w:val="000000"/>
                <w:sz w:val="19"/>
                <w:szCs w:val="19"/>
              </w:rPr>
              <w:t xml:space="preserve">factor(survey_year)2020</w:t>
            </w:r>
          </w:p>
        </w:tc>
        <w:tc>
          <w:tcPr>
            <w:tcW w:type="pct" w:w="16%"/>
            <w:tcMar>
              <w:top w:type="dxa" w:w="80"/>
              <w:left w:type="dxa" w:w="100"/>
              <w:bottom w:type="dxa" w:w="80"/>
              <w:right w:type="dxa" w:w="100"/>
            </w:tcMar>
            <w:vAlign w:val="center"/>
          </w:tcPr>
          <w:p>
            <w:pPr>
              <w:jc w:val="center"/>
            </w:pPr>
            <w:r>
              <w:rPr>
                <w:b w:val="false"/>
                <w:bCs w:val="false"/>
                <w:color w:val="000000"/>
                <w:sz w:val="19"/>
                <w:szCs w:val="19"/>
              </w:rPr>
              <w:t xml:space="preserve">0.82</w:t>
            </w:r>
          </w:p>
        </w:tc>
        <w:tc>
          <w:tcPr>
            <w:tcW w:type="pct" w:w="26%"/>
            <w:tcMar>
              <w:top w:type="dxa" w:w="80"/>
              <w:left w:type="dxa" w:w="100"/>
              <w:bottom w:type="dxa" w:w="80"/>
              <w:right w:type="dxa" w:w="100"/>
            </w:tcMar>
            <w:vAlign w:val="center"/>
          </w:tcPr>
          <w:p>
            <w:pPr>
              <w:jc w:val="center"/>
            </w:pPr>
            <w:r>
              <w:rPr>
                <w:b w:val="false"/>
                <w:bCs w:val="false"/>
                <w:color w:val="000000"/>
                <w:sz w:val="19"/>
                <w:szCs w:val="19"/>
              </w:rPr>
              <w:t xml:space="preserve">0.727-0.923</w:t>
            </w:r>
          </w:p>
        </w:tc>
        <w:tc>
          <w:tcPr>
            <w:tcW w:type="pct" w:w="20%"/>
            <w:tcMar>
              <w:top w:type="dxa" w:w="80"/>
              <w:left w:type="dxa" w:w="100"/>
              <w:bottom w:type="dxa" w:w="80"/>
              <w:right w:type="dxa" w:w="100"/>
            </w:tcMar>
            <w:vAlign w:val="center"/>
          </w:tcPr>
          <w:p>
            <w:pPr>
              <w:jc w:val="center"/>
            </w:pPr>
            <w:r>
              <w:rPr>
                <w:b w:val="false"/>
                <w:bCs w:val="false"/>
                <w:color w:val="000000"/>
                <w:sz w:val="19"/>
                <w:szCs w:val="19"/>
              </w:rPr>
              <w:t xml:space="preserve">0.001</w:t>
            </w:r>
          </w:p>
        </w:tc>
      </w:tr>
    </w:tbl>
    <w:p>
      <w:pPr>
        <w:pStyle w:val="Heading2"/>
        <w:spacing w:after="150" w:before="300"/>
      </w:pPr>
      <w:r>
        <w:t xml:space="preserve">A.3 Variance Inflation Factors (Multicollinearity Diagnostics)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300"/>
        <w:gridCol w:w="2700"/>
      </w:tblGrid>
      <w:tr>
        <w:tc>
          <w:tcPr>
            <w:tcW w:type="pct" w:w="70%"/>
            <w:shd w:fill="1F3B4D" w:val="clear"/>
            <w:tcMar>
              <w:top w:type="dxa" w:w="80"/>
              <w:left w:type="dxa" w:w="100"/>
              <w:bottom w:type="dxa" w:w="80"/>
              <w:right w:type="dxa" w:w="100"/>
            </w:tcMar>
            <w:vAlign w:val="center"/>
          </w:tcPr>
          <w:p>
            <w:pPr>
              <w:jc w:val="center"/>
            </w:pPr>
            <w:r>
              <w:rPr>
                <w:b/>
                <w:bCs/>
                <w:color w:val="FFFFFF"/>
                <w:sz w:val="19"/>
                <w:szCs w:val="19"/>
              </w:rPr>
              <w:t xml:space="preserve">Term</w:t>
            </w:r>
          </w:p>
        </w:tc>
        <w:tc>
          <w:tcPr>
            <w:tcW w:type="pct" w:w="30%"/>
            <w:shd w:fill="1F3B4D" w:val="clear"/>
            <w:tcMar>
              <w:top w:type="dxa" w:w="80"/>
              <w:left w:type="dxa" w:w="100"/>
              <w:bottom w:type="dxa" w:w="80"/>
              <w:right w:type="dxa" w:w="100"/>
            </w:tcMar>
            <w:vAlign w:val="center"/>
          </w:tcPr>
          <w:p>
            <w:pPr>
              <w:jc w:val="center"/>
            </w:pPr>
            <w:r>
              <w:rPr>
                <w:b/>
                <w:bCs/>
                <w:color w:val="FFFFFF"/>
                <w:sz w:val="19"/>
                <w:szCs w:val="19"/>
              </w:rPr>
              <w:t xml:space="preserve">VIF</w:t>
            </w:r>
          </w:p>
        </w:tc>
      </w:tr>
      <w:tr>
        <w:tc>
          <w:tcPr>
            <w:tcW w:type="pct" w:w="70%"/>
            <w:tcMar>
              <w:top w:type="dxa" w:w="80"/>
              <w:left w:type="dxa" w:w="100"/>
              <w:bottom w:type="dxa" w:w="80"/>
              <w:right w:type="dxa" w:w="100"/>
            </w:tcMar>
            <w:vAlign w:val="center"/>
          </w:tcPr>
          <w:p>
            <w:pPr>
              <w:jc w:val="left"/>
            </w:pPr>
            <w:r>
              <w:rPr>
                <w:b w:val="false"/>
                <w:bCs w:val="false"/>
                <w:color w:val="000000"/>
                <w:sz w:val="19"/>
                <w:szCs w:val="19"/>
              </w:rPr>
              <w:t xml:space="preserve">factor(survey_year)2016</w:t>
            </w:r>
          </w:p>
        </w:tc>
        <w:tc>
          <w:tcPr>
            <w:tcW w:type="pct" w:w="30%"/>
            <w:tcMar>
              <w:top w:type="dxa" w:w="80"/>
              <w:left w:type="dxa" w:w="100"/>
              <w:bottom w:type="dxa" w:w="80"/>
              <w:right w:type="dxa" w:w="100"/>
            </w:tcMar>
            <w:vAlign w:val="center"/>
          </w:tcPr>
          <w:p>
            <w:pPr>
              <w:jc w:val="center"/>
            </w:pPr>
            <w:r>
              <w:rPr>
                <w:b w:val="false"/>
                <w:bCs w:val="false"/>
                <w:color w:val="000000"/>
                <w:sz w:val="19"/>
                <w:szCs w:val="19"/>
              </w:rPr>
              <w:t xml:space="preserve">1.67</w:t>
            </w:r>
          </w:p>
        </w:tc>
      </w:tr>
      <w:tr>
        <w:tc>
          <w:tcPr>
            <w:tcW w:type="pct" w:w="7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factor(survey_year)2019</w:t>
            </w:r>
          </w:p>
        </w:tc>
        <w:tc>
          <w:tcPr>
            <w:tcW w:type="pct" w:w="3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1.66</w:t>
            </w:r>
          </w:p>
        </w:tc>
      </w:tr>
      <w:tr>
        <w:tc>
          <w:tcPr>
            <w:tcW w:type="pct" w:w="70%"/>
            <w:tcMar>
              <w:top w:type="dxa" w:w="80"/>
              <w:left w:type="dxa" w:w="100"/>
              <w:bottom w:type="dxa" w:w="80"/>
              <w:right w:type="dxa" w:w="100"/>
            </w:tcMar>
            <w:vAlign w:val="center"/>
          </w:tcPr>
          <w:p>
            <w:pPr>
              <w:jc w:val="left"/>
            </w:pPr>
            <w:r>
              <w:rPr>
                <w:b w:val="false"/>
                <w:bCs w:val="false"/>
                <w:color w:val="000000"/>
                <w:sz w:val="19"/>
                <w:szCs w:val="19"/>
              </w:rPr>
              <w:t xml:space="preserve">factor(survey_year)2017</w:t>
            </w:r>
          </w:p>
        </w:tc>
        <w:tc>
          <w:tcPr>
            <w:tcW w:type="pct" w:w="30%"/>
            <w:tcMar>
              <w:top w:type="dxa" w:w="80"/>
              <w:left w:type="dxa" w:w="100"/>
              <w:bottom w:type="dxa" w:w="80"/>
              <w:right w:type="dxa" w:w="100"/>
            </w:tcMar>
            <w:vAlign w:val="center"/>
          </w:tcPr>
          <w:p>
            <w:pPr>
              <w:jc w:val="center"/>
            </w:pPr>
            <w:r>
              <w:rPr>
                <w:b w:val="false"/>
                <w:bCs w:val="false"/>
                <w:color w:val="000000"/>
                <w:sz w:val="19"/>
                <w:szCs w:val="19"/>
              </w:rPr>
              <w:t xml:space="preserve">1.66</w:t>
            </w:r>
          </w:p>
        </w:tc>
      </w:tr>
      <w:tr>
        <w:tc>
          <w:tcPr>
            <w:tcW w:type="pct" w:w="7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factor(survey_year)2018</w:t>
            </w:r>
          </w:p>
        </w:tc>
        <w:tc>
          <w:tcPr>
            <w:tcW w:type="pct" w:w="3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1.66</w:t>
            </w:r>
          </w:p>
        </w:tc>
      </w:tr>
      <w:tr>
        <w:tc>
          <w:tcPr>
            <w:tcW w:type="pct" w:w="70%"/>
            <w:tcMar>
              <w:top w:type="dxa" w:w="80"/>
              <w:left w:type="dxa" w:w="100"/>
              <w:bottom w:type="dxa" w:w="80"/>
              <w:right w:type="dxa" w:w="100"/>
            </w:tcMar>
            <w:vAlign w:val="center"/>
          </w:tcPr>
          <w:p>
            <w:pPr>
              <w:jc w:val="left"/>
            </w:pPr>
            <w:r>
              <w:rPr>
                <w:b w:val="false"/>
                <w:bCs w:val="false"/>
                <w:color w:val="000000"/>
                <w:sz w:val="19"/>
                <w:szCs w:val="19"/>
              </w:rPr>
              <w:t xml:space="preserve">factor(survey_year)2020</w:t>
            </w:r>
          </w:p>
        </w:tc>
        <w:tc>
          <w:tcPr>
            <w:tcW w:type="pct" w:w="30%"/>
            <w:tcMar>
              <w:top w:type="dxa" w:w="80"/>
              <w:left w:type="dxa" w:w="100"/>
              <w:bottom w:type="dxa" w:w="80"/>
              <w:right w:type="dxa" w:w="100"/>
            </w:tcMar>
            <w:vAlign w:val="center"/>
          </w:tcPr>
          <w:p>
            <w:pPr>
              <w:jc w:val="center"/>
            </w:pPr>
            <w:r>
              <w:rPr>
                <w:b w:val="false"/>
                <w:bCs w:val="false"/>
                <w:color w:val="000000"/>
                <w:sz w:val="19"/>
                <w:szCs w:val="19"/>
              </w:rPr>
              <w:t xml:space="preserve">1.65</w:t>
            </w:r>
          </w:p>
        </w:tc>
      </w:tr>
      <w:tr>
        <w:tc>
          <w:tcPr>
            <w:tcW w:type="pct" w:w="7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age_group65-74</w:t>
            </w:r>
          </w:p>
        </w:tc>
        <w:tc>
          <w:tcPr>
            <w:tcW w:type="pct" w:w="3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1.47</w:t>
            </w:r>
          </w:p>
        </w:tc>
      </w:tr>
      <w:tr>
        <w:tc>
          <w:tcPr>
            <w:tcW w:type="pct" w:w="70%"/>
            <w:tcMar>
              <w:top w:type="dxa" w:w="80"/>
              <w:left w:type="dxa" w:w="100"/>
              <w:bottom w:type="dxa" w:w="80"/>
              <w:right w:type="dxa" w:w="100"/>
            </w:tcMar>
            <w:vAlign w:val="center"/>
          </w:tcPr>
          <w:p>
            <w:pPr>
              <w:jc w:val="left"/>
            </w:pPr>
            <w:r>
              <w:rPr>
                <w:b w:val="false"/>
                <w:bCs w:val="false"/>
                <w:color w:val="000000"/>
                <w:sz w:val="19"/>
                <w:szCs w:val="19"/>
              </w:rPr>
              <w:t xml:space="preserve">age_group55-64</w:t>
            </w:r>
          </w:p>
        </w:tc>
        <w:tc>
          <w:tcPr>
            <w:tcW w:type="pct" w:w="30%"/>
            <w:tcMar>
              <w:top w:type="dxa" w:w="80"/>
              <w:left w:type="dxa" w:w="100"/>
              <w:bottom w:type="dxa" w:w="80"/>
              <w:right w:type="dxa" w:w="100"/>
            </w:tcMar>
            <w:vAlign w:val="center"/>
          </w:tcPr>
          <w:p>
            <w:pPr>
              <w:jc w:val="center"/>
            </w:pPr>
            <w:r>
              <w:rPr>
                <w:b w:val="false"/>
                <w:bCs w:val="false"/>
                <w:color w:val="000000"/>
                <w:sz w:val="19"/>
                <w:szCs w:val="19"/>
              </w:rPr>
              <w:t xml:space="preserve">1.41</w:t>
            </w:r>
          </w:p>
        </w:tc>
      </w:tr>
      <w:tr>
        <w:tc>
          <w:tcPr>
            <w:tcW w:type="pct" w:w="7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income_bracket$25,000-$49,999</w:t>
            </w:r>
          </w:p>
        </w:tc>
        <w:tc>
          <w:tcPr>
            <w:tcW w:type="pct" w:w="3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1.4</w:t>
            </w:r>
          </w:p>
        </w:tc>
      </w:tr>
      <w:tr>
        <w:tc>
          <w:tcPr>
            <w:tcW w:type="pct" w:w="70%"/>
            <w:tcMar>
              <w:top w:type="dxa" w:w="80"/>
              <w:left w:type="dxa" w:w="100"/>
              <w:bottom w:type="dxa" w:w="80"/>
              <w:right w:type="dxa" w:w="100"/>
            </w:tcMar>
            <w:vAlign w:val="center"/>
          </w:tcPr>
          <w:p>
            <w:pPr>
              <w:jc w:val="left"/>
            </w:pPr>
            <w:r>
              <w:rPr>
                <w:b w:val="false"/>
                <w:bCs w:val="false"/>
                <w:color w:val="000000"/>
                <w:sz w:val="19"/>
                <w:szCs w:val="19"/>
              </w:rPr>
              <w:t xml:space="preserve">age_group75+</w:t>
            </w:r>
          </w:p>
        </w:tc>
        <w:tc>
          <w:tcPr>
            <w:tcW w:type="pct" w:w="30%"/>
            <w:tcMar>
              <w:top w:type="dxa" w:w="80"/>
              <w:left w:type="dxa" w:w="100"/>
              <w:bottom w:type="dxa" w:w="80"/>
              <w:right w:type="dxa" w:w="100"/>
            </w:tcMar>
            <w:vAlign w:val="center"/>
          </w:tcPr>
          <w:p>
            <w:pPr>
              <w:jc w:val="center"/>
            </w:pPr>
            <w:r>
              <w:rPr>
                <w:b w:val="false"/>
                <w:bCs w:val="false"/>
                <w:color w:val="000000"/>
                <w:sz w:val="19"/>
                <w:szCs w:val="19"/>
              </w:rPr>
              <w:t xml:space="preserve">1.37</w:t>
            </w:r>
          </w:p>
        </w:tc>
      </w:tr>
      <w:tr>
        <w:tc>
          <w:tcPr>
            <w:tcW w:type="pct" w:w="7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income_bracket&lt;$25,000</w:t>
            </w:r>
          </w:p>
        </w:tc>
        <w:tc>
          <w:tcPr>
            <w:tcW w:type="pct" w:w="3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1.36</w:t>
            </w:r>
          </w:p>
        </w:tc>
      </w:tr>
      <w:tr>
        <w:tc>
          <w:tcPr>
            <w:tcW w:type="pct" w:w="70%"/>
            <w:tcMar>
              <w:top w:type="dxa" w:w="80"/>
              <w:left w:type="dxa" w:w="100"/>
              <w:bottom w:type="dxa" w:w="80"/>
              <w:right w:type="dxa" w:w="100"/>
            </w:tcMar>
            <w:vAlign w:val="center"/>
          </w:tcPr>
          <w:p>
            <w:pPr>
              <w:jc w:val="left"/>
            </w:pPr>
            <w:r>
              <w:rPr>
                <w:b w:val="false"/>
                <w:bCs w:val="false"/>
                <w:color w:val="000000"/>
                <w:sz w:val="19"/>
                <w:szCs w:val="19"/>
              </w:rPr>
              <w:t xml:space="preserve">educationSome college</w:t>
            </w:r>
          </w:p>
        </w:tc>
        <w:tc>
          <w:tcPr>
            <w:tcW w:type="pct" w:w="30%"/>
            <w:tcMar>
              <w:top w:type="dxa" w:w="80"/>
              <w:left w:type="dxa" w:w="100"/>
              <w:bottom w:type="dxa" w:w="80"/>
              <w:right w:type="dxa" w:w="100"/>
            </w:tcMar>
            <w:vAlign w:val="center"/>
          </w:tcPr>
          <w:p>
            <w:pPr>
              <w:jc w:val="center"/>
            </w:pPr>
            <w:r>
              <w:rPr>
                <w:b w:val="false"/>
                <w:bCs w:val="false"/>
                <w:color w:val="000000"/>
                <w:sz w:val="19"/>
                <w:szCs w:val="19"/>
              </w:rPr>
              <w:t xml:space="preserve">1.35</w:t>
            </w:r>
          </w:p>
        </w:tc>
      </w:tr>
      <w:tr>
        <w:tc>
          <w:tcPr>
            <w:tcW w:type="pct" w:w="7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educationHS graduate</w:t>
            </w:r>
          </w:p>
        </w:tc>
        <w:tc>
          <w:tcPr>
            <w:tcW w:type="pct" w:w="3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1.34</w:t>
            </w:r>
          </w:p>
        </w:tc>
      </w:tr>
      <w:tr>
        <w:tc>
          <w:tcPr>
            <w:tcW w:type="pct" w:w="70%"/>
            <w:tcMar>
              <w:top w:type="dxa" w:w="80"/>
              <w:left w:type="dxa" w:w="100"/>
              <w:bottom w:type="dxa" w:w="80"/>
              <w:right w:type="dxa" w:w="100"/>
            </w:tcMar>
            <w:vAlign w:val="center"/>
          </w:tcPr>
          <w:p>
            <w:pPr>
              <w:jc w:val="left"/>
            </w:pPr>
            <w:r>
              <w:rPr>
                <w:b w:val="false"/>
                <w:bCs w:val="false"/>
                <w:color w:val="000000"/>
                <w:sz w:val="19"/>
                <w:szCs w:val="19"/>
              </w:rPr>
              <w:t xml:space="preserve">income_bracket$50,000-$74,999</w:t>
            </w:r>
          </w:p>
        </w:tc>
        <w:tc>
          <w:tcPr>
            <w:tcW w:type="pct" w:w="30%"/>
            <w:tcMar>
              <w:top w:type="dxa" w:w="80"/>
              <w:left w:type="dxa" w:w="100"/>
              <w:bottom w:type="dxa" w:w="80"/>
              <w:right w:type="dxa" w:w="100"/>
            </w:tcMar>
            <w:vAlign w:val="center"/>
          </w:tcPr>
          <w:p>
            <w:pPr>
              <w:jc w:val="center"/>
            </w:pPr>
            <w:r>
              <w:rPr>
                <w:b w:val="false"/>
                <w:bCs w:val="false"/>
                <w:color w:val="000000"/>
                <w:sz w:val="19"/>
                <w:szCs w:val="19"/>
              </w:rPr>
              <w:t xml:space="preserve">1.34</w:t>
            </w:r>
          </w:p>
        </w:tc>
      </w:tr>
      <w:tr>
        <w:tc>
          <w:tcPr>
            <w:tcW w:type="pct" w:w="7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educationLess than HS</w:t>
            </w:r>
          </w:p>
        </w:tc>
        <w:tc>
          <w:tcPr>
            <w:tcW w:type="pct" w:w="3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1.18</w:t>
            </w:r>
          </w:p>
        </w:tc>
      </w:tr>
      <w:tr>
        <w:tc>
          <w:tcPr>
            <w:tcW w:type="pct" w:w="70%"/>
            <w:tcMar>
              <w:top w:type="dxa" w:w="80"/>
              <w:left w:type="dxa" w:w="100"/>
              <w:bottom w:type="dxa" w:w="80"/>
              <w:right w:type="dxa" w:w="100"/>
            </w:tcMar>
            <w:vAlign w:val="center"/>
          </w:tcPr>
          <w:p>
            <w:pPr>
              <w:jc w:val="left"/>
            </w:pPr>
            <w:r>
              <w:rPr>
                <w:b w:val="false"/>
                <w:bCs w:val="false"/>
                <w:color w:val="000000"/>
                <w:sz w:val="19"/>
                <w:szCs w:val="19"/>
              </w:rPr>
              <w:t xml:space="preserve">income_bracketMissing</w:t>
            </w:r>
          </w:p>
        </w:tc>
        <w:tc>
          <w:tcPr>
            <w:tcW w:type="pct" w:w="30%"/>
            <w:tcMar>
              <w:top w:type="dxa" w:w="80"/>
              <w:left w:type="dxa" w:w="100"/>
              <w:bottom w:type="dxa" w:w="80"/>
              <w:right w:type="dxa" w:w="100"/>
            </w:tcMar>
            <w:vAlign w:val="center"/>
          </w:tcPr>
          <w:p>
            <w:pPr>
              <w:jc w:val="center"/>
            </w:pPr>
            <w:r>
              <w:rPr>
                <w:b w:val="false"/>
                <w:bCs w:val="false"/>
                <w:color w:val="000000"/>
                <w:sz w:val="19"/>
                <w:szCs w:val="19"/>
              </w:rPr>
              <w:t xml:space="preserve">1.09</w:t>
            </w:r>
          </w:p>
        </w:tc>
      </w:tr>
    </w:tbl>
    <w:p>
      <w:r>
        <w:br w:type="page"/>
      </w:r>
    </w:p>
    <w:p>
      <w:pPr>
        <w:pStyle w:val="Heading1"/>
        <w:spacing w:after="200" w:before="400"/>
      </w:pPr>
      <w:r>
        <w:t xml:space="preserve">Appendix B: Reproducibility and Project Structure</w:t>
      </w:r>
    </w:p>
    <w:p>
      <w:pPr>
        <w:spacing w:after="160" w:line="276"/>
      </w:pPr>
      <w:r>
        <w:rPr>
          <w:sz w:val="22"/>
          <w:szCs w:val="22"/>
        </w:rPr>
        <w:t xml:space="preserve">All code, data, figures, and tables referenced in this report are included in the accompanying project folder, organized as follows:</w:t>
      </w:r>
    </w:p>
    <w:p>
      <w:pPr>
        <w:pStyle w:val="ListParagraph"/>
        <w:numPr>
          <w:ilvl w:val="0"/>
          <w:numId w:val="1"/>
        </w:numPr>
        <w:spacing w:after="90"/>
      </w:pPr>
      <w:r>
        <w:rPr>
          <w:sz w:val="22"/>
          <w:szCs w:val="22"/>
        </w:rPr>
        <w:t xml:space="preserve">data/00_generate_synthetic_brfss_data.R — calibrated dataset construction (with full documentation of calibration targets and sources)</w:t>
      </w:r>
    </w:p>
    <w:p>
      <w:pPr>
        <w:pStyle w:val="ListParagraph"/>
        <w:numPr>
          <w:ilvl w:val="0"/>
          <w:numId w:val="1"/>
        </w:numPr>
        <w:spacing w:after="90"/>
      </w:pPr>
      <w:r>
        <w:rPr>
          <w:sz w:val="22"/>
          <w:szCs w:val="22"/>
        </w:rPr>
        <w:t xml:space="preserve">scripts/01_data_cleaning.R — missing data handling, factor encoding, feature engineering</w:t>
      </w:r>
    </w:p>
    <w:p>
      <w:pPr>
        <w:pStyle w:val="ListParagraph"/>
        <w:numPr>
          <w:ilvl w:val="0"/>
          <w:numId w:val="1"/>
        </w:numPr>
        <w:spacing w:after="90"/>
      </w:pPr>
      <w:r>
        <w:rPr>
          <w:sz w:val="22"/>
          <w:szCs w:val="22"/>
        </w:rPr>
        <w:t xml:space="preserve">scripts/02_exploratory_analysis.R — Table 1, bivariate tests, Figures 1-3</w:t>
      </w:r>
    </w:p>
    <w:p>
      <w:pPr>
        <w:pStyle w:val="ListParagraph"/>
        <w:numPr>
          <w:ilvl w:val="0"/>
          <w:numId w:val="1"/>
        </w:numPr>
        <w:spacing w:after="90"/>
      </w:pPr>
      <w:r>
        <w:rPr>
          <w:sz w:val="22"/>
          <w:szCs w:val="22"/>
        </w:rPr>
        <w:t xml:space="preserve">scripts/03_logistic_regression_model.R — model fitting, AIC selection, VIF, odds ratios, Figure 4</w:t>
      </w:r>
    </w:p>
    <w:p>
      <w:pPr>
        <w:pStyle w:val="ListParagraph"/>
        <w:numPr>
          <w:ilvl w:val="0"/>
          <w:numId w:val="1"/>
        </w:numPr>
        <w:spacing w:after="90"/>
      </w:pPr>
      <w:r>
        <w:rPr>
          <w:sz w:val="22"/>
          <w:szCs w:val="22"/>
        </w:rPr>
        <w:t xml:space="preserve">scripts/04_model_diagnostics_validation.R — ROC/AUC, cross-validation, calibration, Figures 5-6</w:t>
      </w:r>
    </w:p>
    <w:p>
      <w:pPr>
        <w:pStyle w:val="ListParagraph"/>
        <w:numPr>
          <w:ilvl w:val="0"/>
          <w:numId w:val="1"/>
        </w:numPr>
        <w:spacing w:after="90"/>
      </w:pPr>
      <w:r>
        <w:rPr>
          <w:sz w:val="22"/>
          <w:szCs w:val="22"/>
        </w:rPr>
        <w:t xml:space="preserve">scripts/05_risk_stratification_recommendations.R — risk tiers, PAR analysis, Figures 7-8</w:t>
      </w:r>
    </w:p>
    <w:p>
      <w:pPr>
        <w:pStyle w:val="ListParagraph"/>
        <w:numPr>
          <w:ilvl w:val="0"/>
          <w:numId w:val="1"/>
        </w:numPr>
        <w:spacing w:after="90"/>
      </w:pPr>
      <w:r>
        <w:rPr>
          <w:sz w:val="22"/>
          <w:szCs w:val="22"/>
        </w:rPr>
        <w:t xml:space="preserve">outputs/tables/ and outputs/figures/ — all generated tables (CSV) and figures (PNG) referenced above</w:t>
      </w:r>
    </w:p>
    <w:p>
      <w:pPr>
        <w:spacing w:after="160" w:line="276"/>
      </w:pPr>
      <w:r>
        <w:rPr>
          <w:sz w:val="22"/>
          <w:szCs w:val="22"/>
        </w:rPr>
        <w:t xml:space="preserve">Environment: R version 4.3.3, base packages only (no third-party statistical packages), for full reproducibility on any standard R installation.</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Alzheimer's/SCD Risk Analysis — CDC BRFSS 2015-2020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B4D" w:sz="6" w:space="4"/>
      </w:pBdr>
      <w:spacing w:after="180" w:before="360"/>
    </w:pPr>
    <w:rPr>
      <w:rFonts w:ascii="Calibri" w:cs="Calibri" w:eastAsia="Calibri" w:hAnsi="Calibri"/>
      <w:b/>
      <w:bCs/>
      <w:color w:val="1F3B4D"/>
      <w:sz w:val="30"/>
      <w:szCs w:val="30"/>
    </w:rPr>
  </w:style>
  <w:style w:type="paragraph" w:styleId="Heading2">
    <w:name w:val="Heading 2"/>
    <w:basedOn w:val="Normal"/>
    <w:next w:val="Normal"/>
    <w:qFormat/>
    <w:pPr>
      <w:spacing w:after="120" w:before="260"/>
    </w:pPr>
    <w:rPr>
      <w:rFonts w:ascii="Calibri" w:cs="Calibri" w:eastAsia="Calibri" w:hAnsi="Calibri"/>
      <w:b/>
      <w:bCs/>
      <w:color w:val="1F3B4D"/>
      <w:sz w:val="25"/>
      <w:szCs w:val="25"/>
    </w:rPr>
  </w:style>
  <w:style w:type="paragraph" w:styleId="Heading3">
    <w:name w:val="Heading 3"/>
    <w:basedOn w:val="Normal"/>
    <w:next w:val="Normal"/>
    <w:qFormat/>
    <w:pPr>
      <w:spacing w:after="100" w:before="200"/>
    </w:pPr>
    <w:rPr>
      <w:rFonts w:ascii="Calibri" w:cs="Calibri" w:eastAsia="Calibri" w:hAnsi="Calibri"/>
      <w:b/>
      <w:bCs/>
      <w:color w:val="C150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52080a9f2dacfe3dd3fdf8591ad302532236ab8.png"/><Relationship Id="rId10" Type="http://schemas.openxmlformats.org/officeDocument/2006/relationships/image" Target="media/e0cf9dc7ec16034cdd6d1cb43c727598d0f729f6.png"/><Relationship Id="rId11" Type="http://schemas.openxmlformats.org/officeDocument/2006/relationships/image" Target="media/4f08e33396fa642bd3544a4ace99313a1bfe5c57.png"/><Relationship Id="rId12" Type="http://schemas.openxmlformats.org/officeDocument/2006/relationships/image" Target="media/b134d3bec38972eea30fd772ff2c3094cd1aa639.png"/><Relationship Id="rId13" Type="http://schemas.openxmlformats.org/officeDocument/2006/relationships/image" Target="media/a49c291057a7600f59ec25e4f8479f752ea6c55e.png"/><Relationship Id="rId14" Type="http://schemas.openxmlformats.org/officeDocument/2006/relationships/image" Target="media/b72d9968791589bc4e9fd6e6ad2245aebde581ac.png"/><Relationship Id="rId15" Type="http://schemas.openxmlformats.org/officeDocument/2006/relationships/image" Target="media/e1e934859606bc133064479c71c03f84cb4f9cef.png"/><Relationship Id="rId16" Type="http://schemas.openxmlformats.org/officeDocument/2006/relationships/image" Target="media/9733b34f257bee2a715d97c2aa99ec1f7a4dbba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2026-08-19T05:03:31.188Z</dcterms:created>
  <dcterms:modified xsi:type="dcterms:W3CDTF">2026-08-19T05:03:31.188Z</dcterms:modified>
</cp:coreProperties>
</file>

<file path=docProps/custom.xml><?xml version="1.0" encoding="utf-8"?>
<Properties xmlns="http://schemas.openxmlformats.org/officeDocument/2006/custom-properties" xmlns:vt="http://schemas.openxmlformats.org/officeDocument/2006/docPropsVTypes"/>
</file>