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rPr/>
      </w:pPr>
      <w:r>
        <w:rPr/>
        <w:t>Калибровка магнитометра HMC5883L</w:t>
        <w:tab/>
      </w:r>
    </w:p>
    <w:p>
      <w:pPr>
        <w:pStyle w:val="Style17"/>
        <w:rPr/>
      </w:pPr>
      <w:r>
        <w:rPr/>
      </w:r>
    </w:p>
    <w:p>
      <w:pPr>
        <w:pStyle w:val="Style17"/>
        <w:rPr/>
      </w:pPr>
      <w:r>
        <w:rPr/>
        <w:t xml:space="preserve"> </w:t>
      </w:r>
      <w:r>
        <w:rPr/>
        <w:t>Работа алгоритма проверена на массиве данных, полученном с помощью магнитометра. Результат хорошо совпал с ожидаемым. Разработанную программу предполагается использовать для работы с магнитометром HMC5883L и аналогами.</w:t>
      </w:r>
    </w:p>
    <w:p>
      <w:pPr>
        <w:pStyle w:val="Style17"/>
        <w:rPr/>
      </w:pPr>
      <w:r>
        <w:rPr/>
      </w:r>
    </w:p>
    <w:p>
      <w:pPr>
        <w:pStyle w:val="Style18"/>
        <w:rPr/>
      </w:pPr>
      <w:r>
        <w:rPr/>
        <w:t xml:space="preserve">1. </w:t>
      </w:r>
      <w:r>
        <w:rPr/>
        <w:t>Введение</w:t>
      </w:r>
    </w:p>
    <w:p>
      <w:pPr>
        <w:pStyle w:val="Style17"/>
        <w:rPr/>
      </w:pPr>
      <w:r>
        <w:rPr/>
        <w:t xml:space="preserve">Целью работы являлась разработка программы для калибровки трехосевого магнитометра HMC5883L. Трехосевой магнитометр HMC5883L применяется для измерения  магнитных полей </w:t>
      </w:r>
      <w:r>
        <w:rPr/>
        <w:t xml:space="preserve">порядка 8 ГС </w:t>
      </w:r>
      <w:r>
        <w:rPr/>
        <w:t xml:space="preserve">в физических исследованиях. </w:t>
      </w:r>
    </w:p>
    <w:p>
      <w:pPr>
        <w:pStyle w:val="Style17"/>
        <w:rPr/>
      </w:pPr>
      <w:r>
        <w:rPr/>
        <w:t>Он измеряет относительную величину магнитного поля тремя независимыми датчиками, соответствующими трем осям декартовой системы координат.</w:t>
      </w:r>
    </w:p>
    <w:p>
      <w:pPr>
        <w:pStyle w:val="Style17"/>
        <w:rPr/>
      </w:pPr>
      <w:r>
        <w:rPr/>
        <w:t>Каждый из трех датчиков имеет отличающееся от других усиление и смещенный ноль, вследствие чего перед использованием магнитометра его необходимо подвергнуть калибровке.</w:t>
      </w:r>
    </w:p>
    <w:p>
      <w:pPr>
        <w:pStyle w:val="Style17"/>
        <w:rPr/>
      </w:pPr>
      <w:r>
        <w:rPr/>
        <w:t>При измерении однородного магнитного поля точки, полученные при измерении откалиброванным магнитометром должны ложиться на сферу, а реальный результат - эллипс, сдвинутый относительно начала координат. Калибровка сводится к поиску матрицы преобразования этого эллипса в сферу.</w:t>
      </w:r>
    </w:p>
    <w:p>
      <w:pPr>
        <w:pStyle w:val="Style17"/>
        <w:rPr/>
      </w:pPr>
      <w:r>
        <w:rPr/>
        <w:t>Алгоритм также подходит для калибровки других трехосевых магнитометров, а также для проверки точности калибровки тех, которые поставляются в откалиброванном виде.</w:t>
      </w:r>
    </w:p>
    <w:p>
      <w:pPr>
        <w:pStyle w:val="Style17"/>
        <w:rPr/>
      </w:pPr>
      <w:r>
        <w:rPr/>
      </w:r>
    </w:p>
    <w:p>
      <w:pPr>
        <w:pStyle w:val="Style18"/>
        <w:rPr/>
      </w:pPr>
      <w:r>
        <w:rPr/>
        <w:t xml:space="preserve">2. </w:t>
      </w:r>
      <w:r>
        <w:rPr/>
        <w:t>Характеристики прибора</w:t>
      </w:r>
    </w:p>
    <w:p>
      <w:pPr>
        <w:pStyle w:val="Style17"/>
        <w:rPr/>
      </w:pPr>
      <w:r>
        <w:rPr/>
        <w:t xml:space="preserve">Магнитометр HMC5883L — это трехосевой прибор, основанный на эффекте Холла с цифровым интерфейсом. </w:t>
      </w:r>
      <w:r>
        <w:rPr/>
        <w:t xml:space="preserve">Среднее потребление тока при проведении измерений — 100 микроампер. Прибор позволяет проводить измерения магнитных полей величиной до 8 Гс с точностью 2 мГс. </w:t>
      </w:r>
    </w:p>
    <w:p>
      <w:pPr>
        <w:pStyle w:val="Style17"/>
        <w:rPr/>
      </w:pPr>
      <w:r>
        <w:rPr/>
        <w:t>Результаты измерений транслируются по цифровой последовательной I</w:t>
      </w:r>
      <w:r>
        <w:rPr>
          <w:vertAlign w:val="superscript"/>
        </w:rPr>
        <w:t>2</w:t>
      </w:r>
      <w:r>
        <w:rPr/>
        <w:t xml:space="preserve">C шине с частотой до 160 Гц. </w:t>
      </w:r>
    </w:p>
    <w:p>
      <w:pPr>
        <w:pStyle w:val="Style18"/>
        <w:rPr/>
      </w:pPr>
      <w:r>
        <w:rPr/>
        <w:t xml:space="preserve">3. </w:t>
      </w:r>
      <w:r>
        <w:rPr/>
        <w:t xml:space="preserve">Эффект Холла </w:t>
      </w:r>
    </w:p>
    <w:p>
      <w:pPr>
        <w:pStyle w:val="Style20"/>
        <w:spacing w:before="0" w:after="115"/>
        <w:ind w:right="144" w:hanging="0"/>
        <w:rPr/>
      </w:pPr>
      <w:r>
        <w:drawing>
          <wp:anchor behindDoc="0" distT="0" distB="0" distL="0" distR="0" simplePos="0" locked="0" layoutInCell="1" allowOverlap="1" relativeHeight="19">
            <wp:simplePos x="0" y="0"/>
            <wp:positionH relativeFrom="column">
              <wp:posOffset>1310640</wp:posOffset>
            </wp:positionH>
            <wp:positionV relativeFrom="paragraph">
              <wp:posOffset>635</wp:posOffset>
            </wp:positionV>
            <wp:extent cx="2714625" cy="17526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14625" cy="1752600"/>
                    </a:xfrm>
                    <a:prstGeom prst="rect">
                      <a:avLst/>
                    </a:prstGeom>
                  </pic:spPr>
                </pic:pic>
              </a:graphicData>
            </a:graphic>
          </wp:anchor>
        </w:drawing>
        <w:drawing>
          <wp:anchor behindDoc="0" distT="0" distB="0" distL="0" distR="0" simplePos="0" locked="0" layoutInCell="1" allowOverlap="1" relativeHeight="20">
            <wp:simplePos x="0" y="0"/>
            <wp:positionH relativeFrom="column">
              <wp:posOffset>1381760</wp:posOffset>
            </wp:positionH>
            <wp:positionV relativeFrom="paragraph">
              <wp:posOffset>-21590</wp:posOffset>
            </wp:positionV>
            <wp:extent cx="2714625" cy="17526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14625" cy="1752600"/>
                    </a:xfrm>
                    <a:prstGeom prst="rect">
                      <a:avLst/>
                    </a:prstGeom>
                  </pic:spPr>
                </pic:pic>
              </a:graphicData>
            </a:graphic>
          </wp:anchor>
        </w:drawing>
      </w:r>
      <w:r>
        <w:rPr/>
        <w:t xml:space="preserve">Рис </w:t>
      </w:r>
      <w:r>
        <w:rPr/>
        <w:t>1. Иллюстрация действия эффекта Холла.</w:t>
      </w:r>
    </w:p>
    <w:p>
      <w:pPr>
        <w:pStyle w:val="Style17"/>
        <w:rPr/>
      </w:pPr>
      <w:r>
        <w:rPr/>
        <w:tab/>
        <w:t>Магнитометр HMC5883L основан на эффекте Холла. Эффект Холла заключается в возникновении разности потенциалов, называемой холловским напряжением, при помещении проводника, по которому протекает постоянный ток, в магнитное поле. Причиной эффекта Холла является сила Лоренца, действующая на движущиеся заряды в проводнике.</w:t>
      </w:r>
    </w:p>
    <w:p>
      <w:pPr>
        <w:pStyle w:val="Style17"/>
        <w:rPr/>
      </w:pPr>
      <w:r>
        <w:rPr/>
        <w:t xml:space="preserve">Пример действия эффекта Холла показан на рис. 1. </w:t>
      </w:r>
      <w:r>
        <w:rPr/>
        <w:t xml:space="preserve">Пусть по проводящему параллелепипеду высоты </w:t>
      </w:r>
      <w:r>
        <w:rPr>
          <w:i/>
          <w:iCs/>
        </w:rPr>
        <w:t xml:space="preserve">t, </w:t>
      </w:r>
      <w:r>
        <w:rPr>
          <w:i w:val="false"/>
          <w:iCs w:val="false"/>
        </w:rPr>
        <w:t>длины</w:t>
      </w:r>
      <w:r>
        <w:rPr>
          <w:i/>
          <w:iCs/>
        </w:rPr>
        <w:t xml:space="preserve"> l, </w:t>
      </w:r>
      <w:r>
        <w:rPr>
          <w:i w:val="false"/>
          <w:iCs w:val="false"/>
        </w:rPr>
        <w:t xml:space="preserve">ширины </w:t>
      </w:r>
      <w:r>
        <w:rPr>
          <w:i/>
          <w:iCs/>
        </w:rPr>
        <w:t xml:space="preserve">w </w:t>
      </w:r>
      <w:r>
        <w:rPr>
          <w:i w:val="false"/>
          <w:iCs w:val="false"/>
        </w:rPr>
        <w:t xml:space="preserve">течет ток </w:t>
      </w:r>
      <w:r>
        <w:rPr>
          <w:i/>
          <w:iCs/>
        </w:rPr>
        <w:t>I</w:t>
      </w:r>
      <w:r>
        <w:rPr>
          <w:i w:val="false"/>
          <w:iCs w:val="false"/>
        </w:rPr>
        <w:t xml:space="preserve">. Магнитное поле </w:t>
      </w:r>
      <w:r>
        <w:rPr>
          <w:i/>
          <w:iCs/>
        </w:rPr>
        <w:t>B</w:t>
      </w:r>
      <w:r>
        <w:rPr>
          <w:i/>
          <w:iCs/>
          <w:vertAlign w:val="subscript"/>
        </w:rPr>
        <w:t>z</w:t>
      </w:r>
      <w:r>
        <w:rPr>
          <w:i/>
          <w:iCs/>
        </w:rPr>
        <w:t xml:space="preserve"> </w:t>
      </w:r>
      <w:r>
        <w:rPr>
          <w:i w:val="false"/>
          <w:iCs w:val="false"/>
        </w:rPr>
        <w:t xml:space="preserve">направлено перпендикулярно грани параллелепипеда с длиной  </w:t>
      </w:r>
      <w:r>
        <w:rPr>
          <w:i/>
          <w:iCs/>
        </w:rPr>
        <w:t xml:space="preserve">l </w:t>
      </w:r>
      <w:r>
        <w:rPr>
          <w:i w:val="false"/>
          <w:iCs w:val="false"/>
        </w:rPr>
        <w:t>и шириной</w:t>
      </w:r>
      <w:r>
        <w:rPr>
          <w:i/>
          <w:iCs/>
        </w:rPr>
        <w:t xml:space="preserve"> w</w:t>
      </w:r>
      <w:r>
        <w:rPr>
          <w:i/>
          <w:iCs/>
        </w:rPr>
        <w:t xml:space="preserve">. </w:t>
      </w:r>
      <w:r>
        <w:rPr>
          <w:i w:val="false"/>
          <w:iCs w:val="false"/>
        </w:rPr>
        <w:t>Тогда сила Лоренца, действующая на движущиеся электроны</w:t>
      </w:r>
      <w:r>
        <w:rPr>
          <w:i w:val="false"/>
          <w:iCs w:val="false"/>
        </w:rPr>
        <w:t>, будет смещать их в направлении одной из граней параллелепипеда до тех пор, пока возникшая таким образом холловская разность потенциалов не скомпенсирует действие силы Лоренца.</w:t>
      </w:r>
    </w:p>
    <w:p>
      <w:pPr>
        <w:pStyle w:val="Style17"/>
        <w:widowControl/>
        <w:tabs>
          <w:tab w:val="left" w:pos="350" w:leader="none"/>
        </w:tabs>
        <w:overflowPunct w:val="false"/>
        <w:bidi w:val="0"/>
        <w:spacing w:lineRule="auto" w:line="360"/>
        <w:ind w:left="0" w:right="0" w:hanging="0"/>
        <w:jc w:val="both"/>
        <w:rPr/>
      </w:pPr>
      <w:r>
        <w:rPr>
          <w:i w:val="false"/>
          <w:iCs w:val="false"/>
        </w:rPr>
      </w:r>
      <m:oMath xmlns:m="http://schemas.openxmlformats.org/officeDocument/2006/math">
        <m:sSub>
          <m:e>
            <m:r>
              <w:rPr>
                <w:rFonts w:ascii="Cambria Math" w:hAnsi="Cambria Math"/>
              </w:rPr>
              <m:t xml:space="preserve">E</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x</m:t>
            </m:r>
          </m:sub>
        </m:sSub>
        <m:r>
          <w:rPr>
            <w:rFonts w:ascii="Cambria Math" w:hAnsi="Cambria Math"/>
          </w:rPr>
          <m:t xml:space="preserve">B</m:t>
        </m:r>
        <m:r>
          <w:rPr>
            <w:rFonts w:ascii="Cambria Math" w:hAnsi="Cambria Math"/>
          </w:rPr>
          <m:t xml:space="preserve">=</m:t>
        </m:r>
        <m:r>
          <w:rPr>
            <w:rFonts w:ascii="Cambria Math" w:hAnsi="Cambria Math"/>
          </w:rPr>
          <m:t xml:space="preserve">0</m:t>
        </m:r>
      </m:oMath>
    </w:p>
    <w:p>
      <w:pPr>
        <w:pStyle w:val="Style17"/>
        <w:ind w:left="0" w:right="0" w:hanging="0"/>
        <w:rPr/>
      </w:pPr>
      <w:r>
        <w:rPr/>
        <w:t xml:space="preserve">где </w:t>
      </w:r>
      <w:r>
        <w:rPr/>
      </w:r>
      <m:oMath xmlns:m="http://schemas.openxmlformats.org/officeDocument/2006/math">
        <m:sSub>
          <m:e>
            <m:r>
              <w:rPr>
                <w:rFonts w:ascii="Cambria Math" w:hAnsi="Cambria Math"/>
              </w:rPr>
              <m:t xml:space="preserve">E</m:t>
            </m:r>
          </m:e>
          <m:sub>
            <m:r>
              <w:rPr>
                <w:rFonts w:ascii="Cambria Math" w:hAnsi="Cambria Math"/>
              </w:rPr>
              <m:t xml:space="preserve">y</m:t>
            </m:r>
          </m:sub>
        </m:sSub>
      </m:oMath>
      <w:r>
        <w:rPr/>
        <w:t xml:space="preserve"> - напряжение, возникшее в результате смещения электронов.</w:t>
      </w:r>
    </w:p>
    <w:p>
      <w:pPr>
        <w:pStyle w:val="Style17"/>
        <w:ind w:left="0" w:right="0" w:hanging="0"/>
        <w:rPr/>
      </w:pPr>
      <w:r>
        <w:rPr/>
        <w:t>Тогда Холловское напряжение</w:t>
      </w:r>
    </w:p>
    <w:p>
      <w:pPr>
        <w:pStyle w:val="Style17"/>
        <w:ind w:left="0" w:right="0" w:hanging="0"/>
        <w:rPr/>
      </w:pPr>
      <w:r>
        <w:rPr/>
      </w:r>
      <m:oMath xmlns:m="http://schemas.openxmlformats.org/officeDocument/2006/math">
        <m:sSub>
          <m:e>
            <m:r>
              <w:rPr>
                <w:rFonts w:ascii="Cambria Math" w:hAnsi="Cambria Math"/>
              </w:rPr>
              <m:t xml:space="preserve">V</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x</m:t>
            </m:r>
          </m:sub>
        </m:sSub>
        <m:r>
          <w:rPr>
            <w:rFonts w:ascii="Cambria Math" w:hAnsi="Cambria Math"/>
          </w:rPr>
          <m:t xml:space="preserve">Bw</m:t>
        </m:r>
        <m:r>
          <w:rPr>
            <w:rFonts w:ascii="Cambria Math" w:hAnsi="Cambria Math"/>
          </w:rPr>
          <m:t xml:space="preserve">=</m:t>
        </m:r>
        <m:f>
          <m:num>
            <m:r>
              <w:rPr>
                <w:rFonts w:ascii="Cambria Math" w:hAnsi="Cambria Math"/>
              </w:rPr>
              <m:t xml:space="preserve">IB</m:t>
            </m:r>
          </m:num>
          <m:den>
            <m:r>
              <w:rPr>
                <w:rFonts w:ascii="Cambria Math" w:hAnsi="Cambria Math"/>
              </w:rPr>
              <m:t xml:space="preserve">nte</m:t>
            </m:r>
          </m:den>
        </m:f>
      </m:oMath>
    </w:p>
    <w:p>
      <w:pPr>
        <w:pStyle w:val="Style17"/>
        <w:ind w:left="0" w:right="0" w:hanging="0"/>
        <w:rPr/>
      </w:pPr>
      <w:r>
        <w:rPr/>
        <w:t xml:space="preserve">где </w:t>
      </w:r>
      <w:r>
        <w:rPr/>
        <w:t>n</w:t>
      </w:r>
      <w:r>
        <w:rPr/>
        <w:t xml:space="preserve"> — </w:t>
      </w:r>
      <w:r>
        <w:rPr/>
        <w:t>концентрация носителей зарядов</w:t>
      </w:r>
      <w:r>
        <w:rPr/>
        <w:t>.</w:t>
      </w:r>
    </w:p>
    <w:p>
      <w:pPr>
        <w:pStyle w:val="Style17"/>
        <w:rPr/>
      </w:pPr>
      <w:r>
        <w:rPr/>
      </w:r>
    </w:p>
    <w:p>
      <w:pPr>
        <w:pStyle w:val="Style18"/>
        <w:rPr/>
      </w:pPr>
      <w:r>
        <w:rPr/>
        <w:t>4. Описание алгоритма</w:t>
      </w:r>
    </w:p>
    <w:p>
      <w:pPr>
        <w:pStyle w:val="Style17"/>
        <w:rPr>
          <w:lang w:val="ru-RU" w:eastAsia="ru-RU"/>
        </w:rPr>
      </w:pPr>
      <w:r>
        <w:rPr>
          <w:lang w:val="ru-RU" w:eastAsia="ru-RU"/>
        </w:rPr>
        <w:t xml:space="preserve">Точки, полученные в результате работы не откалиброванного магнитометра лежат на эллипсе. Для описания эллипса нужны четыре точки. Для повышения точности результатов следует брать четыре точки, расположенные относительно друг друга «удачным» образом, но метод получения четырех хороших точек лежит за пределами данной работы. </w:t>
      </w:r>
    </w:p>
    <w:p>
      <w:pPr>
        <w:pStyle w:val="Style17"/>
        <w:rPr/>
      </w:pPr>
      <w:r>
        <w:rPr/>
        <w:t xml:space="preserve">На основании четырех точек, координаты которых будем обозначать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oMath>
      <w:r>
        <w:rPr/>
        <w:t xml:space="preserve">и так далее, можно составить систему уравнений для поиска коэффициентов матрицы трансформации эллипса в сферу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d>
          <m:dPr>
            <m:begChr m:val="("/>
            <m:endChr m:val=")"/>
          </m:dPr>
          <m:e>
            <m:r>
              <w:rPr>
                <w:rFonts w:ascii="Cambria Math" w:hAnsi="Cambria Math"/>
              </w:rPr>
              <m:t xml:space="preserve">α</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e>
            </m:d>
            <m:r>
              <w:rPr>
                <w:rFonts w:ascii="Cambria Math" w:hAnsi="Cambria Math"/>
              </w:rPr>
              <m:t xml:space="preserve">,</m:t>
            </m:r>
            <m:r>
              <w:rPr>
                <w:rFonts w:ascii="Cambria Math" w:hAnsi="Cambria Math"/>
              </w:rPr>
              <m:t xml:space="preserve">β</m:t>
            </m:r>
            <m:d>
              <m:dPr>
                <m:begChr m:val="("/>
                <m:endChr m:val=")"/>
              </m:dPr>
              <m:e>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d>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e>
        </m:d>
      </m:oMath>
    </w:p>
    <w:p>
      <w:pPr>
        <w:pStyle w:val="Style17"/>
        <w:widowControl/>
        <w:tabs>
          <w:tab w:val="clear" w:pos="480"/>
        </w:tabs>
        <w:bidi w:val="0"/>
        <w:spacing w:lineRule="auto" w:line="360"/>
        <w:ind w:left="0" w:right="0" w:hanging="0"/>
        <w:jc w:val="both"/>
        <w:rPr/>
      </w:pPr>
      <w:r>
        <w:rPr/>
        <w:t>учитывая, что калибровка проводится в однородном поле, то есть модуль вектора — константа. Таким образом, получим уравнение</w:t>
      </w:r>
    </w:p>
    <w:p>
      <w:pPr>
        <w:pStyle w:val="Style17"/>
        <w:widowControl/>
        <w:tabs>
          <w:tab w:val="clear" w:pos="480"/>
        </w:tabs>
        <w:bidi w:val="0"/>
        <w:spacing w:lineRule="auto" w:line="360"/>
        <w:ind w:left="0" w:right="0" w:hanging="0"/>
        <w:jc w:val="both"/>
        <w:rPr/>
      </w:pPr>
      <w:r>
        <w:rPr/>
      </w:r>
      <m:oMath xmlns:m="http://schemas.openxmlformats.org/officeDocument/2006/math">
        <m:r>
          <w:rPr>
            <w:rFonts w:ascii="Cambria Math" w:hAnsi="Cambria Math"/>
          </w:rPr>
          <m:t xml:space="preserve">α</m:t>
        </m:r>
        <m:sSup>
          <m:e>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β</m:t>
        </m:r>
        <m:sSup>
          <m:e>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γ</m:t>
        </m:r>
        <m:sSup>
          <m:e>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p>
    <w:p>
      <w:pPr>
        <w:pStyle w:val="Style17"/>
        <w:widowControl/>
        <w:tabs>
          <w:tab w:val="clear" w:pos="480"/>
        </w:tabs>
        <w:bidi w:val="0"/>
        <w:spacing w:lineRule="auto" w:line="360"/>
        <w:ind w:left="0" w:right="0" w:hanging="0"/>
        <w:jc w:val="both"/>
        <w:rPr/>
      </w:pPr>
      <w:r>
        <w:rPr/>
        <w:t>Добавив аналогичное уравнение для второй точки и преобразовав систему, получим</w:t>
      </w:r>
    </w:p>
    <w:p>
      <w:pPr>
        <w:pStyle w:val="Style17"/>
        <w:widowControl/>
        <w:tabs>
          <w:tab w:val="clear" w:pos="480"/>
        </w:tabs>
        <w:bidi w:val="0"/>
        <w:spacing w:lineRule="auto" w:line="360"/>
        <w:ind w:left="0" w:right="0" w:hanging="0"/>
        <w:jc w:val="both"/>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r>
          <w:rPr>
            <w:rFonts w:ascii="Cambria Math" w:hAnsi="Cambria Math"/>
          </w:rPr>
          <m:t xml:space="preserve">+</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oMath>
    </w:p>
    <w:p>
      <w:pPr>
        <w:pStyle w:val="Style17"/>
        <w:widowControl/>
        <w:tabs>
          <w:tab w:val="clear" w:pos="480"/>
        </w:tabs>
        <w:bidi w:val="0"/>
        <w:spacing w:lineRule="auto" w:line="360"/>
        <w:ind w:left="0" w:right="0" w:hanging="0"/>
        <w:jc w:val="both"/>
        <w:rPr/>
      </w:pPr>
      <w:r>
        <w:rPr/>
        <w:t>Учтя все начальные точки, получим систему из трех уравнений</w:t>
      </w:r>
    </w:p>
    <w:p>
      <w:pPr>
        <w:pStyle w:val="Style17"/>
        <w:widowControl/>
        <w:tabs>
          <w:tab w:val="clear" w:pos="480"/>
        </w:tabs>
        <w:bidi w:val="0"/>
        <w:spacing w:lineRule="auto" w:line="360"/>
        <w:ind w:left="0" w:right="0" w:hanging="0"/>
        <w:jc w:val="both"/>
        <w:rPr/>
      </w:pPr>
      <w:r>
        <w:rPr/>
      </w:r>
      <m:oMath xmlns:m="http://schemas.openxmlformats.org/officeDocument/2006/math">
        <m:d>
          <m:dPr>
            <m:begChr m:val="("/>
            <m:endChr m:val=")"/>
          </m:dPr>
          <m:e>
            <m:m>
              <m:mr>
                <m:e>
                  <m:r>
                    <w:rPr>
                      <w:rFonts w:ascii="Cambria Math" w:hAnsi="Cambria Math"/>
                    </w:rPr>
                    <m:t xml:space="preserve">2</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e>
                <m:e>
                  <m:r>
                    <w:rPr>
                      <w:rFonts w:ascii="Cambria Math" w:hAnsi="Cambria Math"/>
                    </w:rPr>
                    <m:t xml:space="preserve">2</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e>
                <m:e>
                  <m:r>
                    <w:rPr>
                      <w:rFonts w:ascii="Cambria Math" w:hAnsi="Cambria Math"/>
                    </w:rPr>
                    <m:t xml:space="preserve">2</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e>
              </m:mr>
              <m:mr>
                <m:e>
                  <m:r>
                    <w:rPr>
                      <w:rFonts w:ascii="Cambria Math" w:hAnsi="Cambria Math"/>
                    </w:rPr>
                    <m:t xml:space="preserve">2</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d>
                </m:e>
                <m:e>
                  <m:r>
                    <w:rPr>
                      <w:rFonts w:ascii="Cambria Math" w:hAnsi="Cambria Math"/>
                    </w:rPr>
                    <m:t xml:space="preserve">2</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d>
                </m:e>
                <m:e>
                  <m:r>
                    <w:rPr>
                      <w:rFonts w:ascii="Cambria Math" w:hAnsi="Cambria Math"/>
                    </w:rPr>
                    <m:t xml:space="preserve">2</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d>
                </m:e>
              </m:mr>
              <m:mr>
                <m:e>
                  <m:r>
                    <w:rPr>
                      <w:rFonts w:ascii="Cambria Math" w:hAnsi="Cambria Math"/>
                    </w:rPr>
                    <m:t xml:space="preserve">2</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e>
                  </m:d>
                </m:e>
                <m:e>
                  <m:r>
                    <w:rPr>
                      <w:rFonts w:ascii="Cambria Math" w:hAnsi="Cambria Math"/>
                    </w:rPr>
                    <m:t xml:space="preserve">2</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d>
                </m:e>
                <m:e>
                  <m:r>
                    <w:rPr>
                      <w:rFonts w:ascii="Cambria Math" w:hAnsi="Cambria Math"/>
                    </w:rPr>
                    <m:t xml:space="preserve">2</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d>
                </m:e>
              </m:mr>
            </m:m>
          </m:e>
        </m:d>
        <m:d>
          <m:dPr>
            <m:begChr m:val="("/>
            <m:endChr m:val=")"/>
          </m:dPr>
          <m:e>
            <m:m>
              <m:mr>
                <m:e>
                  <m:sSub>
                    <m:e>
                      <m:r>
                        <w:rPr>
                          <w:rFonts w:ascii="Cambria Math" w:hAnsi="Cambria Math"/>
                        </w:rPr>
                        <m:t xml:space="preserve">x</m:t>
                      </m:r>
                    </m:e>
                    <m:sub>
                      <m:r>
                        <w:rPr>
                          <w:rFonts w:ascii="Cambria Math" w:hAnsi="Cambria Math"/>
                        </w:rPr>
                        <m:t xml:space="preserve">0</m:t>
                      </m:r>
                    </m:sub>
                  </m:sSub>
                </m:e>
              </m:mr>
              <m:mr>
                <m:e>
                  <m:sSub>
                    <m:e>
                      <m:r>
                        <w:rPr>
                          <w:rFonts w:ascii="Cambria Math" w:hAnsi="Cambria Math"/>
                        </w:rPr>
                        <m:t xml:space="preserve">y</m:t>
                      </m:r>
                    </m:e>
                    <m:sub>
                      <m:r>
                        <w:rPr>
                          <w:rFonts w:ascii="Cambria Math" w:hAnsi="Cambria Math"/>
                        </w:rPr>
                        <m:t xml:space="preserve">0</m:t>
                      </m:r>
                    </m:sub>
                  </m:sSub>
                </m:e>
              </m:mr>
              <m:mr>
                <m:e>
                  <m:sSub>
                    <m:e>
                      <m:r>
                        <w:rPr>
                          <w:rFonts w:ascii="Cambria Math" w:hAnsi="Cambria Math"/>
                        </w:rPr>
                        <m:t xml:space="preserve">z</m:t>
                      </m:r>
                    </m:e>
                    <m:sub>
                      <m:r>
                        <w:rPr>
                          <w:rFonts w:ascii="Cambria Math" w:hAnsi="Cambria Math"/>
                        </w:rPr>
                        <m:t xml:space="preserve">0</m:t>
                      </m:r>
                    </m:sub>
                  </m:sSub>
                </m:e>
              </m:mr>
            </m:m>
          </m:e>
        </m:d>
        <m:r>
          <w:rPr>
            <w:rFonts w:ascii="Cambria Math" w:hAnsi="Cambria Math"/>
          </w:rPr>
          <m:t xml:space="preserve">=</m:t>
        </m:r>
        <m:d>
          <m:dPr>
            <m:begChr m:val="("/>
            <m:endChr m:val=")"/>
          </m:dPr>
          <m:e>
            <m:m>
              <m:mr>
                <m:e>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2</m:t>
                          </m:r>
                        </m:sub>
                        <m:sup>
                          <m:r>
                            <w:rPr>
                              <w:rFonts w:ascii="Cambria Math" w:hAnsi="Cambria Math"/>
                            </w:rPr>
                            <m:t xml:space="preserve">2</m:t>
                          </m:r>
                        </m:sup>
                      </m:sSubSup>
                    </m:e>
                  </m:d>
                </m:e>
              </m:mr>
              <m:mr>
                <m:e>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3</m:t>
                          </m:r>
                        </m:sub>
                        <m:sup>
                          <m:r>
                            <w:rPr>
                              <w:rFonts w:ascii="Cambria Math" w:hAnsi="Cambria Math"/>
                            </w:rPr>
                            <m:t xml:space="preserve">2</m:t>
                          </m:r>
                        </m:sup>
                      </m:sSubSup>
                    </m:e>
                  </m:d>
                </m:e>
              </m:mr>
              <m:mr>
                <m:e>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4</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4</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4</m:t>
                          </m:r>
                        </m:sub>
                        <m:sup>
                          <m:r>
                            <w:rPr>
                              <w:rFonts w:ascii="Cambria Math" w:hAnsi="Cambria Math"/>
                            </w:rPr>
                            <m:t xml:space="preserve">2</m:t>
                          </m:r>
                        </m:sup>
                      </m:sSubSup>
                    </m:e>
                  </m:d>
                </m:e>
              </m:mr>
            </m:m>
          </m:e>
        </m:d>
        <m:r>
          <w:rPr>
            <w:rFonts w:ascii="Cambria Math" w:hAnsi="Cambria Math"/>
          </w:rPr>
          <m:t xml:space="preserve">=</m:t>
        </m:r>
        <m:d>
          <m:dPr>
            <m:begChr m:val="("/>
            <m:endChr m:val=")"/>
          </m:dPr>
          <m:e>
            <m:m>
              <m:mr>
                <m:e>
                  <m:r>
                    <w:rPr>
                      <w:rFonts w:ascii="Cambria Math" w:hAnsi="Cambria Math"/>
                    </w:rPr>
                    <m:t xml:space="preserve">a</m:t>
                  </m:r>
                </m:e>
              </m:mr>
              <m:mr>
                <m:e>
                  <m:r>
                    <w:rPr>
                      <w:rFonts w:ascii="Cambria Math" w:hAnsi="Cambria Math"/>
                    </w:rPr>
                    <m:t xml:space="preserve">b</m:t>
                  </m:r>
                </m:e>
              </m:mr>
              <m:mr>
                <m:e>
                  <m:r>
                    <w:rPr>
                      <w:rFonts w:ascii="Cambria Math" w:hAnsi="Cambria Math"/>
                    </w:rPr>
                    <m:t xml:space="preserve">c</m:t>
                  </m:r>
                </m:e>
              </m:mr>
            </m:m>
          </m:e>
        </m:d>
      </m:oMath>
    </w:p>
    <w:p>
      <w:pPr>
        <w:pStyle w:val="Style17"/>
        <w:widowControl/>
        <w:tabs>
          <w:tab w:val="clear" w:pos="480"/>
        </w:tabs>
        <w:bidi w:val="0"/>
        <w:spacing w:lineRule="auto" w:line="360"/>
        <w:ind w:left="0" w:right="0" w:hanging="0"/>
        <w:jc w:val="both"/>
        <w:rPr/>
      </w:pPr>
      <w:r>
        <w:rPr/>
        <w:t xml:space="preserve">Решая эту систему, получаем </w:t>
      </w:r>
      <w:r>
        <w:rPr/>
      </w:r>
      <m:oMath xmlns:m="http://schemas.openxmlformats.org/officeDocument/2006/math">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Δ</m:t>
            </m:r>
          </m:num>
          <m:den>
            <m:r>
              <w:rPr>
                <w:rFonts w:ascii="Cambria Math" w:hAnsi="Cambria Math"/>
              </w:rPr>
              <m:t xml:space="preserve">2</m:t>
            </m:r>
            <m:sSub>
              <m:e>
                <m:r>
                  <w:rPr>
                    <w:rFonts w:ascii="Cambria Math" w:hAnsi="Cambria Math"/>
                  </w:rPr>
                  <m:t xml:space="preserve">αΔ</m:t>
                </m:r>
              </m:e>
              <m:sub>
                <m:r>
                  <w:rPr>
                    <w:rFonts w:ascii="Cambria Math" w:hAnsi="Cambria Math"/>
                  </w:rPr>
                  <m:t xml:space="preserve">x</m:t>
                </m:r>
              </m:sub>
            </m:sSub>
          </m:den>
        </m:f>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Δ</m:t>
            </m:r>
          </m:num>
          <m:den>
            <m:r>
              <w:rPr>
                <w:rFonts w:ascii="Cambria Math" w:hAnsi="Cambria Math"/>
              </w:rPr>
              <m:t xml:space="preserve">2</m:t>
            </m:r>
            <m:sSub>
              <m:e>
                <m:r>
                  <w:rPr>
                    <w:rFonts w:ascii="Cambria Math" w:hAnsi="Cambria Math"/>
                  </w:rPr>
                  <m:t xml:space="preserve">βΔ</m:t>
                </m:r>
              </m:e>
              <m:sub>
                <m:r>
                  <w:rPr>
                    <w:rFonts w:ascii="Cambria Math" w:hAnsi="Cambria Math"/>
                  </w:rPr>
                  <m:t xml:space="preserve">y</m:t>
                </m:r>
              </m:sub>
            </m:sSub>
          </m:den>
        </m:f>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Δ</m:t>
            </m:r>
          </m:num>
          <m:den>
            <m:r>
              <w:rPr>
                <w:rFonts w:ascii="Cambria Math" w:hAnsi="Cambria Math"/>
              </w:rPr>
              <m:t xml:space="preserve">2</m:t>
            </m:r>
            <m:sSub>
              <m:e>
                <m:r>
                  <w:rPr>
                    <w:rFonts w:ascii="Cambria Math" w:hAnsi="Cambria Math"/>
                  </w:rPr>
                  <m:t xml:space="preserve">γΔ</m:t>
                </m:r>
              </m:e>
              <m:sub>
                <m:r>
                  <w:rPr>
                    <w:rFonts w:ascii="Cambria Math" w:hAnsi="Cambria Math"/>
                  </w:rPr>
                  <m:t xml:space="preserve">z</m:t>
                </m:r>
              </m:sub>
            </m:sSub>
          </m:den>
        </m:f>
      </m:oMath>
      <w:r>
        <w:rPr/>
        <w:t xml:space="preserve">, где </w:t>
      </w:r>
      <w:r>
        <w:rPr/>
      </w:r>
      <m:oMath xmlns:m="http://schemas.openxmlformats.org/officeDocument/2006/math">
        <m:r>
          <w:rPr>
            <w:rFonts w:ascii="Cambria Math" w:hAnsi="Cambria Math"/>
          </w:rPr>
          <m:t xml:space="preserve">Δ</m:t>
        </m:r>
        <m:r>
          <w:rPr>
            <w:rFonts w:ascii="Cambria Math" w:hAnsi="Cambria Math"/>
          </w:rPr>
          <m:t xml:space="preserve">=</m:t>
        </m:r>
        <m:d>
          <m:dPr>
            <m:begChr m:val="|"/>
            <m:endChr m:val="|"/>
          </m:dPr>
          <m:e>
            <m:m>
              <m:m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mr>
              <m:m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mr>
              <m:m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mr>
            </m:m>
          </m:e>
        </m:d>
      </m:oMath>
      <w:r>
        <w:rPr/>
        <w:t xml:space="preserve">, </w:t>
      </w:r>
      <w:r>
        <w:rPr/>
        <w:t xml:space="preserve">а </w:t>
      </w:r>
      <w:r>
        <w:rPr/>
      </w:r>
      <m:oMath xmlns:m="http://schemas.openxmlformats.org/officeDocument/2006/math">
        <m:sSub>
          <m:e>
            <m:r>
              <w:rPr>
                <w:rFonts w:ascii="Cambria Math" w:hAnsi="Cambria Math"/>
              </w:rPr>
              <m:t xml:space="preserve">Δ</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y</m:t>
            </m:r>
          </m:sub>
        </m:sSub>
        <m:r>
          <m:rPr>
            <m:lit/>
            <m:nor/>
          </m:rPr>
          <w:rPr>
            <w:rFonts w:ascii="Cambria Math" w:hAnsi="Cambria Math"/>
          </w:rPr>
          <m:t xml:space="preserve">и</m:t>
        </m:r>
        <m:sSub>
          <m:e>
            <m:r>
              <w:rPr>
                <w:rFonts w:ascii="Cambria Math" w:hAnsi="Cambria Math"/>
              </w:rPr>
              <m:t xml:space="preserve">Δ</m:t>
            </m:r>
          </m:e>
          <m:sub>
            <m:r>
              <w:rPr>
                <w:rFonts w:ascii="Cambria Math" w:hAnsi="Cambria Math"/>
              </w:rPr>
              <m:t xml:space="preserve">z</m:t>
            </m:r>
          </m:sub>
        </m:sSub>
      </m:oMath>
      <w:r>
        <w:rPr/>
        <w:t xml:space="preserve">получаются из нее заменой первого, второго и третьего столбца соответственно на столбец </w:t>
      </w:r>
      <w:r>
        <w:rPr/>
      </w:r>
      <m:oMath xmlns:m="http://schemas.openxmlformats.org/officeDocument/2006/math">
        <m:d>
          <m:dPr>
            <m:begChr m:val="("/>
            <m:endChr m:val=")"/>
          </m:dPr>
          <m:e>
            <m:m>
              <m:mr>
                <m:e>
                  <m:r>
                    <w:rPr>
                      <w:rFonts w:ascii="Cambria Math" w:hAnsi="Cambria Math"/>
                    </w:rPr>
                    <m:t xml:space="preserve">a</m:t>
                  </m:r>
                </m:e>
              </m:mr>
              <m:mr>
                <m:e>
                  <m:r>
                    <w:rPr>
                      <w:rFonts w:ascii="Cambria Math" w:hAnsi="Cambria Math"/>
                    </w:rPr>
                    <m:t xml:space="preserve">b</m:t>
                  </m:r>
                </m:e>
              </m:mr>
              <m:mr>
                <m:e>
                  <m:r>
                    <w:rPr>
                      <w:rFonts w:ascii="Cambria Math" w:hAnsi="Cambria Math"/>
                    </w:rPr>
                    <m:t xml:space="preserve">c</m:t>
                  </m:r>
                </m:e>
              </m:mr>
            </m:m>
          </m:e>
        </m:d>
      </m:oMath>
      <w:r>
        <w:rPr/>
        <w:t>. Проведя преобразования  над определителями, получим</w:t>
      </w:r>
    </w:p>
    <w:p>
      <w:pPr>
        <w:pStyle w:val="Style17"/>
        <w:widowControl/>
        <w:tabs>
          <w:tab w:val="clear" w:pos="480"/>
        </w:tabs>
        <w:bidi w:val="0"/>
        <w:spacing w:lineRule="auto" w:line="360"/>
        <w:ind w:left="0" w:right="0" w:hanging="0"/>
        <w:jc w:val="both"/>
        <w:rPr/>
      </w:pPr>
      <w:r>
        <w:rPr/>
      </w:r>
      <m:oMath xmlns:m="http://schemas.openxmlformats.org/officeDocument/2006/math">
        <m:sSub>
          <m:e>
            <m:r>
              <w:rPr>
                <w:rFonts w:ascii="Cambria Math" w:hAnsi="Cambria Math"/>
              </w:rPr>
              <m:t xml:space="preserve">Δ</m:t>
            </m:r>
          </m:e>
          <m:sub>
            <m:r>
              <w:rPr>
                <w:rFonts w:ascii="Cambria Math" w:hAnsi="Cambria Math"/>
              </w:rPr>
              <m:t xml:space="preserve">x</m:t>
            </m:r>
          </m:sub>
        </m:sSub>
        <m:r>
          <w:rPr>
            <w:rFonts w:ascii="Cambria Math" w:hAnsi="Cambria Math"/>
          </w:rPr>
          <m:t xml:space="preserve">=</m:t>
        </m:r>
        <m:r>
          <w:rPr>
            <w:rFonts w:ascii="Cambria Math" w:hAnsi="Cambria Math"/>
          </w:rPr>
          <m:t xml:space="preserve">α</m:t>
        </m:r>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4</m:t>
                      </m:r>
                    </m:sub>
                    <m:sup>
                      <m:r>
                        <w:rPr>
                          <w:rFonts w:ascii="Cambria Math" w:hAnsi="Cambria Math"/>
                        </w:rPr>
                        <m:t xml:space="preserve">2</m:t>
                      </m:r>
                    </m:sup>
                  </m:sSubSup>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mr>
            </m:m>
          </m:e>
        </m:d>
        <m:r>
          <w:rPr>
            <w:rFonts w:ascii="Cambria Math" w:hAnsi="Cambria Math"/>
          </w:rPr>
          <m:t xml:space="preserve">+</m:t>
        </m:r>
        <m:r>
          <w:rPr>
            <w:rFonts w:ascii="Cambria Math" w:hAnsi="Cambria Math"/>
          </w:rPr>
          <m:t xml:space="preserve">β</m:t>
        </m:r>
        <m:d>
          <m:dPr>
            <m:begChr m:val="|"/>
            <m:endChr m:val="|"/>
          </m:dPr>
          <m:e>
            <m:m>
              <m:mr>
                <m:e>
                  <m:sSub>
                    <m:e>
                      <m:r>
                        <w:rPr>
                          <w:rFonts w:ascii="Cambria Math" w:hAnsi="Cambria Math"/>
                        </w:rPr>
                        <m:t xml:space="preserve">y</m:t>
                      </m:r>
                    </m:e>
                    <m:sub>
                      <m:r>
                        <w:rPr>
                          <w:rFonts w:ascii="Cambria Math" w:hAnsi="Cambria Math"/>
                        </w:rPr>
                        <m:t xml:space="preserve">2</m:t>
                      </m:r>
                    </m:sub>
                  </m:sSub>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mr>
              <m:mr>
                <m:e>
                  <m:sSub>
                    <m:e>
                      <m:r>
                        <w:rPr>
                          <w:rFonts w:ascii="Cambria Math" w:hAnsi="Cambria Math"/>
                        </w:rPr>
                        <m:t xml:space="preserve">y</m:t>
                      </m:r>
                    </m:e>
                    <m:sub>
                      <m:r>
                        <w:rPr>
                          <w:rFonts w:ascii="Cambria Math" w:hAnsi="Cambria Math"/>
                        </w:rPr>
                        <m:t xml:space="preserve">3</m:t>
                      </m:r>
                    </m:sub>
                  </m:sSub>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mr>
              <m:mr>
                <m:e>
                  <m:sSub>
                    <m:e>
                      <m:r>
                        <w:rPr>
                          <w:rFonts w:ascii="Cambria Math" w:hAnsi="Cambria Math"/>
                        </w:rPr>
                        <m:t xml:space="preserve">y</m:t>
                      </m:r>
                    </m:e>
                    <m:sub>
                      <m:r>
                        <w:rPr>
                          <w:rFonts w:ascii="Cambria Math" w:hAnsi="Cambria Math"/>
                        </w:rPr>
                        <m:t xml:space="preserve">4</m:t>
                      </m:r>
                    </m:sub>
                  </m:sSub>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z</m:t>
                      </m:r>
                    </m:sub>
                  </m:sSub>
                </m:e>
              </m:mr>
            </m:m>
          </m:e>
        </m:d>
        <m:r>
          <w:rPr>
            <w:rFonts w:ascii="Cambria Math" w:hAnsi="Cambria Math"/>
          </w:rPr>
          <m:t xml:space="preserve">+</m:t>
        </m:r>
        <m:r>
          <w:rPr>
            <w:rFonts w:ascii="Cambria Math" w:hAnsi="Cambria Math"/>
          </w:rPr>
          <m:t xml:space="preserve">γ</m:t>
        </m:r>
        <m:d>
          <m:dPr>
            <m:begChr m:val="|"/>
            <m:endChr m:val="|"/>
          </m:dPr>
          <m:e>
            <m:m>
              <m:mr>
                <m:e>
                  <m:sSub>
                    <m:e>
                      <m:r>
                        <w:rPr>
                          <w:rFonts w:ascii="Cambria Math" w:hAnsi="Cambria Math"/>
                        </w:rPr>
                        <m:t xml:space="preserve">z</m:t>
                      </m:r>
                    </m:e>
                    <m:sub>
                      <m:r>
                        <w:rPr>
                          <w:rFonts w:ascii="Cambria Math" w:hAnsi="Cambria Math"/>
                        </w:rPr>
                        <m:t xml:space="preserve">2</m:t>
                      </m:r>
                    </m:sub>
                  </m:sSub>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mr>
              <m:mr>
                <m:e>
                  <m:sSub>
                    <m:e>
                      <m:r>
                        <w:rPr>
                          <w:rFonts w:ascii="Cambria Math" w:hAnsi="Cambria Math"/>
                        </w:rPr>
                        <m:t xml:space="preserve">z</m:t>
                      </m:r>
                    </m:e>
                    <m:sub>
                      <m:r>
                        <w:rPr>
                          <w:rFonts w:ascii="Cambria Math" w:hAnsi="Cambria Math"/>
                        </w:rPr>
                        <m:t xml:space="preserve">3</m:t>
                      </m:r>
                    </m:sub>
                  </m:sSub>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mr>
              <m:mr>
                <m:e>
                  <m:sSub>
                    <m:e>
                      <m:r>
                        <w:rPr>
                          <w:rFonts w:ascii="Cambria Math" w:hAnsi="Cambria Math"/>
                        </w:rPr>
                        <m:t xml:space="preserve">z</m:t>
                      </m:r>
                    </m:e>
                    <m:sub>
                      <m:r>
                        <w:rPr>
                          <w:rFonts w:ascii="Cambria Math" w:hAnsi="Cambria Math"/>
                        </w:rPr>
                        <m:t xml:space="preserve">4</m:t>
                      </m:r>
                    </m:sub>
                  </m:sSub>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mr>
            </m:m>
          </m:e>
        </m:d>
        <m:r>
          <w:rPr>
            <w:rFonts w:ascii="Cambria Math" w:hAnsi="Cambria Math"/>
          </w:rPr>
          <m:t xml:space="preserve">=</m:t>
        </m:r>
      </m:oMath>
    </w:p>
    <w:p>
      <w:pPr>
        <w:pStyle w:val="Style17"/>
        <w:widowControl/>
        <w:tabs>
          <w:tab w:val="clear" w:pos="480"/>
        </w:tabs>
        <w:bidi w:val="0"/>
        <w:spacing w:lineRule="auto" w:line="360"/>
        <w:ind w:left="0" w:right="0" w:hanging="0"/>
        <w:jc w:val="both"/>
        <w:rPr/>
      </w:pPr>
      <w:r>
        <w:rPr/>
      </w:r>
      <m:oMath xmlns:m="http://schemas.openxmlformats.org/officeDocument/2006/math">
        <m:r>
          <w:rPr>
            <w:rFonts w:ascii="Cambria Math" w:hAnsi="Cambria Math"/>
          </w:rPr>
          <m:t xml:space="preserve">=</m:t>
        </m:r>
        <m:sSub>
          <m:e>
            <m:r>
              <w:rPr>
                <w:rFonts w:ascii="Cambria Math" w:hAnsi="Cambria Math"/>
              </w:rPr>
              <m:t xml:space="preserve">αA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βB</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γC</m:t>
            </m:r>
          </m:e>
          <m:sub>
            <m:r>
              <w:rPr>
                <w:rFonts w:ascii="Cambria Math" w:hAnsi="Cambria Math"/>
              </w:rPr>
              <m:t xml:space="preserve">1</m:t>
            </m:r>
          </m:sub>
        </m:sSub>
      </m:oMath>
    </w:p>
    <w:p>
      <w:pPr>
        <w:pStyle w:val="Style17"/>
        <w:widowControl/>
        <w:tabs>
          <w:tab w:val="clear" w:pos="480"/>
        </w:tabs>
        <w:bidi w:val="0"/>
        <w:spacing w:lineRule="auto" w:line="360"/>
        <w:ind w:left="0" w:right="0" w:hanging="0"/>
        <w:jc w:val="both"/>
        <w:rPr/>
      </w:pPr>
      <w:r>
        <w:rPr/>
        <w:t xml:space="preserve">Аналогично определяются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B</m:t>
            </m:r>
          </m:e>
          <m:sub>
            <m:r>
              <w:rPr>
                <w:rFonts w:ascii="Cambria Math" w:hAnsi="Cambria Math"/>
              </w:rPr>
              <m:t xml:space="preserve">2,</m:t>
            </m:r>
          </m:sub>
        </m:sSub>
        <m:sSub>
          <m:e>
            <m:r>
              <w:rPr>
                <w:rFonts w:ascii="Cambria Math" w:hAnsi="Cambria Math"/>
              </w:rPr>
              <m:t xml:space="preserve">C</m:t>
            </m:r>
          </m:e>
          <m:sub>
            <m:r>
              <w:rPr>
                <w:rFonts w:ascii="Cambria Math" w:hAnsi="Cambria Math"/>
              </w:rPr>
              <m:t xml:space="preserve">2</m:t>
            </m:r>
          </m:sub>
        </m:sSub>
      </m:oMath>
    </w:p>
    <w:p>
      <w:pPr>
        <w:pStyle w:val="Style17"/>
        <w:widowControl/>
        <w:tabs>
          <w:tab w:val="left" w:pos="631" w:leader="none"/>
        </w:tabs>
        <w:overflowPunct w:val="false"/>
        <w:bidi w:val="0"/>
        <w:spacing w:lineRule="auto" w:line="360"/>
        <w:ind w:left="0" w:right="0" w:firstLine="269"/>
        <w:jc w:val="both"/>
        <w:rPr/>
      </w:pPr>
      <w:r>
        <w:rPr/>
        <w:t>Магнитометр HMC5883L измеряет отно</w:t>
      </w:r>
      <w:r>
        <w:rPr/>
        <w:t xml:space="preserve">сительную величину магнитного поля, то один из коэффициентов  </w:t>
      </w:r>
      <w:r>
        <w:rPr>
          <w:rFonts w:ascii="Liberation Mono" w:hAnsi="Liberation Mono"/>
          <w:b w:val="false"/>
          <w:i/>
          <w:iCs/>
          <w:sz w:val="22"/>
        </w:rPr>
        <w:t xml:space="preserve">α, β </w:t>
      </w:r>
      <w:r>
        <w:rPr>
          <w:rFonts w:ascii="Liberation Mono" w:hAnsi="Liberation Mono"/>
          <w:b w:val="false"/>
          <w:i w:val="false"/>
          <w:iCs w:val="false"/>
          <w:sz w:val="22"/>
        </w:rPr>
        <w:t>и</w:t>
      </w:r>
      <w:r>
        <w:rPr>
          <w:rFonts w:ascii="Liberation Mono" w:hAnsi="Liberation Mono"/>
          <w:b w:val="false"/>
          <w:i/>
          <w:iCs/>
          <w:sz w:val="22"/>
        </w:rPr>
        <w:t xml:space="preserve"> </w:t>
      </w:r>
      <w:r>
        <w:rPr>
          <w:i/>
          <w:iCs/>
        </w:rPr>
        <w:t xml:space="preserve">γ </w:t>
      </w:r>
      <w:r>
        <w:rPr>
          <w:i w:val="false"/>
          <w:iCs w:val="false"/>
        </w:rPr>
        <w:t>можно определить произвольно. Примем коэффициент гамма равным единице. Тогда для вычисления остальных множителей получим систему</w:t>
      </w:r>
    </w:p>
    <w:p>
      <w:pPr>
        <w:pStyle w:val="Style17"/>
        <w:widowControl/>
        <w:tabs>
          <w:tab w:val="left" w:pos="631" w:leader="none"/>
        </w:tabs>
        <w:overflowPunct w:val="false"/>
        <w:bidi w:val="0"/>
        <w:spacing w:lineRule="auto" w:line="360"/>
        <w:ind w:left="0" w:right="0" w:hanging="0"/>
        <w:jc w:val="both"/>
        <w:rPr/>
      </w:pPr>
      <w:r>
        <w:rPr>
          <w:i w:val="false"/>
          <w:iCs w:val="false"/>
        </w:rPr>
      </w:r>
      <m:oMath xmlns:m="http://schemas.openxmlformats.org/officeDocument/2006/math">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mr>
            </m:m>
          </m:e>
        </m:d>
        <m:d>
          <m:dPr>
            <m:begChr m:val="("/>
            <m:endChr m:val=")"/>
          </m:dPr>
          <m:e>
            <m:m>
              <m:mr>
                <m:e>
                  <m:r>
                    <w:rPr>
                      <w:rFonts w:ascii="Cambria Math" w:hAnsi="Cambria Math"/>
                    </w:rPr>
                    <m:t xml:space="preserve">α</m:t>
                  </m:r>
                </m:e>
              </m:mr>
              <m:mr>
                <m:e>
                  <m:r>
                    <w:rPr>
                      <w:rFonts w:ascii="Cambria Math" w:hAnsi="Cambria Math"/>
                    </w:rPr>
                    <m:t xml:space="preserve">β</m:t>
                  </m:r>
                </m:e>
              </m:mr>
            </m:m>
          </m:e>
        </m:d>
        <m:r>
          <w:rPr>
            <w:rFonts w:ascii="Cambria Math" w:hAnsi="Cambria Math"/>
          </w:rPr>
          <m:t xml:space="preserve">=</m:t>
        </m:r>
        <m:d>
          <m:dPr>
            <m:begChr m:val="("/>
            <m:endChr m:val=")"/>
          </m:dPr>
          <m:e>
            <m:m>
              <m:mr>
                <m:e>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2</m:t>
                          </m:r>
                        </m:sub>
                        <m:sup>
                          <m:r>
                            <w:rPr>
                              <w:rFonts w:ascii="Cambria Math" w:hAnsi="Cambria Math"/>
                            </w:rPr>
                            <m:t xml:space="preserve">2</m:t>
                          </m:r>
                        </m:sup>
                      </m:sSubSup>
                    </m:e>
                  </m:d>
                </m:e>
              </m:mr>
              <m:mr>
                <m:e>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3</m:t>
                          </m:r>
                        </m:sub>
                        <m:sup>
                          <m:r>
                            <w:rPr>
                              <w:rFonts w:ascii="Cambria Math" w:hAnsi="Cambria Math"/>
                            </w:rPr>
                            <m:t xml:space="preserve">2</m:t>
                          </m:r>
                        </m:sup>
                      </m:sSubSup>
                    </m:e>
                  </m:d>
                </m:e>
              </m:mr>
            </m:m>
          </m:e>
        </m:d>
        <m:r>
          <w:rPr>
            <w:rFonts w:ascii="Cambria Math" w:hAnsi="Cambria Math"/>
          </w:rPr>
          <m:t xml:space="preserve">=</m:t>
        </m:r>
        <m:d>
          <m:dPr>
            <m:begChr m:val="("/>
            <m:endChr m:val=")"/>
          </m:dPr>
          <m:e>
            <m:m>
              <m:mr>
                <m:e>
                  <m:r>
                    <w:rPr>
                      <w:rFonts w:ascii="Cambria Math" w:hAnsi="Cambria Math"/>
                    </w:rPr>
                    <m:t xml:space="preserve">A</m:t>
                  </m:r>
                </m:e>
              </m:mr>
              <m:mr>
                <m:e>
                  <m:r>
                    <w:rPr>
                      <w:rFonts w:ascii="Cambria Math" w:hAnsi="Cambria Math"/>
                    </w:rPr>
                    <m:t xml:space="preserve">B</m:t>
                  </m:r>
                </m:e>
              </m:mr>
            </m:m>
          </m:e>
        </m:d>
      </m:oMath>
    </w:p>
    <w:p>
      <w:pPr>
        <w:pStyle w:val="Style17"/>
        <w:widowControl/>
        <w:tabs>
          <w:tab w:val="left" w:pos="631" w:leader="none"/>
        </w:tabs>
        <w:overflowPunct w:val="false"/>
        <w:bidi w:val="0"/>
        <w:spacing w:lineRule="auto" w:line="360"/>
        <w:ind w:left="0" w:right="0" w:firstLine="269"/>
        <w:jc w:val="both"/>
        <w:rPr/>
      </w:pPr>
      <w:r>
        <w:rPr>
          <w:i w:val="false"/>
          <w:iCs w:val="false"/>
        </w:rPr>
        <w:t>Р</w:t>
      </w:r>
      <w:r>
        <w:rPr>
          <w:i w:val="false"/>
          <w:iCs w:val="false"/>
        </w:rPr>
        <w:t xml:space="preserve">ешение этой системы можно получить в виде </w:t>
      </w:r>
    </w:p>
    <w:p>
      <w:pPr>
        <w:pStyle w:val="Style17"/>
        <w:widowControl/>
        <w:tabs>
          <w:tab w:val="left" w:pos="631" w:leader="none"/>
        </w:tabs>
        <w:overflowPunct w:val="false"/>
        <w:bidi w:val="0"/>
        <w:spacing w:lineRule="auto" w:line="360"/>
        <w:ind w:left="0" w:right="0" w:hanging="0"/>
        <w:jc w:val="both"/>
        <w:rPr/>
      </w:pPr>
      <w:r>
        <w:rPr>
          <w:i w:val="false"/>
          <w:iCs w:val="false"/>
        </w:rPr>
      </w:r>
      <m:oMath xmlns:m="http://schemas.openxmlformats.org/officeDocument/2006/math">
        <m:r>
          <w:rPr>
            <w:rFonts w:ascii="Cambria Math" w:hAnsi="Cambria Math"/>
          </w:rPr>
          <m:t xml:space="preserve">α</m:t>
        </m:r>
        <m:r>
          <w:rPr>
            <w:rFonts w:ascii="Cambria Math" w:hAnsi="Cambria Math"/>
          </w:rPr>
          <m:t xml:space="preserve">=</m:t>
        </m:r>
        <m:f>
          <m:num>
            <m:d>
              <m:dPr>
                <m:begChr m:val="|"/>
                <m:endChr m:val="|"/>
              </m:dPr>
              <m:e>
                <m:m>
                  <m:mr>
                    <m:e>
                      <m:r>
                        <w:rPr>
                          <w:rFonts w:ascii="Cambria Math" w:hAnsi="Cambria Math"/>
                        </w:rPr>
                        <m:t xml:space="preserve">A</m:t>
                      </m:r>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mr>
                  <m:mr>
                    <m:e>
                      <m:r>
                        <w:rPr>
                          <w:rFonts w:ascii="Cambria Math" w:hAnsi="Cambria Math"/>
                        </w:rPr>
                        <m:t xml:space="preserve">B</m:t>
                      </m:r>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mr>
                </m:m>
              </m:e>
            </m:d>
          </m:num>
          <m:den>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mr>
                </m:m>
              </m:e>
            </m:d>
          </m:den>
        </m:f>
        <m:r>
          <w:rPr>
            <w:rFonts w:ascii="Cambria Math" w:hAnsi="Cambria Math"/>
          </w:rPr>
          <m:t xml:space="preserve">β</m:t>
        </m:r>
        <m:r>
          <w:rPr>
            <w:rFonts w:ascii="Cambria Math" w:hAnsi="Cambria Math"/>
          </w:rPr>
          <m:t xml:space="preserve">=</m:t>
        </m:r>
        <m:f>
          <m:num>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e>
                    <m:e>
                      <m:r>
                        <w:rPr>
                          <w:rFonts w:ascii="Cambria Math" w:hAnsi="Cambria Math"/>
                        </w:rPr>
                        <m:t xml:space="preserve">A</m:t>
                      </m:r>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e>
                      <m:r>
                        <w:rPr>
                          <w:rFonts w:ascii="Cambria Math" w:hAnsi="Cambria Math"/>
                        </w:rPr>
                        <m:t xml:space="preserve">B</m:t>
                      </m:r>
                    </m:e>
                  </m:mr>
                </m:m>
              </m:e>
            </m:d>
          </m:num>
          <m:den>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mr>
                </m:m>
              </m:e>
            </m:d>
          </m:den>
        </m:f>
      </m:oMath>
    </w:p>
    <w:p>
      <w:pPr>
        <w:pStyle w:val="Style18"/>
        <w:rPr/>
      </w:pPr>
      <w:r>
        <w:rPr/>
        <w:t>5. Описание программы</w:t>
      </w:r>
    </w:p>
    <w:p>
      <w:pPr>
        <w:pStyle w:val="Style17"/>
        <w:rPr/>
      </w:pPr>
      <w:r>
        <w:rPr/>
        <w:t xml:space="preserve">Алгоритм калибровки реализован в виде библиотеке на языке C++. Библиотека содержит </w:t>
      </w:r>
      <w:r>
        <w:rPr/>
        <w:t>класс — вычислитель коэффициентов преобразования. Конструктор класса принимает в качестве аргументов массив из 12 чисел с плавающей запятой, соответствующих четырем измерениям. С помощью четырех троек чисел создаются объекты вспомогательного класса point, использующегося в дальнейших вычислениях. После этого конструктор вызывает метод для вычисления коэффициентов.</w:t>
      </w:r>
    </w:p>
    <w:p>
      <w:pPr>
        <w:pStyle w:val="Style17"/>
        <w:rPr/>
      </w:pPr>
      <w:r>
        <w:rPr/>
        <w:t>Вызванный конструктором метод выполняет операции, описанные в параграфе 4 данной работы, решая систему из четырех уравнений.</w:t>
      </w:r>
    </w:p>
    <w:p>
      <w:pPr>
        <w:pStyle w:val="Style17"/>
        <w:rPr/>
      </w:pPr>
      <w:r>
        <w:rPr/>
        <w:t xml:space="preserve">Так как программа предназначена для использования в микроконтроллерах, в ней нежелательно использование сторонних библиотек, а также средств STL. Поэтому функции вычисления определителей матриц были реализованы частным образом, для матриц размера 3x3 и 2x2. Функции принимают массивы чисел с плавающей запятой содержащие соответственно 9 и 4 элементов. </w:t>
      </w:r>
    </w:p>
    <w:p>
      <w:pPr>
        <w:pStyle w:val="Style17"/>
        <w:rPr/>
      </w:pPr>
      <w:r>
        <w:rPr/>
        <w:t>Результаты сохраняются в виде публичных членов класса. Соответствующие переменные принимают вычисленные значения после завершения работы к</w:t>
      </w:r>
      <w:r>
        <w:rPr/>
        <w:t xml:space="preserve">онструктора класса. Хотя данные открыты для чтения и модификации, их не следует менять. </w:t>
      </w:r>
    </w:p>
    <w:p>
      <w:pPr>
        <w:pStyle w:val="Style17"/>
        <w:rPr/>
      </w:pPr>
      <w:r>
        <w:rPr/>
        <w:t>Кроме этого, в классе — вычислителе присутствует несколько private методов, выполняющих служебную функцию и существующих для уменьшения количества кода в конструкторе.</w:t>
      </w:r>
    </w:p>
    <w:p>
      <w:pPr>
        <w:pStyle w:val="Style18"/>
        <w:rPr/>
      </w:pPr>
      <w:r>
        <w:rPr/>
        <w:t xml:space="preserve">6. </w:t>
      </w:r>
      <w:r>
        <w:rPr/>
        <w:t>Результаты эксперимента</w:t>
      </w:r>
    </w:p>
    <w:p>
      <w:pPr>
        <w:pStyle w:val="Style17"/>
        <w:widowControl/>
        <w:tabs>
          <w:tab w:val="left" w:pos="631" w:leader="none"/>
        </w:tabs>
        <w:overflowPunct w:val="false"/>
        <w:bidi w:val="0"/>
        <w:spacing w:lineRule="auto" w:line="360"/>
        <w:ind w:left="0" w:right="0" w:firstLine="269"/>
        <w:jc w:val="both"/>
        <w:rPr/>
      </w:pPr>
      <w:r>
        <w:rPr>
          <w:i w:val="false"/>
          <w:iCs w:val="false"/>
        </w:rPr>
        <w:t xml:space="preserve">После получения массива точек с помощью  магнитометра HMC5883L из них были выбраны четыре точки, хорошо подходящие для алгоритма (метод поиска подходящих точек не входит в эту работу). </w:t>
      </w:r>
    </w:p>
    <w:p>
      <w:pPr>
        <w:pStyle w:val="Style21"/>
        <w:rPr/>
      </w:pPr>
      <w:r>
        <w:rPr/>
        <w:t>Таблица 1. Использованные для калибровки точки</w:t>
      </w:r>
    </w:p>
    <w:tbl>
      <w:tblPr>
        <w:tblW w:w="935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71"/>
        <w:gridCol w:w="1871"/>
        <w:gridCol w:w="1871"/>
        <w:gridCol w:w="1871"/>
        <w:gridCol w:w="1871"/>
      </w:tblGrid>
      <w:tr>
        <w:trPr/>
        <w:tc>
          <w:tcPr>
            <w:tcW w:w="1871" w:type="dxa"/>
            <w:tcBorders>
              <w:top w:val="single" w:sz="2" w:space="0" w:color="000000"/>
              <w:left w:val="single" w:sz="2" w:space="0" w:color="000000"/>
              <w:bottom w:val="single" w:sz="2" w:space="0" w:color="000000"/>
              <w:insideH w:val="single" w:sz="2" w:space="0" w:color="000000"/>
            </w:tcBorders>
            <w:shd w:fill="auto" w:val="clear"/>
          </w:tcPr>
          <w:p>
            <w:pPr>
              <w:pStyle w:val="Style21"/>
              <w:spacing w:before="115" w:after="0"/>
              <w:jc w:val="center"/>
              <w:rPr/>
            </w:pPr>
            <w:r>
              <w:rPr/>
              <w:t>Оси</w:t>
            </w:r>
          </w:p>
        </w:tc>
        <w:tc>
          <w:tcPr>
            <w:tcW w:w="1871" w:type="dxa"/>
            <w:tcBorders>
              <w:top w:val="single" w:sz="2" w:space="0" w:color="000000"/>
              <w:left w:val="single" w:sz="2" w:space="0" w:color="000000"/>
              <w:bottom w:val="single" w:sz="2" w:space="0" w:color="000000"/>
              <w:insideH w:val="single" w:sz="2" w:space="0" w:color="000000"/>
            </w:tcBorders>
            <w:shd w:fill="auto" w:val="clear"/>
          </w:tcPr>
          <w:p>
            <w:pPr>
              <w:pStyle w:val="Style21"/>
              <w:spacing w:before="115" w:after="0"/>
              <w:jc w:val="center"/>
              <w:rPr/>
            </w:pPr>
            <w:r>
              <w:rPr/>
              <w:t>Точка 1</w:t>
            </w:r>
          </w:p>
        </w:tc>
        <w:tc>
          <w:tcPr>
            <w:tcW w:w="1871" w:type="dxa"/>
            <w:tcBorders>
              <w:top w:val="single" w:sz="2" w:space="0" w:color="000000"/>
              <w:left w:val="single" w:sz="2" w:space="0" w:color="000000"/>
              <w:bottom w:val="single" w:sz="2" w:space="0" w:color="000000"/>
              <w:insideH w:val="single" w:sz="2" w:space="0" w:color="000000"/>
            </w:tcBorders>
            <w:shd w:fill="auto" w:val="clear"/>
          </w:tcPr>
          <w:p>
            <w:pPr>
              <w:pStyle w:val="Style21"/>
              <w:spacing w:before="115" w:after="0"/>
              <w:jc w:val="center"/>
              <w:rPr/>
            </w:pPr>
            <w:r>
              <w:rPr/>
              <w:t>Точка 2</w:t>
            </w:r>
          </w:p>
        </w:tc>
        <w:tc>
          <w:tcPr>
            <w:tcW w:w="1871" w:type="dxa"/>
            <w:tcBorders>
              <w:top w:val="single" w:sz="2" w:space="0" w:color="000000"/>
              <w:left w:val="single" w:sz="2" w:space="0" w:color="000000"/>
              <w:bottom w:val="single" w:sz="2" w:space="0" w:color="000000"/>
              <w:insideH w:val="single" w:sz="2" w:space="0" w:color="000000"/>
            </w:tcBorders>
            <w:shd w:fill="auto" w:val="clear"/>
          </w:tcPr>
          <w:p>
            <w:pPr>
              <w:pStyle w:val="Style21"/>
              <w:spacing w:before="115" w:after="0"/>
              <w:jc w:val="center"/>
              <w:rPr/>
            </w:pPr>
            <w:r>
              <w:rPr/>
              <w:t>Точка 3</w:t>
            </w:r>
          </w:p>
        </w:tc>
        <w:tc>
          <w:tcPr>
            <w:tcW w:w="18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pacing w:before="115" w:after="0"/>
              <w:jc w:val="center"/>
              <w:rPr/>
            </w:pPr>
            <w:r>
              <w:rPr/>
              <w:t>Точка 4</w:t>
            </w:r>
          </w:p>
        </w:tc>
      </w:tr>
      <w:tr>
        <w:trPr/>
        <w:tc>
          <w:tcPr>
            <w:tcW w:w="1871" w:type="dxa"/>
            <w:tcBorders>
              <w:left w:val="single" w:sz="2" w:space="0" w:color="000000"/>
              <w:bottom w:val="single" w:sz="2" w:space="0" w:color="000000"/>
              <w:insideH w:val="single" w:sz="2" w:space="0" w:color="000000"/>
            </w:tcBorders>
            <w:shd w:fill="auto" w:val="clear"/>
          </w:tcPr>
          <w:p>
            <w:pPr>
              <w:pStyle w:val="Style21"/>
              <w:spacing w:before="115" w:after="0"/>
              <w:jc w:val="center"/>
              <w:rPr/>
            </w:pPr>
            <w:r>
              <w:rPr/>
              <w:t>x</w:t>
            </w:r>
          </w:p>
        </w:tc>
        <w:tc>
          <w:tcPr>
            <w:tcW w:w="1871" w:type="dxa"/>
            <w:tcBorders>
              <w:left w:val="single" w:sz="2" w:space="0" w:color="000000"/>
              <w:bottom w:val="single" w:sz="2" w:space="0" w:color="000000"/>
              <w:insideH w:val="single" w:sz="2" w:space="0" w:color="000000"/>
            </w:tcBorders>
            <w:shd w:fill="auto" w:val="clear"/>
          </w:tcPr>
          <w:p>
            <w:pPr>
              <w:pStyle w:val="Style21"/>
              <w:spacing w:before="115" w:after="0"/>
              <w:jc w:val="center"/>
              <w:rPr/>
            </w:pPr>
            <w:r>
              <w:rPr/>
              <w:t>4323,69</w:t>
            </w:r>
          </w:p>
        </w:tc>
        <w:tc>
          <w:tcPr>
            <w:tcW w:w="1871" w:type="dxa"/>
            <w:tcBorders>
              <w:left w:val="single" w:sz="2" w:space="0" w:color="000000"/>
              <w:bottom w:val="single" w:sz="2" w:space="0" w:color="000000"/>
              <w:insideH w:val="single" w:sz="2" w:space="0" w:color="000000"/>
            </w:tcBorders>
            <w:shd w:fill="auto" w:val="clear"/>
          </w:tcPr>
          <w:p>
            <w:pPr>
              <w:pStyle w:val="Style21"/>
              <w:spacing w:before="115" w:after="0"/>
              <w:jc w:val="center"/>
              <w:rPr/>
            </w:pPr>
            <w:r>
              <w:rPr/>
              <w:t>18198,52</w:t>
            </w:r>
          </w:p>
        </w:tc>
        <w:tc>
          <w:tcPr>
            <w:tcW w:w="1871" w:type="dxa"/>
            <w:tcBorders>
              <w:left w:val="single" w:sz="2" w:space="0" w:color="000000"/>
              <w:bottom w:val="single" w:sz="2" w:space="0" w:color="000000"/>
              <w:insideH w:val="single" w:sz="2" w:space="0" w:color="000000"/>
            </w:tcBorders>
            <w:shd w:fill="auto" w:val="clear"/>
          </w:tcPr>
          <w:p>
            <w:pPr>
              <w:pStyle w:val="Style21"/>
              <w:spacing w:before="115" w:after="0"/>
              <w:jc w:val="center"/>
              <w:rPr/>
            </w:pPr>
            <w:r>
              <w:rPr/>
              <w:t>239,56</w:t>
            </w:r>
          </w:p>
        </w:tc>
        <w:tc>
          <w:tcPr>
            <w:tcW w:w="187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pacing w:before="115" w:after="0"/>
              <w:jc w:val="center"/>
              <w:rPr/>
            </w:pPr>
            <w:r>
              <w:rPr/>
              <w:t>-7892,87</w:t>
            </w:r>
          </w:p>
        </w:tc>
      </w:tr>
      <w:tr>
        <w:trPr/>
        <w:tc>
          <w:tcPr>
            <w:tcW w:w="1871" w:type="dxa"/>
            <w:tcBorders>
              <w:left w:val="single" w:sz="2" w:space="0" w:color="000000"/>
              <w:bottom w:val="single" w:sz="2" w:space="0" w:color="000000"/>
              <w:insideH w:val="single" w:sz="2" w:space="0" w:color="000000"/>
            </w:tcBorders>
            <w:shd w:fill="auto" w:val="clear"/>
          </w:tcPr>
          <w:p>
            <w:pPr>
              <w:pStyle w:val="Style21"/>
              <w:spacing w:before="115" w:after="0"/>
              <w:jc w:val="center"/>
              <w:rPr/>
            </w:pPr>
            <w:r>
              <w:rPr/>
              <w:t>y</w:t>
            </w:r>
          </w:p>
        </w:tc>
        <w:tc>
          <w:tcPr>
            <w:tcW w:w="1871" w:type="dxa"/>
            <w:tcBorders>
              <w:left w:val="single" w:sz="2" w:space="0" w:color="000000"/>
              <w:bottom w:val="single" w:sz="2" w:space="0" w:color="000000"/>
              <w:insideH w:val="single" w:sz="2" w:space="0" w:color="000000"/>
            </w:tcBorders>
            <w:shd w:fill="auto" w:val="clear"/>
          </w:tcPr>
          <w:p>
            <w:pPr>
              <w:pStyle w:val="Style21"/>
              <w:spacing w:before="115" w:after="0"/>
              <w:jc w:val="center"/>
              <w:rPr/>
            </w:pPr>
            <w:r>
              <w:rPr/>
              <w:t>370,17</w:t>
            </w:r>
          </w:p>
        </w:tc>
        <w:tc>
          <w:tcPr>
            <w:tcW w:w="1871" w:type="dxa"/>
            <w:tcBorders>
              <w:left w:val="single" w:sz="2" w:space="0" w:color="000000"/>
              <w:bottom w:val="single" w:sz="2" w:space="0" w:color="000000"/>
              <w:insideH w:val="single" w:sz="2" w:space="0" w:color="000000"/>
            </w:tcBorders>
            <w:shd w:fill="auto" w:val="clear"/>
          </w:tcPr>
          <w:p>
            <w:pPr>
              <w:pStyle w:val="Style21"/>
              <w:spacing w:before="115" w:after="0"/>
              <w:jc w:val="center"/>
              <w:rPr/>
            </w:pPr>
            <w:r>
              <w:rPr/>
              <w:t>1594,29</w:t>
            </w:r>
          </w:p>
        </w:tc>
        <w:tc>
          <w:tcPr>
            <w:tcW w:w="1871" w:type="dxa"/>
            <w:tcBorders>
              <w:left w:val="single" w:sz="2" w:space="0" w:color="000000"/>
              <w:bottom w:val="single" w:sz="2" w:space="0" w:color="000000"/>
              <w:insideH w:val="single" w:sz="2" w:space="0" w:color="000000"/>
            </w:tcBorders>
            <w:shd w:fill="auto" w:val="clear"/>
          </w:tcPr>
          <w:p>
            <w:pPr>
              <w:pStyle w:val="Style21"/>
              <w:spacing w:before="115" w:after="0"/>
              <w:jc w:val="center"/>
              <w:rPr/>
            </w:pPr>
            <w:r>
              <w:rPr/>
              <w:t>16521,97</w:t>
            </w:r>
          </w:p>
        </w:tc>
        <w:tc>
          <w:tcPr>
            <w:tcW w:w="187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pacing w:before="115" w:after="0"/>
              <w:jc w:val="center"/>
              <w:rPr/>
            </w:pPr>
            <w:r>
              <w:rPr/>
              <w:t>-5799,77</w:t>
            </w:r>
          </w:p>
        </w:tc>
      </w:tr>
      <w:tr>
        <w:trPr/>
        <w:tc>
          <w:tcPr>
            <w:tcW w:w="1871" w:type="dxa"/>
            <w:tcBorders>
              <w:left w:val="single" w:sz="2" w:space="0" w:color="000000"/>
              <w:bottom w:val="single" w:sz="2" w:space="0" w:color="000000"/>
              <w:insideH w:val="single" w:sz="2" w:space="0" w:color="000000"/>
            </w:tcBorders>
            <w:shd w:fill="auto" w:val="clear"/>
          </w:tcPr>
          <w:p>
            <w:pPr>
              <w:pStyle w:val="Style21"/>
              <w:spacing w:before="115" w:after="0"/>
              <w:jc w:val="center"/>
              <w:rPr/>
            </w:pPr>
            <w:r>
              <w:rPr/>
              <w:t>z</w:t>
            </w:r>
          </w:p>
        </w:tc>
        <w:tc>
          <w:tcPr>
            <w:tcW w:w="1871" w:type="dxa"/>
            <w:tcBorders>
              <w:left w:val="single" w:sz="2" w:space="0" w:color="000000"/>
              <w:bottom w:val="single" w:sz="2" w:space="0" w:color="000000"/>
              <w:insideH w:val="single" w:sz="2" w:space="0" w:color="000000"/>
            </w:tcBorders>
            <w:shd w:fill="auto" w:val="clear"/>
          </w:tcPr>
          <w:p>
            <w:pPr>
              <w:pStyle w:val="Style21"/>
              <w:spacing w:before="115" w:after="0"/>
              <w:jc w:val="center"/>
              <w:rPr/>
            </w:pPr>
            <w:r>
              <w:rPr/>
              <w:t>21490,27</w:t>
            </w:r>
          </w:p>
        </w:tc>
        <w:tc>
          <w:tcPr>
            <w:tcW w:w="1871" w:type="dxa"/>
            <w:tcBorders>
              <w:left w:val="single" w:sz="2" w:space="0" w:color="000000"/>
              <w:bottom w:val="single" w:sz="2" w:space="0" w:color="000000"/>
              <w:insideH w:val="single" w:sz="2" w:space="0" w:color="000000"/>
            </w:tcBorders>
            <w:shd w:fill="auto" w:val="clear"/>
          </w:tcPr>
          <w:p>
            <w:pPr>
              <w:pStyle w:val="Style21"/>
              <w:spacing w:before="115" w:after="0"/>
              <w:jc w:val="center"/>
              <w:rPr/>
            </w:pPr>
            <w:r>
              <w:rPr/>
              <w:t>-460,00</w:t>
            </w:r>
          </w:p>
        </w:tc>
        <w:tc>
          <w:tcPr>
            <w:tcW w:w="1871" w:type="dxa"/>
            <w:tcBorders>
              <w:left w:val="single" w:sz="2" w:space="0" w:color="000000"/>
              <w:bottom w:val="single" w:sz="2" w:space="0" w:color="000000"/>
              <w:insideH w:val="single" w:sz="2" w:space="0" w:color="000000"/>
            </w:tcBorders>
            <w:shd w:fill="auto" w:val="clear"/>
          </w:tcPr>
          <w:p>
            <w:pPr>
              <w:pStyle w:val="Style21"/>
              <w:spacing w:before="115" w:after="0"/>
              <w:jc w:val="center"/>
              <w:rPr/>
            </w:pPr>
            <w:r>
              <w:rPr/>
              <w:t>-464,29</w:t>
            </w:r>
          </w:p>
        </w:tc>
        <w:tc>
          <w:tcPr>
            <w:tcW w:w="187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pacing w:before="115" w:after="0"/>
              <w:jc w:val="center"/>
              <w:rPr/>
            </w:pPr>
            <w:r>
              <w:rPr/>
              <w:t>-8697,25</w:t>
            </w:r>
          </w:p>
        </w:tc>
      </w:tr>
    </w:tbl>
    <w:p>
      <w:pPr>
        <w:pStyle w:val="Style17"/>
        <w:ind w:left="0" w:right="0" w:hanging="0"/>
        <w:rPr>
          <w:i w:val="false"/>
          <w:i w:val="false"/>
          <w:iCs w:val="false"/>
        </w:rPr>
      </w:pPr>
      <w:r>
        <w:rPr/>
      </w:r>
    </w:p>
    <w:p>
      <w:pPr>
        <w:pStyle w:val="Style17"/>
        <w:widowControl/>
        <w:tabs>
          <w:tab w:val="left" w:pos="631" w:leader="none"/>
        </w:tabs>
        <w:overflowPunct w:val="false"/>
        <w:bidi w:val="0"/>
        <w:spacing w:lineRule="auto" w:line="360"/>
        <w:ind w:left="0" w:right="0" w:firstLine="269"/>
        <w:jc w:val="both"/>
        <w:rPr/>
      </w:pPr>
      <w:r>
        <w:rPr>
          <w:i w:val="false"/>
          <w:iCs w:val="false"/>
        </w:rPr>
        <w:t xml:space="preserve">Эти точки (приведенные в таблице 1) были использованы для запуска алгоритма вычисления коэффициентов преобразования. </w:t>
      </w:r>
      <w:r>
        <w:rPr>
          <w:i w:val="false"/>
          <w:iCs w:val="false"/>
        </w:rPr>
        <w:t>Результаты вычислений приведены в таблице 2.</w:t>
      </w:r>
    </w:p>
    <w:p>
      <w:pPr>
        <w:pStyle w:val="Style21"/>
        <w:keepNext w:val="true"/>
        <w:rPr/>
      </w:pPr>
      <w:r>
        <w:rPr/>
        <w:t>Таблица 2. Полученные в результате калибровки коэффициенты</w:t>
      </w:r>
    </w:p>
    <w:tbl>
      <w:tblPr>
        <w:tblW w:w="935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77"/>
        <w:gridCol w:w="4678"/>
      </w:tblGrid>
      <w:tr>
        <w:trPr/>
        <w:tc>
          <w:tcPr>
            <w:tcW w:w="4677" w:type="dxa"/>
            <w:tcBorders>
              <w:top w:val="single" w:sz="2" w:space="0" w:color="000000"/>
              <w:left w:val="single" w:sz="2" w:space="0" w:color="000000"/>
              <w:bottom w:val="single" w:sz="2" w:space="0" w:color="000000"/>
              <w:insideH w:val="single" w:sz="2" w:space="0" w:color="000000"/>
            </w:tcBorders>
            <w:shd w:fill="auto" w:val="clear"/>
          </w:tcPr>
          <w:p>
            <w:pPr>
              <w:pStyle w:val="Style21"/>
              <w:keepNext w:val="true"/>
              <w:spacing w:before="115" w:after="0"/>
              <w:jc w:val="center"/>
              <w:rPr/>
            </w:pPr>
            <w:r>
              <w:rPr/>
              <w:t>x</w:t>
            </w:r>
            <w:r>
              <w:rPr>
                <w:vertAlign w:val="subscript"/>
              </w:rPr>
              <w:t>0</w:t>
            </w:r>
          </w:p>
        </w:tc>
        <w:tc>
          <w:tcPr>
            <w:tcW w:w="46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pacing w:before="115" w:after="0"/>
              <w:jc w:val="center"/>
              <w:rPr/>
            </w:pPr>
            <w:r>
              <w:rPr/>
              <w:t>0,00054</w:t>
            </w:r>
          </w:p>
        </w:tc>
      </w:tr>
      <w:tr>
        <w:trPr/>
        <w:tc>
          <w:tcPr>
            <w:tcW w:w="4677" w:type="dxa"/>
            <w:tcBorders>
              <w:left w:val="single" w:sz="2" w:space="0" w:color="000000"/>
              <w:bottom w:val="single" w:sz="2" w:space="0" w:color="000000"/>
              <w:insideH w:val="single" w:sz="2" w:space="0" w:color="000000"/>
            </w:tcBorders>
            <w:shd w:fill="auto" w:val="clear"/>
          </w:tcPr>
          <w:p>
            <w:pPr>
              <w:pStyle w:val="Style21"/>
              <w:keepNext w:val="true"/>
              <w:spacing w:before="115" w:after="0"/>
              <w:jc w:val="center"/>
              <w:rPr/>
            </w:pPr>
            <w:r>
              <w:rPr/>
              <w:t>y</w:t>
            </w:r>
            <w:r>
              <w:rPr>
                <w:vertAlign w:val="subscript"/>
              </w:rPr>
              <w:t>0</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pacing w:before="115" w:after="0"/>
              <w:jc w:val="center"/>
              <w:rPr/>
            </w:pPr>
            <w:r>
              <w:rPr/>
              <w:t>-0,</w:t>
            </w:r>
            <w:r>
              <w:rPr/>
              <w:t>00033</w:t>
            </w:r>
          </w:p>
        </w:tc>
      </w:tr>
      <w:tr>
        <w:trPr/>
        <w:tc>
          <w:tcPr>
            <w:tcW w:w="4677" w:type="dxa"/>
            <w:tcBorders>
              <w:left w:val="single" w:sz="2" w:space="0" w:color="000000"/>
              <w:bottom w:val="single" w:sz="2" w:space="0" w:color="000000"/>
              <w:insideH w:val="single" w:sz="2" w:space="0" w:color="000000"/>
            </w:tcBorders>
            <w:shd w:fill="auto" w:val="clear"/>
          </w:tcPr>
          <w:p>
            <w:pPr>
              <w:pStyle w:val="Style21"/>
              <w:keepNext w:val="true"/>
              <w:spacing w:before="115" w:after="0"/>
              <w:jc w:val="center"/>
              <w:rPr/>
            </w:pPr>
            <w:r>
              <w:rPr/>
              <w:t>z</w:t>
            </w:r>
            <w:r>
              <w:rPr>
                <w:vertAlign w:val="subscript"/>
              </w:rPr>
              <w:t>0</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pacing w:before="115" w:after="0"/>
              <w:jc w:val="center"/>
              <w:rPr/>
            </w:pPr>
            <w:r>
              <w:rPr/>
              <w:t>-</w:t>
            </w:r>
            <w:r>
              <w:rPr/>
              <w:t>0,00386</w:t>
            </w:r>
          </w:p>
        </w:tc>
      </w:tr>
      <w:tr>
        <w:trPr/>
        <w:tc>
          <w:tcPr>
            <w:tcW w:w="4677" w:type="dxa"/>
            <w:tcBorders>
              <w:left w:val="single" w:sz="2" w:space="0" w:color="000000"/>
              <w:bottom w:val="single" w:sz="2" w:space="0" w:color="000000"/>
              <w:insideH w:val="single" w:sz="2" w:space="0" w:color="000000"/>
            </w:tcBorders>
            <w:shd w:fill="auto" w:val="clear"/>
          </w:tcPr>
          <w:p>
            <w:pPr>
              <w:pStyle w:val="Style21"/>
              <w:keepNext w:val="true"/>
              <w:spacing w:before="115" w:after="0"/>
              <w:jc w:val="center"/>
              <w:rPr/>
            </w:pPr>
            <w:r>
              <w:rPr/>
              <w:t>α</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pacing w:before="115" w:after="0"/>
              <w:jc w:val="center"/>
              <w:rPr/>
            </w:pPr>
            <w:r>
              <w:rPr/>
              <w:t>0.594027</w:t>
            </w:r>
          </w:p>
        </w:tc>
      </w:tr>
      <w:tr>
        <w:trPr/>
        <w:tc>
          <w:tcPr>
            <w:tcW w:w="4677" w:type="dxa"/>
            <w:tcBorders>
              <w:left w:val="single" w:sz="2" w:space="0" w:color="000000"/>
              <w:bottom w:val="single" w:sz="2" w:space="0" w:color="000000"/>
              <w:insideH w:val="single" w:sz="2" w:space="0" w:color="000000"/>
            </w:tcBorders>
            <w:shd w:fill="auto" w:val="clear"/>
          </w:tcPr>
          <w:p>
            <w:pPr>
              <w:pStyle w:val="Style21"/>
              <w:spacing w:before="115" w:after="0"/>
              <w:jc w:val="center"/>
              <w:rPr/>
            </w:pPr>
            <w:r>
              <w:rPr/>
              <w:t>β</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pacing w:before="115" w:after="0"/>
              <w:jc w:val="center"/>
              <w:rPr/>
            </w:pPr>
            <w:r>
              <w:rPr/>
              <w:t>0,488086</w:t>
            </w:r>
          </w:p>
        </w:tc>
      </w:tr>
    </w:tbl>
    <w:p>
      <w:pPr>
        <w:pStyle w:val="Style17"/>
        <w:widowControl/>
        <w:tabs>
          <w:tab w:val="left" w:pos="631" w:leader="none"/>
        </w:tabs>
        <w:overflowPunct w:val="false"/>
        <w:bidi w:val="0"/>
        <w:spacing w:lineRule="auto" w:line="360"/>
        <w:ind w:left="0" w:right="0" w:firstLine="269"/>
        <w:jc w:val="both"/>
        <w:rPr>
          <w:i w:val="false"/>
          <w:i w:val="false"/>
          <w:iCs w:val="false"/>
        </w:rPr>
      </w:pPr>
      <w:r>
        <w:rPr/>
      </w:r>
    </w:p>
    <w:p>
      <w:pPr>
        <w:pStyle w:val="Style18"/>
        <w:rPr/>
      </w:pPr>
      <w:r>
        <w:rPr/>
        <w:t>7. Выводы</w:t>
      </w:r>
    </w:p>
    <w:p>
      <w:pPr>
        <w:pStyle w:val="Style17"/>
        <w:rPr/>
      </w:pPr>
      <w:r>
        <w:rPr/>
        <w:t xml:space="preserve">Рассчитанные коэффициенты усиления по осям x и y значительно отличаются от нуля, следовательно, начальные данные действительно лежали не на сфере, а на эллипсе. </w:t>
      </w:r>
      <w:r>
        <w:rPr/>
        <w:t>Тем не менее, рассчитанные коэффициенты смещения пренебрежимо малы. Из этого можно сделать вывод, что каждый из датчиков трехосного магнитометра HMC5883L имеет правильно установленные и соответствующие друг другу нули, в результате чего эллипс лежит в начале координат.</w:t>
      </w:r>
    </w:p>
    <w:p>
      <w:pPr>
        <w:pStyle w:val="Style17"/>
        <w:rPr/>
      </w:pPr>
      <w:r>
        <w:rPr/>
        <w:t>Таким образом, несмотря на установленный ноль, для использования трехосного магнитометра HMC5883L действительно необходима калибровка.</w:t>
      </w:r>
    </w:p>
    <w:p>
      <w:pPr>
        <w:pStyle w:val="Style18"/>
        <w:rPr/>
      </w:pPr>
      <w:r>
        <w:rPr/>
        <w:t>8. Список литературы</w:t>
      </w:r>
    </w:p>
    <w:p>
      <w:pPr>
        <w:pStyle w:val="Style17"/>
        <w:rPr/>
      </w:pPr>
      <w:r>
        <w:rPr/>
        <w:t xml:space="preserve">1. </w:t>
      </w:r>
      <w:r>
        <w:rPr/>
        <w:t xml:space="preserve">Кучис Е.В. Методы исследования эффекта Холла. </w:t>
      </w:r>
      <w:bookmarkStart w:id="0" w:name="__DdeLink__4166_3857178930"/>
      <w:r>
        <w:rPr/>
        <w:t>–</w:t>
      </w:r>
      <w:bookmarkEnd w:id="0"/>
      <w:r>
        <w:rPr/>
        <w:t xml:space="preserve"> М.: Сов. Радио, 1974. – 328 с.</w:t>
      </w:r>
    </w:p>
    <w:p>
      <w:pPr>
        <w:pStyle w:val="Style17"/>
        <w:rPr/>
      </w:pPr>
      <w:r>
        <w:rPr/>
        <w:t xml:space="preserve">2. </w:t>
      </w:r>
      <w:r>
        <w:rPr/>
        <w:t xml:space="preserve">3-Axis Digital Compass IC HMC5883L </w:t>
      </w:r>
      <w:r>
        <w:rPr/>
        <w:t>Datasheet</w:t>
      </w:r>
    </w:p>
    <w:p>
      <w:pPr>
        <w:pStyle w:val="Style17"/>
        <w:rPr/>
      </w:pPr>
      <w:r>
        <w:rPr/>
        <w:t>3. Курош В. Г. Курс высшей алгебры. – М.: Издательство «Наука», главная редакция физиео-математической литературы, 1968 г.</w:t>
      </w:r>
      <w:r>
        <w:rPr/>
        <w:br/>
      </w:r>
    </w:p>
    <w:p>
      <w:pPr>
        <w:pStyle w:val="Style17"/>
        <w:widowControl/>
        <w:tabs>
          <w:tab w:val="left" w:pos="631" w:leader="none"/>
        </w:tabs>
        <w:overflowPunct w:val="false"/>
        <w:bidi w:val="0"/>
        <w:spacing w:lineRule="auto" w:line="360"/>
        <w:ind w:left="0" w:right="0" w:hanging="0"/>
        <w:jc w:val="both"/>
        <w:rPr>
          <w:i w:val="false"/>
          <w:i w:val="false"/>
          <w:iCs w:val="false"/>
        </w:rPr>
      </w:pPr>
      <w:r>
        <w:rPr/>
      </w:r>
    </w:p>
    <w:p>
      <w:pPr>
        <w:pStyle w:val="Style17"/>
        <w:widowControl/>
        <w:tabs>
          <w:tab w:val="left" w:pos="631" w:leader="none"/>
        </w:tabs>
        <w:overflowPunct w:val="false"/>
        <w:bidi w:val="0"/>
        <w:spacing w:lineRule="auto" w:line="360"/>
        <w:ind w:left="0" w:right="0" w:hanging="0"/>
        <w:jc w:val="both"/>
        <w:rPr>
          <w:i w:val="false"/>
          <w:i w:val="false"/>
          <w:iCs w:val="false"/>
        </w:rPr>
      </w:pPr>
      <w:r>
        <w:rPr/>
      </w:r>
    </w:p>
    <w:p>
      <w:pPr>
        <w:pStyle w:val="Style17"/>
        <w:widowControl/>
        <w:tabs>
          <w:tab w:val="left" w:pos="631" w:leader="none"/>
        </w:tabs>
        <w:overflowPunct w:val="false"/>
        <w:bidi w:val="0"/>
        <w:spacing w:lineRule="auto" w:line="360"/>
        <w:ind w:left="0" w:right="0" w:firstLine="269"/>
        <w:jc w:val="both"/>
        <w:rPr>
          <w:i w:val="false"/>
          <w:i w:val="false"/>
          <w:iCs w:val="false"/>
        </w:rPr>
      </w:pPr>
      <w:r>
        <w:rPr/>
      </w:r>
    </w:p>
    <w:p>
      <w:pPr>
        <w:pStyle w:val="Style17"/>
        <w:widowControl/>
        <w:tabs>
          <w:tab w:val="clear" w:pos="480"/>
        </w:tabs>
        <w:bidi w:val="0"/>
        <w:spacing w:lineRule="auto" w:line="360"/>
        <w:ind w:left="0" w:right="0" w:hanging="0"/>
        <w:jc w:val="both"/>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2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ru-RU" w:eastAsia="ru-RU" w:bidi="ar-SA"/>
      </w:rPr>
    </w:rPrDefault>
    <w:pPrDefault>
      <w:pPr/>
    </w:pPrDefault>
  </w:docDefaults>
  <w:style w:type="paragraph" w:styleId="Normal">
    <w:name w:val="Normal"/>
    <w:qFormat/>
    <w:pPr>
      <w:widowControl/>
      <w:overflowPunct w:val="false"/>
      <w:bidi w:val="0"/>
      <w:spacing w:lineRule="auto" w:line="276"/>
      <w:jc w:val="left"/>
    </w:pPr>
    <w:rPr>
      <w:rFonts w:ascii="Calibri" w:hAnsi="Calibri" w:eastAsia="Calibri" w:cs="Times New Roman"/>
      <w:color w:val="auto"/>
      <w:kern w:val="0"/>
      <w:sz w:val="22"/>
      <w:szCs w:val="22"/>
      <w:lang w:val="ru-RU" w:eastAsia="en-US" w:bidi="ar-SA"/>
    </w:rPr>
  </w:style>
  <w:style w:type="paragraph" w:styleId="Heading1">
    <w:name w:val="Heading 1"/>
    <w:basedOn w:val="Normal"/>
    <w:qFormat/>
    <w:pPr>
      <w:keepNext w:val="true"/>
      <w:keepLines/>
      <w:spacing w:before="480" w:after="0"/>
      <w:outlineLvl w:val="0"/>
    </w:pPr>
    <w:rPr>
      <w:rFonts w:ascii="Cambria" w:hAnsi="Cambria" w:eastAsia="Times New Roman" w:cs="Times New Roman"/>
      <w:b/>
      <w:bCs/>
      <w:color w:val="365F91"/>
      <w:sz w:val="28"/>
      <w:szCs w:val="28"/>
    </w:rPr>
  </w:style>
  <w:style w:type="character" w:styleId="DefaultParagraphFont">
    <w:name w:val="Default Paragraph Font"/>
    <w:qFormat/>
    <w:rPr/>
  </w:style>
  <w:style w:type="character" w:styleId="1">
    <w:name w:val="Заголовок 1 Знак"/>
    <w:basedOn w:val="DefaultParagraphFont"/>
    <w:qFormat/>
    <w:rPr>
      <w:rFonts w:ascii="Cambria" w:hAnsi="Cambria" w:eastAsia="Times New Roman" w:cs="Times New Roman"/>
      <w:b/>
      <w:bCs/>
      <w:color w:val="365F91"/>
      <w:sz w:val="28"/>
      <w:szCs w:val="28"/>
      <w:lang w:eastAsia="en-US"/>
    </w:rPr>
  </w:style>
  <w:style w:type="character" w:styleId="Strong">
    <w:name w:val="Strong"/>
    <w:basedOn w:val="DefaultParagraphFont"/>
    <w:qFormat/>
    <w:rPr>
      <w:b/>
      <w:bCs/>
    </w:rPr>
  </w:style>
  <w:style w:type="character" w:styleId="Style13">
    <w:name w:val="текст Знак"/>
    <w:basedOn w:val="DefaultParagraphFont"/>
    <w:qFormat/>
    <w:rPr>
      <w:iCs/>
      <w:color w:val="000000"/>
      <w:sz w:val="28"/>
      <w:szCs w:val="28"/>
    </w:rPr>
  </w:style>
  <w:style w:type="character" w:styleId="Style14">
    <w:name w:val="параграф Знак"/>
    <w:basedOn w:val="DefaultParagraphFont"/>
    <w:qFormat/>
    <w:rPr>
      <w:rFonts w:eastAsia="Calibri"/>
      <w:b/>
      <w:sz w:val="28"/>
      <w:szCs w:val="28"/>
      <w:lang w:eastAsia="en-US"/>
    </w:rPr>
  </w:style>
  <w:style w:type="character" w:styleId="Style15">
    <w:name w:val="министерство Знак"/>
    <w:basedOn w:val="DefaultParagraphFont"/>
    <w:qFormat/>
    <w:rPr>
      <w:rFonts w:eastAsia="Calibri"/>
      <w:sz w:val="24"/>
      <w:szCs w:val="24"/>
      <w:lang w:eastAsia="en-US"/>
    </w:rPr>
  </w:style>
  <w:style w:type="character" w:styleId="Style16">
    <w:name w:val="подпись рис Знак"/>
    <w:basedOn w:val="DefaultParagraphFont"/>
    <w:qFormat/>
    <w:rPr>
      <w:rFonts w:eastAsia="Calibri"/>
      <w:sz w:val="24"/>
      <w:szCs w:val="24"/>
      <w:lang w:eastAsia="en-US"/>
    </w:rPr>
  </w:style>
  <w:style w:type="character" w:styleId="FootnoteCharacters">
    <w:name w:val="Footnote Characters"/>
    <w:qFormat/>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right="0" w:hanging="0"/>
      <w:contextualSpacing/>
      <w:jc w:val="both"/>
    </w:pPr>
    <w:rPr>
      <w:rFonts w:ascii="Times New Roman" w:hAnsi="Times New Roman"/>
      <w:sz w:val="28"/>
    </w:rPr>
  </w:style>
  <w:style w:type="paragraph" w:styleId="Style17">
    <w:name w:val="текст"/>
    <w:basedOn w:val="Normal"/>
    <w:qFormat/>
    <w:pPr>
      <w:spacing w:lineRule="auto" w:line="360"/>
      <w:ind w:left="0" w:right="0" w:firstLine="284"/>
      <w:jc w:val="both"/>
    </w:pPr>
    <w:rPr>
      <w:rFonts w:ascii="Times New Roman" w:hAnsi="Times New Roman" w:eastAsia="Times New Roman"/>
      <w:iCs/>
      <w:color w:val="000000"/>
      <w:sz w:val="28"/>
      <w:szCs w:val="28"/>
      <w:lang w:eastAsia="ru-RU"/>
    </w:rPr>
  </w:style>
  <w:style w:type="paragraph" w:styleId="Style18">
    <w:name w:val="параграф"/>
    <w:basedOn w:val="Normal"/>
    <w:qFormat/>
    <w:pPr>
      <w:spacing w:lineRule="auto" w:line="360" w:before="120" w:after="120"/>
    </w:pPr>
    <w:rPr>
      <w:rFonts w:ascii="Times New Roman" w:hAnsi="Times New Roman"/>
      <w:b/>
      <w:sz w:val="28"/>
      <w:szCs w:val="28"/>
    </w:rPr>
  </w:style>
  <w:style w:type="paragraph" w:styleId="Style19">
    <w:name w:val="министерство"/>
    <w:basedOn w:val="Normal"/>
    <w:qFormat/>
    <w:pPr>
      <w:spacing w:before="120" w:after="120"/>
      <w:ind w:left="0" w:right="0" w:firstLine="567"/>
      <w:jc w:val="center"/>
      <w:outlineLvl w:val="0"/>
    </w:pPr>
    <w:rPr>
      <w:rFonts w:ascii="Times New Roman" w:hAnsi="Times New Roman"/>
      <w:sz w:val="24"/>
      <w:szCs w:val="24"/>
    </w:rPr>
  </w:style>
  <w:style w:type="paragraph" w:styleId="Style20">
    <w:name w:val="подпись рис"/>
    <w:basedOn w:val="Normal"/>
    <w:qFormat/>
    <w:pPr>
      <w:spacing w:lineRule="auto" w:line="276"/>
      <w:ind w:left="0" w:right="0" w:hanging="0"/>
      <w:jc w:val="center"/>
    </w:pPr>
    <w:rPr>
      <w:rFonts w:ascii="Times New Roman" w:hAnsi="Times New Roman"/>
      <w:sz w:val="24"/>
      <w:szCs w:val="24"/>
    </w:rPr>
  </w:style>
  <w:style w:type="paragraph" w:styleId="Footnote">
    <w:name w:val="Footnote Text"/>
    <w:basedOn w:val="Normal"/>
    <w:pPr>
      <w:suppressLineNumbers/>
      <w:ind w:left="339" w:hanging="339"/>
    </w:pPr>
    <w:rPr>
      <w:sz w:val="20"/>
      <w:szCs w:val="20"/>
    </w:rPr>
  </w:style>
  <w:style w:type="paragraph" w:styleId="TableContents">
    <w:name w:val="Table Contents"/>
    <w:basedOn w:val="Normal"/>
    <w:qFormat/>
    <w:pPr>
      <w:suppressLineNumbers/>
    </w:pPr>
    <w:rPr/>
  </w:style>
  <w:style w:type="paragraph" w:styleId="Style21">
    <w:name w:val="подпись табл"/>
    <w:basedOn w:val="Style20"/>
    <w:next w:val="Style17"/>
    <w:qFormat/>
    <w:pPr>
      <w:spacing w:lineRule="auto" w:line="276" w:before="115" w:after="0"/>
      <w:ind w:left="0" w:right="0" w:hanging="0"/>
      <w:jc w:val="lef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762</TotalTime>
  <Application>LibreOffice/6.0.6.2$Linux_X86_64 LibreOffice_project/00m0$Build-2</Application>
  <Pages>6</Pages>
  <Words>869</Words>
  <Characters>5814</Characters>
  <CharactersWithSpaces>6637</CharactersWithSpaces>
  <Paragraphs>85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2018-12-16T10:32:00Z</dcterms:created>
  <dc:creator>Тест</dc:creator>
  <dc:description/>
  <dc:language>en-US</dc:language>
  <cp:lastModifiedBy/>
  <dcterms:modified xsi:type="dcterms:W3CDTF">2018-12-20T18:36:40Z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