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pPr>
      <w:r>
        <w:rPr/>
        <w:t>Калибровка магнитометра HMC5883L</w:t>
        <w:tab/>
      </w:r>
    </w:p>
    <w:p>
      <w:pPr>
        <w:pStyle w:val="Style17"/>
        <w:rPr/>
      </w:pPr>
      <w:r>
        <w:rPr/>
      </w:r>
    </w:p>
    <w:p>
      <w:pPr>
        <w:pStyle w:val="Style17"/>
        <w:rPr/>
      </w:pPr>
      <w:r>
        <w:rPr/>
        <w:t xml:space="preserve"> </w:t>
      </w:r>
      <w:r>
        <w:rPr/>
        <w:t>Работа алгоритма проверена на массиве данных, полученном с помощью магнитометра. Результат хорошо совпал с ожидаемым. Разработанную программу предполагается использовать для работы с магнитометром HMC5883L и аналогами.</w:t>
      </w:r>
    </w:p>
    <w:p>
      <w:pPr>
        <w:pStyle w:val="Style17"/>
        <w:rPr/>
      </w:pPr>
      <w:r>
        <w:rPr/>
      </w:r>
    </w:p>
    <w:p>
      <w:pPr>
        <w:pStyle w:val="Style17"/>
        <w:rPr/>
      </w:pPr>
      <w:r>
        <w:rPr/>
        <w:tab/>
        <w:t>Введение</w:t>
      </w:r>
    </w:p>
    <w:p>
      <w:pPr>
        <w:pStyle w:val="Style17"/>
        <w:rPr/>
      </w:pPr>
      <w:r>
        <w:rPr/>
        <w:tab/>
        <w:t>Целью работы являлась разработка программы для калибровки трехосевого магнитометра HMC5883L.</w:t>
      </w:r>
    </w:p>
    <w:p>
      <w:pPr>
        <w:pStyle w:val="Style17"/>
        <w:rPr/>
      </w:pPr>
      <w:r>
        <w:rPr/>
        <w:t xml:space="preserve">Трехосевой магнитометр HMC5883L применяется для измерения слабых магнитных полей в физических исследованиях. </w:t>
      </w:r>
    </w:p>
    <w:p>
      <w:pPr>
        <w:pStyle w:val="Style17"/>
        <w:rPr/>
      </w:pPr>
      <w:r>
        <w:rPr/>
        <w:t>Он измеряет относительную величину магнитного поля тремя независимыми датчиками, соответствующими трем осям декартовой системы координат.</w:t>
      </w:r>
    </w:p>
    <w:p>
      <w:pPr>
        <w:pStyle w:val="Style17"/>
        <w:rPr/>
      </w:pPr>
      <w:r>
        <w:rPr/>
        <w:t>Каждый из трех датчиков имеет отличающееся от других усиление и смещенный ноль, вследствие чего перед использованием магнитометра его необходимо подвергнуть калибровке.</w:t>
      </w:r>
    </w:p>
    <w:p>
      <w:pPr>
        <w:pStyle w:val="Style17"/>
        <w:rPr/>
      </w:pPr>
      <w:r>
        <w:rPr/>
        <w:t>При измерении однородного магнитного поля точки, полученные при измерении откалиброванным магнитометром должны ложиться на сферу, а реальный результат - эллипс, сдвинутый относительно начала координат. Калибровка сводится к поиску матрицы преобразования этого эллипса в сферу.</w:t>
      </w:r>
    </w:p>
    <w:p>
      <w:pPr>
        <w:pStyle w:val="Style17"/>
        <w:rPr/>
      </w:pPr>
      <w:r>
        <w:rPr/>
      </w:r>
    </w:p>
    <w:p>
      <w:pPr>
        <w:pStyle w:val="Style17"/>
        <w:rPr/>
      </w:pPr>
      <w:r>
        <w:rPr/>
        <w:t xml:space="preserve">Эффект Холла </w:t>
      </w:r>
    </w:p>
    <w:p>
      <w:pPr>
        <w:pStyle w:val="Style17"/>
        <w:rPr/>
      </w:pPr>
      <w:r>
        <w:rPr/>
      </w:r>
    </w:p>
    <w:p>
      <w:pPr>
        <w:pStyle w:val="Style17"/>
        <w:rPr/>
      </w:pPr>
      <w:r>
        <w:rPr/>
        <w:tab/>
        <w:t>Магнитометр HMC5883L основан на эффекте Холла. Эффект Холла заключается в возникновении разности потенциалов, называемой холловским напряжением, при помещении проводника, по которому протекает постоянный ток, в магнитное поле. Причиной эффекта Холла является сила Лоренца, действующая на движущиеся заряды в проводнике.</w:t>
      </w:r>
    </w:p>
    <w:p>
      <w:pPr>
        <w:pStyle w:val="Style17"/>
        <w:rPr/>
      </w:pPr>
      <w:r>
        <w:rPr/>
        <w:t xml:space="preserve">Пусть по проводящему параллелепипеду высоты </w:t>
      </w:r>
      <w:r>
        <w:rPr>
          <w:i/>
          <w:iCs/>
        </w:rPr>
        <w:t xml:space="preserve">t, </w:t>
      </w:r>
      <w:r>
        <w:rPr>
          <w:i w:val="false"/>
          <w:iCs w:val="false"/>
        </w:rPr>
        <w:t>длины</w:t>
      </w:r>
      <w:r>
        <w:rPr>
          <w:i/>
          <w:iCs/>
        </w:rPr>
        <w:t xml:space="preserve"> l, </w:t>
      </w:r>
      <w:r>
        <w:rPr>
          <w:i w:val="false"/>
          <w:iCs w:val="false"/>
        </w:rPr>
        <w:t xml:space="preserve">ширины </w:t>
      </w:r>
      <w:bookmarkStart w:id="0" w:name="__DdeLink__143_3857178930"/>
      <w:r>
        <w:rPr>
          <w:i/>
          <w:iCs/>
        </w:rPr>
        <w:t>w</w:t>
      </w:r>
      <w:bookmarkEnd w:id="0"/>
      <w:r>
        <w:rPr>
          <w:i/>
          <w:iCs/>
        </w:rPr>
        <w:t xml:space="preserve"> </w:t>
      </w:r>
      <w:r>
        <w:rPr>
          <w:i w:val="false"/>
          <w:iCs w:val="false"/>
        </w:rPr>
        <w:t xml:space="preserve">течет ток </w:t>
      </w:r>
      <w:r>
        <w:rPr>
          <w:i/>
          <w:iCs/>
        </w:rPr>
        <w:t>I</w:t>
      </w:r>
      <w:r>
        <w:rPr>
          <w:i w:val="false"/>
          <w:iCs w:val="false"/>
        </w:rPr>
        <w:t xml:space="preserve">. Магнитное поле </w:t>
      </w:r>
      <w:r>
        <w:rPr>
          <w:i/>
          <w:iCs/>
        </w:rPr>
        <w:t xml:space="preserve">B </w:t>
      </w:r>
      <w:r>
        <w:rPr>
          <w:i w:val="false"/>
          <w:iCs w:val="false"/>
        </w:rPr>
        <w:t xml:space="preserve">направлено перпендикулярно грани параллелепипеда с длиной  </w:t>
      </w:r>
      <w:r>
        <w:rPr>
          <w:i/>
          <w:iCs/>
        </w:rPr>
        <w:t xml:space="preserve">l </w:t>
      </w:r>
      <w:r>
        <w:rPr>
          <w:i w:val="false"/>
          <w:iCs w:val="false"/>
        </w:rPr>
        <w:t>и шириной</w:t>
      </w:r>
      <w:r>
        <w:rPr>
          <w:i/>
          <w:iCs/>
        </w:rPr>
        <w:t xml:space="preserve"> w</w:t>
      </w:r>
      <w:r>
        <w:rPr>
          <w:i/>
          <w:iCs/>
        </w:rPr>
        <w:t xml:space="preserve">. </w:t>
      </w:r>
      <w:r>
        <w:rPr>
          <w:i w:val="false"/>
          <w:iCs w:val="false"/>
        </w:rPr>
        <w:t>Тогда сила Лоренца, действующая на движущиеся электроны</w:t>
      </w:r>
    </w:p>
    <w:p>
      <w:pPr>
        <w:pStyle w:val="Style17"/>
        <w:widowControl/>
        <w:tabs>
          <w:tab w:val="left" w:pos="350" w:leader="none"/>
        </w:tabs>
        <w:overflowPunct w:val="false"/>
        <w:bidi w:val="0"/>
        <w:spacing w:lineRule="auto" w:line="360"/>
        <w:ind w:left="0" w:right="0" w:hanging="0"/>
        <w:jc w:val="both"/>
        <w:rPr/>
      </w:pPr>
      <w:r>
        <w:rPr>
          <w:i w:val="false"/>
          <w:iCs w:val="false"/>
        </w:rPr>
      </w:r>
      <m:oMath xmlns:m="http://schemas.openxmlformats.org/officeDocument/2006/math"/>
    </w:p>
    <w:p>
      <w:pPr>
        <w:pStyle w:val="Style17"/>
        <w:rPr/>
      </w:pPr>
      <w:r>
        <w:rPr/>
      </w:r>
    </w:p>
    <w:p>
      <w:pPr>
        <w:pStyle w:val="Style17"/>
        <w:rPr/>
      </w:pPr>
      <w:r>
        <w:rPr/>
        <w:t>где h - высота прямоугольного проводника.</w:t>
      </w:r>
    </w:p>
    <w:p>
      <w:pPr>
        <w:pStyle w:val="Style17"/>
        <w:rPr/>
      </w:pPr>
      <w:r>
        <w:rPr/>
        <w:t>В результате действия силы Лоренца, на одной части проводника возникает концентрация заряядов, создающих разность потенциалов</w:t>
      </w:r>
    </w:p>
    <w:p>
      <w:pPr>
        <w:pStyle w:val="Style17"/>
        <w:rPr/>
      </w:pPr>
      <w:r>
        <w:rPr/>
      </w:r>
    </w:p>
    <w:p>
      <w:pPr>
        <w:pStyle w:val="Style17"/>
        <w:rPr/>
      </w:pPr>
      <w:r>
        <w:rPr/>
        <w:tab/>
        <w:t>Алгоритм вычисления коэффициентов трансформации</w:t>
      </w:r>
    </w:p>
    <w:p>
      <w:pPr>
        <w:pStyle w:val="Style17"/>
        <w:rPr>
          <w:lang w:val="ru-RU" w:eastAsia="ru-RU"/>
        </w:rPr>
      </w:pPr>
      <w:r>
        <w:rPr>
          <w:lang w:val="ru-RU" w:eastAsia="ru-RU"/>
        </w:rPr>
        <w:t xml:space="preserve">Точки, полученные в результате работы не откалиброванного магнитометра лежат на эллипсе. Для описания эллипса нужны четыре точки. Для повышения точности результатов следует брать четыре точки, расположенные относительно друг друга «удачным» образом, но метод получения четырех хороших точек лежит за пределами данной работы. </w:t>
      </w:r>
    </w:p>
    <w:p>
      <w:pPr>
        <w:pStyle w:val="Style17"/>
        <w:rPr/>
      </w:pPr>
      <w:r>
        <w:rPr/>
        <w:t xml:space="preserve">На основании четырех точек, координаты которых будем обозначать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oMath>
      <w:r>
        <w:rPr/>
        <w:t xml:space="preserve">и так далее, можно составить систему уравнений для поиска коэффициентов матрицы трансформации эллипса в сферу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α</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d>
      </m:oMath>
    </w:p>
    <w:p>
      <w:pPr>
        <w:pStyle w:val="Style17"/>
        <w:widowControl/>
        <w:tabs>
          <w:tab w:val="clear" w:pos="480"/>
        </w:tabs>
        <w:bidi w:val="0"/>
        <w:spacing w:lineRule="auto" w:line="360"/>
        <w:ind w:left="0" w:right="0" w:hanging="0"/>
        <w:jc w:val="both"/>
        <w:rPr/>
      </w:pPr>
      <w:r>
        <w:rPr/>
        <w:t>учитывая, что калибровка проводится в однородном поле, то есть модуль вектора — константа. Таким образом, получим уравнение</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α</m:t>
        </m:r>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β</m:t>
        </m:r>
        <m:sSup>
          <m:e>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γ</m:t>
        </m:r>
        <m:sSup>
          <m:e>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p>
    <w:p>
      <w:pPr>
        <w:pStyle w:val="Style17"/>
        <w:widowControl/>
        <w:tabs>
          <w:tab w:val="clear" w:pos="480"/>
        </w:tabs>
        <w:bidi w:val="0"/>
        <w:spacing w:lineRule="auto" w:line="360"/>
        <w:ind w:left="0" w:right="0" w:hanging="0"/>
        <w:jc w:val="both"/>
        <w:rPr/>
      </w:pPr>
      <w:r>
        <w:rPr/>
        <w:t>Добавив аналогичное уравнение для второй точки и преобразовав систему, получим</w:t>
      </w:r>
    </w:p>
    <w:p>
      <w:pPr>
        <w:pStyle w:val="Style17"/>
        <w:widowControl/>
        <w:tabs>
          <w:tab w:val="clear" w:pos="480"/>
        </w:tabs>
        <w:bidi w:val="0"/>
        <w:spacing w:lineRule="auto" w:line="360"/>
        <w:ind w:left="0" w:right="0" w:hanging="0"/>
        <w:jc w:val="both"/>
        <w:rPr/>
      </w:pPr>
      <w:r>
        <w:rPr/>
        <w:t xml:space="preserve">// </w:t>
      </w:r>
      <w:r>
        <w:rPr>
          <w:rFonts w:ascii="Liberation Mono" w:hAnsi="Liberation Mono"/>
          <w:b w:val="false"/>
          <w:i w:val="false"/>
          <w:sz w:val="22"/>
        </w:rPr>
        <w:t xml:space="preserve">α β </w:t>
      </w:r>
      <w:r>
        <w:rPr>
          <w:rFonts w:ascii="Liberation Mono" w:hAnsi="Liberation Mono"/>
          <w:b w:val="false"/>
          <w:i w:val="false"/>
          <w:caps w:val="false"/>
          <w:smallCaps w:val="false"/>
          <w:color w:val="333333"/>
          <w:spacing w:val="0"/>
          <w:sz w:val="22"/>
        </w:rPr>
        <w:t>Δ</w:t>
      </w:r>
      <w:r>
        <w:rPr/>
        <w:t xml:space="preserve"> γ // для копирования</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r>
          <w:rPr>
            <w:rFonts w:ascii="Cambria Math" w:hAnsi="Cambria Math"/>
          </w:rPr>
          <m:t xml:space="preserve">+</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oMath>
    </w:p>
    <w:p>
      <w:pPr>
        <w:pStyle w:val="Style17"/>
        <w:widowControl/>
        <w:tabs>
          <w:tab w:val="clear" w:pos="480"/>
        </w:tabs>
        <w:bidi w:val="0"/>
        <w:spacing w:lineRule="auto" w:line="360"/>
        <w:ind w:left="0" w:right="0" w:hanging="0"/>
        <w:jc w:val="both"/>
        <w:rPr/>
      </w:pPr>
      <w:r>
        <w:rPr/>
        <w:t>Учтя все начальные точки, получим систему из трех уравнений</w:t>
      </w:r>
    </w:p>
    <w:p>
      <w:pPr>
        <w:pStyle w:val="Style17"/>
        <w:widowControl/>
        <w:tabs>
          <w:tab w:val="clear" w:pos="480"/>
        </w:tabs>
        <w:bidi w:val="0"/>
        <w:spacing w:lineRule="auto" w:line="360"/>
        <w:ind w:left="0" w:right="0" w:hanging="0"/>
        <w:jc w:val="both"/>
        <w:rPr/>
      </w:pPr>
      <w:r>
        <w:rPr/>
      </w:r>
      <m:oMath xmlns:m="http://schemas.openxmlformats.org/officeDocument/2006/math">
        <m:d>
          <m:dPr>
            <m:begChr m:val="("/>
            <m:endChr m:val=")"/>
          </m:dPr>
          <m:e>
            <m:m>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mr>
            </m:m>
          </m:e>
        </m:d>
        <m:d>
          <m:dPr>
            <m:begChr m:val="("/>
            <m:endChr m:val=")"/>
          </m:dPr>
          <m:e>
            <m:m>
              <m:mr>
                <m:e>
                  <m:sSub>
                    <m:e>
                      <m:r>
                        <w:rPr>
                          <w:rFonts w:ascii="Cambria Math" w:hAnsi="Cambria Math"/>
                        </w:rPr>
                        <m:t xml:space="preserve">x</m:t>
                      </m:r>
                    </m:e>
                    <m:sub>
                      <m:r>
                        <w:rPr>
                          <w:rFonts w:ascii="Cambria Math" w:hAnsi="Cambria Math"/>
                        </w:rPr>
                        <m:t xml:space="preserve">0</m:t>
                      </m:r>
                    </m:sub>
                  </m:sSub>
                </m:e>
              </m:mr>
              <m:mr>
                <m:e>
                  <m:sSub>
                    <m:e>
                      <m:r>
                        <w:rPr>
                          <w:rFonts w:ascii="Cambria Math" w:hAnsi="Cambria Math"/>
                        </w:rPr>
                        <m:t xml:space="preserve">y</m:t>
                      </m:r>
                    </m:e>
                    <m:sub>
                      <m:r>
                        <w:rPr>
                          <w:rFonts w:ascii="Cambria Math" w:hAnsi="Cambria Math"/>
                        </w:rPr>
                        <m:t xml:space="preserve">0</m:t>
                      </m:r>
                    </m:sub>
                  </m:sSub>
                </m:e>
              </m:mr>
              <m:mr>
                <m:e>
                  <m:sSub>
                    <m:e>
                      <m:r>
                        <w:rPr>
                          <w:rFonts w:ascii="Cambria Math" w:hAnsi="Cambria Math"/>
                        </w:rPr>
                        <m:t xml:space="preserve">z</m:t>
                      </m:r>
                    </m:e>
                    <m:sub>
                      <m:r>
                        <w:rPr>
                          <w:rFonts w:ascii="Cambria Math" w:hAnsi="Cambria Math"/>
                        </w:rPr>
                        <m:t xml:space="preserve">0</m:t>
                      </m:r>
                    </m:sub>
                  </m:sSub>
                </m:e>
              </m:mr>
            </m:m>
          </m:e>
        </m:d>
        <m:r>
          <w:rPr>
            <w:rFonts w:ascii="Cambria Math" w:hAnsi="Cambria Math"/>
          </w:rPr>
          <m:t xml:space="preserve">=</m:t>
        </m:r>
        <m:d>
          <m:dPr>
            <m:begChr m:val="("/>
            <m:endChr m:val=")"/>
          </m:dPr>
          <m:e>
            <m:m>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4</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p>
    <w:p>
      <w:pPr>
        <w:pStyle w:val="Style17"/>
        <w:widowControl/>
        <w:tabs>
          <w:tab w:val="clear" w:pos="480"/>
        </w:tabs>
        <w:bidi w:val="0"/>
        <w:spacing w:lineRule="auto" w:line="360"/>
        <w:ind w:left="0" w:right="0" w:hanging="0"/>
        <w:jc w:val="both"/>
        <w:rPr/>
      </w:pPr>
      <w:r>
        <w:rPr/>
        <w:t xml:space="preserve">Решая эту систему, получаем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αΔ</m:t>
                </m:r>
              </m:e>
              <m:sub>
                <m:r>
                  <w:rPr>
                    <w:rFonts w:ascii="Cambria Math" w:hAnsi="Cambria Math"/>
                  </w:rPr>
                  <m:t xml:space="preserve">x</m:t>
                </m:r>
              </m:sub>
            </m:sSub>
          </m:den>
        </m:f>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βΔ</m:t>
                </m:r>
              </m:e>
              <m:sub>
                <m:r>
                  <w:rPr>
                    <w:rFonts w:ascii="Cambria Math" w:hAnsi="Cambria Math"/>
                  </w:rPr>
                  <m:t xml:space="preserve">y</m:t>
                </m:r>
              </m:sub>
            </m:sSub>
          </m:den>
        </m:f>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γΔ</m:t>
                </m:r>
              </m:e>
              <m:sub>
                <m:r>
                  <w:rPr>
                    <w:rFonts w:ascii="Cambria Math" w:hAnsi="Cambria Math"/>
                  </w:rPr>
                  <m:t xml:space="preserve">z</m:t>
                </m:r>
              </m:sub>
            </m:sSub>
          </m:den>
        </m:f>
      </m:oMath>
      <w:r>
        <w:rPr/>
        <w:t xml:space="preserve">, где </w:t>
      </w:r>
      <w:r>
        <w:rPr/>
      </w:r>
      <m:oMath xmlns:m="http://schemas.openxmlformats.org/officeDocument/2006/math">
        <m:r>
          <w:rPr>
            <w:rFonts w:ascii="Cambria Math" w:hAnsi="Cambria Math"/>
          </w:rPr>
          <m:t xml:space="preserve">Δ</m:t>
        </m:r>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oMath>
      <w:r>
        <w:rPr/>
        <w:t xml:space="preserve">, </w:t>
      </w:r>
      <w:r>
        <w:rPr/>
        <w:t xml:space="preserve">а </w:t>
      </w: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y</m:t>
            </m:r>
          </m:sub>
        </m:sSub>
        <m:r>
          <m:rPr>
            <m:lit/>
            <m:nor/>
          </m:rPr>
          <w:rPr>
            <w:rFonts w:ascii="Cambria Math" w:hAnsi="Cambria Math"/>
          </w:rPr>
          <m:t xml:space="preserve">и</m:t>
        </m:r>
        <m:sSub>
          <m:e>
            <m:r>
              <w:rPr>
                <w:rFonts w:ascii="Cambria Math" w:hAnsi="Cambria Math"/>
              </w:rPr>
              <m:t xml:space="preserve">Δ</m:t>
            </m:r>
          </m:e>
          <m:sub>
            <m:r>
              <w:rPr>
                <w:rFonts w:ascii="Cambria Math" w:hAnsi="Cambria Math"/>
              </w:rPr>
              <m:t xml:space="preserve">z</m:t>
            </m:r>
          </m:sub>
        </m:sSub>
      </m:oMath>
      <w:r>
        <w:rPr/>
        <w:t xml:space="preserve">получаются из нее заменой первого, второго и третьего столбца соответственно на столбец </w:t>
      </w:r>
      <w:r>
        <w:rPr/>
      </w:r>
      <m:oMath xmlns:m="http://schemas.openxmlformats.org/officeDocument/2006/math">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r>
        <w:rPr/>
        <w:t>. Проведя преобразования  над определителями, получим</w:t>
      </w:r>
    </w:p>
    <w:p>
      <w:pPr>
        <w:pStyle w:val="Style17"/>
        <w:widowControl/>
        <w:tabs>
          <w:tab w:val="clear" w:pos="480"/>
        </w:tabs>
        <w:bidi w:val="0"/>
        <w:spacing w:lineRule="auto" w:line="360"/>
        <w:ind w:left="0" w:right="0" w:hanging="0"/>
        <w:jc w:val="both"/>
        <w:rPr/>
      </w:pP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r>
          <w:rPr>
            <w:rFonts w:ascii="Cambria Math" w:hAnsi="Cambria Math"/>
          </w:rPr>
          <m:t xml:space="preserve">α</m:t>
        </m:r>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r>
          <w:rPr>
            <w:rFonts w:ascii="Cambria Math" w:hAnsi="Cambria Math"/>
          </w:rPr>
          <m:t xml:space="preserve">β</m:t>
        </m:r>
        <m:d>
          <m:dPr>
            <m:begChr m:val="|"/>
            <m:endChr m:val="|"/>
          </m:dPr>
          <m:e>
            <m:m>
              <m:mr>
                <m:e>
                  <m:sSub>
                    <m:e>
                      <m:r>
                        <w:rPr>
                          <w:rFonts w:ascii="Cambria Math" w:hAnsi="Cambria Math"/>
                        </w:rPr>
                        <m:t xml:space="preserve">y</m:t>
                      </m:r>
                    </m:e>
                    <m:sub>
                      <m:r>
                        <w:rPr>
                          <w:rFonts w:ascii="Cambria Math" w:hAnsi="Cambria Math"/>
                        </w:rPr>
                        <m:t xml:space="preserve">2</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y</m:t>
                      </m:r>
                    </m:e>
                    <m:sub>
                      <m:r>
                        <w:rPr>
                          <w:rFonts w:ascii="Cambria Math" w:hAnsi="Cambria Math"/>
                        </w:rPr>
                        <m:t xml:space="preserve">4</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γ</m:t>
        </m:r>
        <m:d>
          <m:dPr>
            <m:begChr m:val="|"/>
            <m:endChr m:val="|"/>
          </m:dPr>
          <m:e>
            <m:m>
              <m:mr>
                <m:e>
                  <m:sSub>
                    <m:e>
                      <m:r>
                        <w:rPr>
                          <w:rFonts w:ascii="Cambria Math" w:hAnsi="Cambria Math"/>
                        </w:rPr>
                        <m:t xml:space="preserve">z</m:t>
                      </m:r>
                    </m:e>
                    <m:sub>
                      <m:r>
                        <w:rPr>
                          <w:rFonts w:ascii="Cambria Math" w:hAnsi="Cambria Math"/>
                        </w:rPr>
                        <m:t xml:space="preserve">2</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z</m:t>
                      </m:r>
                    </m:e>
                    <m:sub>
                      <m:r>
                        <w:rPr>
                          <w:rFonts w:ascii="Cambria Math" w:hAnsi="Cambria Math"/>
                        </w:rPr>
                        <m:t xml:space="preserve">3</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z</m:t>
                      </m:r>
                    </m:e>
                    <m:sub>
                      <m:r>
                        <w:rPr>
                          <w:rFonts w:ascii="Cambria Math" w:hAnsi="Cambria Math"/>
                        </w:rPr>
                        <m:t xml:space="preserve">4</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oMath>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m:t>
        </m:r>
        <m:sSub>
          <m:e>
            <m:r>
              <w:rPr>
                <w:rFonts w:ascii="Cambria Math" w:hAnsi="Cambria Math"/>
              </w:rPr>
              <m:t xml:space="preserve">αA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γC</m:t>
            </m:r>
          </m:e>
          <m:sub>
            <m:r>
              <w:rPr>
                <w:rFonts w:ascii="Cambria Math" w:hAnsi="Cambria Math"/>
              </w:rPr>
              <m:t xml:space="preserve">1</m:t>
            </m:r>
          </m:sub>
        </m:sSub>
      </m:oMath>
    </w:p>
    <w:p>
      <w:pPr>
        <w:pStyle w:val="Style17"/>
        <w:widowControl/>
        <w:tabs>
          <w:tab w:val="clear" w:pos="480"/>
        </w:tabs>
        <w:bidi w:val="0"/>
        <w:spacing w:lineRule="auto" w:line="360"/>
        <w:ind w:left="0" w:right="0" w:hanging="0"/>
        <w:jc w:val="both"/>
        <w:rPr/>
      </w:pPr>
      <w:r>
        <w:rPr/>
        <w:t xml:space="preserve">Аналогично определяются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C</m:t>
            </m:r>
          </m:e>
          <m:sub>
            <m:r>
              <w:rPr>
                <w:rFonts w:ascii="Cambria Math" w:hAnsi="Cambria Math"/>
              </w:rPr>
              <m:t xml:space="preserve">2</m:t>
            </m:r>
          </m:sub>
        </m:sSub>
      </m:oMath>
    </w:p>
    <w:p>
      <w:pPr>
        <w:pStyle w:val="Style17"/>
        <w:widowControl/>
        <w:tabs>
          <w:tab w:val="left" w:pos="631" w:leader="none"/>
        </w:tabs>
        <w:overflowPunct w:val="false"/>
        <w:bidi w:val="0"/>
        <w:spacing w:lineRule="auto" w:line="360"/>
        <w:ind w:left="0" w:right="0" w:firstLine="269"/>
        <w:jc w:val="both"/>
        <w:rPr/>
      </w:pPr>
      <w:r>
        <w:rPr/>
        <w:t>Магнитометр HMC5883L измеряет отно</w:t>
      </w:r>
      <w:r>
        <w:rPr/>
        <w:t xml:space="preserve">сительную величину магнитного поля, то один из коэффициентов  </w:t>
      </w:r>
      <w:r>
        <w:rPr>
          <w:rFonts w:ascii="Liberation Mono" w:hAnsi="Liberation Mono"/>
          <w:b w:val="false"/>
          <w:i/>
          <w:iCs/>
          <w:sz w:val="22"/>
        </w:rPr>
        <w:t xml:space="preserve">α, β </w:t>
      </w:r>
      <w:r>
        <w:rPr>
          <w:rFonts w:ascii="Liberation Mono" w:hAnsi="Liberation Mono"/>
          <w:b w:val="false"/>
          <w:i w:val="false"/>
          <w:iCs w:val="false"/>
          <w:sz w:val="22"/>
        </w:rPr>
        <w:t>и</w:t>
      </w:r>
      <w:r>
        <w:rPr>
          <w:rFonts w:ascii="Liberation Mono" w:hAnsi="Liberation Mono"/>
          <w:b w:val="false"/>
          <w:i/>
          <w:iCs/>
          <w:sz w:val="22"/>
        </w:rPr>
        <w:t xml:space="preserve"> </w:t>
      </w:r>
      <w:r>
        <w:rPr>
          <w:i/>
          <w:iCs/>
        </w:rPr>
        <w:t xml:space="preserve">γ </w:t>
      </w:r>
      <w:r>
        <w:rPr>
          <w:i w:val="false"/>
          <w:iCs w:val="false"/>
        </w:rPr>
        <w:t>можно определить произвольно. Примем коэффициент гамма равным единице. Тогда для вычисления остальных множителей получим систему</w:t>
      </w:r>
    </w:p>
    <w:p>
      <w:pPr>
        <w:pStyle w:val="Style17"/>
        <w:widowControl/>
        <w:tabs>
          <w:tab w:val="left" w:pos="631" w:leader="none"/>
        </w:tabs>
        <w:overflowPunct w:val="false"/>
        <w:bidi w:val="0"/>
        <w:spacing w:lineRule="auto" w:line="360"/>
        <w:ind w:left="0" w:right="0" w:hanging="0"/>
        <w:jc w:val="both"/>
        <w:rPr/>
      </w:pPr>
      <w:r>
        <w:rPr>
          <w:i w:val="false"/>
          <w:iCs w:val="false"/>
        </w:rPr>
      </w:r>
      <m:oMath xmlns:m="http://schemas.openxmlformats.org/officeDocument/2006/math">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
          <m:dPr>
            <m:begChr m:val="("/>
            <m:endChr m:val=")"/>
          </m:dPr>
          <m:e>
            <m:m>
              <m:mr>
                <m:e>
                  <m:r>
                    <w:rPr>
                      <w:rFonts w:ascii="Cambria Math" w:hAnsi="Cambria Math"/>
                    </w:rPr>
                    <m:t xml:space="preserve">α</m:t>
                  </m:r>
                </m:e>
              </m:mr>
              <m:mr>
                <m:e>
                  <m:r>
                    <w:rPr>
                      <w:rFonts w:ascii="Cambria Math" w:hAnsi="Cambria Math"/>
                    </w:rPr>
                    <m:t xml:space="preserve">β</m:t>
                  </m:r>
                </m:e>
              </m:mr>
            </m:m>
          </m:e>
        </m:d>
        <m:r>
          <w:rPr>
            <w:rFonts w:ascii="Cambria Math" w:hAnsi="Cambria Math"/>
          </w:rPr>
          <m:t xml:space="preserve">=</m:t>
        </m:r>
        <m:d>
          <m:dPr>
            <m:begChr m:val="("/>
            <m:endChr m:val=")"/>
          </m:dPr>
          <m:e>
            <m:m>
              <m:mr>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
          </m:e>
        </m:d>
      </m:oMath>
    </w:p>
    <w:p>
      <w:pPr>
        <w:pStyle w:val="Style17"/>
        <w:widowControl/>
        <w:tabs>
          <w:tab w:val="left" w:pos="631" w:leader="none"/>
        </w:tabs>
        <w:overflowPunct w:val="false"/>
        <w:bidi w:val="0"/>
        <w:spacing w:lineRule="auto" w:line="360"/>
        <w:ind w:left="0" w:right="0" w:firstLine="269"/>
        <w:jc w:val="both"/>
        <w:rPr/>
      </w:pPr>
      <w:r>
        <w:rPr>
          <w:i w:val="false"/>
          <w:iCs w:val="false"/>
        </w:rPr>
        <w:t>Р</w:t>
      </w:r>
      <w:r>
        <w:rPr>
          <w:i w:val="false"/>
          <w:iCs w:val="false"/>
        </w:rPr>
        <w:t xml:space="preserve">ешение этой системы можно получить в виде </w:t>
      </w:r>
    </w:p>
    <w:p>
      <w:pPr>
        <w:pStyle w:val="Style17"/>
        <w:widowControl/>
        <w:tabs>
          <w:tab w:val="left" w:pos="631" w:leader="none"/>
        </w:tabs>
        <w:overflowPunct w:val="false"/>
        <w:bidi w:val="0"/>
        <w:spacing w:lineRule="auto" w:line="360"/>
        <w:ind w:left="0" w:right="0" w:hanging="0"/>
        <w:jc w:val="both"/>
        <w:rPr/>
      </w:pPr>
      <w:r>
        <w:rPr>
          <w:i w:val="false"/>
          <w:iCs w:val="false"/>
        </w:rPr>
      </w:r>
      <m:oMath xmlns:m="http://schemas.openxmlformats.org/officeDocument/2006/math">
        <m:r>
          <w:rPr>
            <w:rFonts w:ascii="Cambria Math" w:hAnsi="Cambria Math"/>
          </w:rPr>
          <m:t xml:space="preserve">α</m:t>
        </m:r>
        <m:r>
          <w:rPr>
            <w:rFonts w:ascii="Cambria Math" w:hAnsi="Cambria Math"/>
          </w:rPr>
          <m:t xml:space="preserve">=</m:t>
        </m:r>
        <m:f>
          <m:num>
            <m:d>
              <m:dPr>
                <m:begChr m:val="|"/>
                <m:endChr m:val="|"/>
              </m:dPr>
              <m:e>
                <m:m>
                  <m:mr>
                    <m:e>
                      <m:r>
                        <w:rPr>
                          <w:rFonts w:ascii="Cambria Math" w:hAnsi="Cambria Math"/>
                        </w:rPr>
                        <m:t xml:space="preserve">A</m:t>
                      </m:r>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r>
                        <w:rPr>
                          <w:rFonts w:ascii="Cambria Math" w:hAnsi="Cambria Math"/>
                        </w:rPr>
                        <m:t xml:space="preserve">B</m:t>
                      </m:r>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num>
          <m:den>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en>
        </m:f>
        <m:r>
          <w:rPr>
            <w:rFonts w:ascii="Cambria Math" w:hAnsi="Cambria Math"/>
          </w:rPr>
          <m:t xml:space="preserve">β</m:t>
        </m:r>
        <m:r>
          <w:rPr>
            <w:rFonts w:ascii="Cambria Math" w:hAnsi="Cambria Math"/>
          </w:rPr>
          <m:t xml:space="preserve">=</m:t>
        </m:r>
        <m:f>
          <m:num>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r>
                        <w:rPr>
                          <w:rFonts w:ascii="Cambria Math" w:hAnsi="Cambria Math"/>
                        </w:rPr>
                        <m:t xml:space="preserve">A</m:t>
                      </m:r>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r>
                        <w:rPr>
                          <w:rFonts w:ascii="Cambria Math" w:hAnsi="Cambria Math"/>
                        </w:rPr>
                        <m:t xml:space="preserve">B</m:t>
                      </m:r>
                    </m:e>
                  </m:mr>
                </m:m>
              </m:e>
            </m:d>
          </m:num>
          <m:den>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en>
        </m:f>
      </m:oMath>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firstLine="269"/>
        <w:jc w:val="both"/>
        <w:rPr>
          <w:i w:val="false"/>
          <w:i w:val="false"/>
          <w:iCs w:val="false"/>
        </w:rPr>
      </w:pPr>
      <w:r>
        <w:rPr/>
      </w:r>
    </w:p>
    <w:p>
      <w:pPr>
        <w:pStyle w:val="Style17"/>
        <w:widowControl/>
        <w:tabs>
          <w:tab w:val="clear" w:pos="480"/>
        </w:tabs>
        <w:bidi w:val="0"/>
        <w:spacing w:lineRule="auto" w:line="360"/>
        <w:ind w:left="0" w:right="0" w:hanging="0"/>
        <w:jc w:val="both"/>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7"/>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ru-RU" w:eastAsia="ru-RU" w:bidi="ar-SA"/>
      </w:rPr>
    </w:rPrDefault>
    <w:pPrDefault>
      <w:pPr/>
    </w:pPrDefault>
  </w:docDefaults>
  <w:style w:type="paragraph" w:styleId="Normal">
    <w:name w:val="Normal"/>
    <w:qFormat/>
    <w:pPr>
      <w:widowControl/>
      <w:overflowPunct w:val="false"/>
      <w:bidi w:val="0"/>
      <w:spacing w:lineRule="auto" w:line="276"/>
      <w:jc w:val="left"/>
    </w:pPr>
    <w:rPr>
      <w:rFonts w:ascii="Calibri" w:hAnsi="Calibri" w:eastAsia="Calibri" w:cs="Times New Roman"/>
      <w:color w:val="auto"/>
      <w:kern w:val="0"/>
      <w:sz w:val="22"/>
      <w:szCs w:val="22"/>
      <w:lang w:val="ru-RU" w:eastAsia="en-US" w:bidi="ar-SA"/>
    </w:rPr>
  </w:style>
  <w:style w:type="paragraph" w:styleId="Heading1">
    <w:name w:val="Heading 1"/>
    <w:basedOn w:val="Normal"/>
    <w:qFormat/>
    <w:pPr>
      <w:keepNext w:val="true"/>
      <w:keepLines/>
      <w:spacing w:before="480" w:after="0"/>
      <w:outlineLvl w:val="0"/>
    </w:pPr>
    <w:rPr>
      <w:rFonts w:ascii="Cambria" w:hAnsi="Cambria" w:eastAsia="Times New Roman" w:cs="Times New Roman"/>
      <w:b/>
      <w:bCs/>
      <w:color w:val="365F91"/>
      <w:sz w:val="28"/>
      <w:szCs w:val="28"/>
    </w:rPr>
  </w:style>
  <w:style w:type="character" w:styleId="DefaultParagraphFont">
    <w:name w:val="Default Paragraph Font"/>
    <w:qFormat/>
    <w:rPr/>
  </w:style>
  <w:style w:type="character" w:styleId="1">
    <w:name w:val="Заголовок 1 Знак"/>
    <w:basedOn w:val="DefaultParagraphFont"/>
    <w:qFormat/>
    <w:rPr>
      <w:rFonts w:ascii="Cambria" w:hAnsi="Cambria" w:eastAsia="Times New Roman" w:cs="Times New Roman"/>
      <w:b/>
      <w:bCs/>
      <w:color w:val="365F91"/>
      <w:sz w:val="28"/>
      <w:szCs w:val="28"/>
      <w:lang w:eastAsia="en-US"/>
    </w:rPr>
  </w:style>
  <w:style w:type="character" w:styleId="Strong">
    <w:name w:val="Strong"/>
    <w:basedOn w:val="DefaultParagraphFont"/>
    <w:qFormat/>
    <w:rPr>
      <w:b/>
      <w:bCs/>
    </w:rPr>
  </w:style>
  <w:style w:type="character" w:styleId="Style13">
    <w:name w:val="текст Знак"/>
    <w:basedOn w:val="DefaultParagraphFont"/>
    <w:qFormat/>
    <w:rPr>
      <w:iCs/>
      <w:color w:val="000000"/>
      <w:sz w:val="28"/>
      <w:szCs w:val="28"/>
    </w:rPr>
  </w:style>
  <w:style w:type="character" w:styleId="Style14">
    <w:name w:val="параграф Знак"/>
    <w:basedOn w:val="DefaultParagraphFont"/>
    <w:qFormat/>
    <w:rPr>
      <w:rFonts w:eastAsia="Calibri"/>
      <w:b/>
      <w:sz w:val="28"/>
      <w:szCs w:val="28"/>
      <w:lang w:eastAsia="en-US"/>
    </w:rPr>
  </w:style>
  <w:style w:type="character" w:styleId="Style15">
    <w:name w:val="министерство Знак"/>
    <w:basedOn w:val="DefaultParagraphFont"/>
    <w:qFormat/>
    <w:rPr>
      <w:rFonts w:eastAsia="Calibri"/>
      <w:sz w:val="24"/>
      <w:szCs w:val="24"/>
      <w:lang w:eastAsia="en-US"/>
    </w:rPr>
  </w:style>
  <w:style w:type="character" w:styleId="Style16">
    <w:name w:val="подпись рис Знак"/>
    <w:basedOn w:val="DefaultParagraphFont"/>
    <w:qFormat/>
    <w:rPr>
      <w:rFonts w:eastAsia="Calibri"/>
      <w:sz w:val="24"/>
      <w:szCs w:val="24"/>
      <w:lang w:eastAsia="en-U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jc w:val="both"/>
    </w:pPr>
    <w:rPr>
      <w:rFonts w:ascii="Times New Roman" w:hAnsi="Times New Roman"/>
      <w:sz w:val="28"/>
    </w:rPr>
  </w:style>
  <w:style w:type="paragraph" w:styleId="Style17">
    <w:name w:val="текст"/>
    <w:basedOn w:val="Normal"/>
    <w:qFormat/>
    <w:pPr>
      <w:spacing w:lineRule="auto" w:line="360"/>
      <w:ind w:left="0" w:right="0" w:firstLine="284"/>
      <w:jc w:val="both"/>
    </w:pPr>
    <w:rPr>
      <w:rFonts w:ascii="Times New Roman" w:hAnsi="Times New Roman" w:eastAsia="Times New Roman"/>
      <w:iCs/>
      <w:color w:val="000000"/>
      <w:sz w:val="28"/>
      <w:szCs w:val="28"/>
      <w:lang w:eastAsia="ru-RU"/>
    </w:rPr>
  </w:style>
  <w:style w:type="paragraph" w:styleId="Style18">
    <w:name w:val="параграф"/>
    <w:basedOn w:val="Normal"/>
    <w:qFormat/>
    <w:pPr>
      <w:spacing w:lineRule="auto" w:line="360" w:before="120" w:after="120"/>
    </w:pPr>
    <w:rPr>
      <w:rFonts w:ascii="Times New Roman" w:hAnsi="Times New Roman"/>
      <w:b/>
      <w:sz w:val="28"/>
      <w:szCs w:val="28"/>
    </w:rPr>
  </w:style>
  <w:style w:type="paragraph" w:styleId="Style19">
    <w:name w:val="министерство"/>
    <w:basedOn w:val="Normal"/>
    <w:qFormat/>
    <w:pPr>
      <w:spacing w:before="120" w:after="120"/>
      <w:ind w:left="0" w:right="0" w:firstLine="567"/>
      <w:jc w:val="center"/>
      <w:outlineLvl w:val="0"/>
    </w:pPr>
    <w:rPr>
      <w:rFonts w:ascii="Times New Roman" w:hAnsi="Times New Roman"/>
      <w:sz w:val="24"/>
      <w:szCs w:val="24"/>
    </w:rPr>
  </w:style>
  <w:style w:type="paragraph" w:styleId="Style20">
    <w:name w:val="подпись рис"/>
    <w:basedOn w:val="Normal"/>
    <w:qFormat/>
    <w:pPr>
      <w:jc w:val="center"/>
    </w:pPr>
    <w:rPr>
      <w:rFonts w:ascii="Times New Roman" w:hAnsi="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700</TotalTime>
  <Application>LibreOffice/6.0.6.2$Linux_X86_64 LibreOffice_project/00m0$Build-2</Application>
  <Pages>4</Pages>
  <Words>394</Words>
  <Characters>2696</Characters>
  <CharactersWithSpaces>3082</CharactersWithSpaces>
  <Paragraphs>32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2018-12-16T10:32:00Z</dcterms:created>
  <dc:creator>Тест</dc:creator>
  <dc:description/>
  <dc:language>en-US</dc:language>
  <cp:lastModifiedBy/>
  <dcterms:modified xsi:type="dcterms:W3CDTF">2018-12-18T15:04:03Z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