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FINANCIAL ASSISTANT SYSTEM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implements a hybrid Financial Assistant that combines: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 stock market data (NIFTY-50 OHLCV)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LLM-based reasoning using Groq (LLaMA-3.1-8B)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guardrails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Optional English ↔ Telugu translation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is modular and composed of three main Python files:</w:t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4890"/>
        <w:tblGridChange w:id="0">
          <w:tblGrid>
            <w:gridCol w:w="3390"/>
            <w:gridCol w:w="4890"/>
          </w:tblGrid>
        </w:tblGridChange>
      </w:tblGrid>
      <w:tr>
        <w:trPr>
          <w:cantSplit w:val="0"/>
          <w:trHeight w:val="620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financial_assistant.py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brain, router, analytics, RAG, 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guardrail.py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Safety &amp; legal filtering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translate_groq.py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Language translation (English ↔ Telugu)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1.financial_assistant.py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central orchestrator of the entire assistant.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performs: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loading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understanding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Symbol &amp; date resolution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 analysis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 fallback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LLM-based explanation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Conversational context handling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Gradio UI rendering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1. API &amp; Model Setup: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57625" cy="428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Initializes Groq client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by trend explanations, RAG answers, hybrid explanations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2.Global In-Memory Stores: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71700" cy="4667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MARKET_DATA[(symbol, date)] → OHLCV row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STOCK_META[symbol] → company metadata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avoids repeated disk reads and enables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O(1) 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3.Market Data Loader: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95575" cy="276225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all NIFTY-50 CSV files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 column names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 dates safely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Populate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MARKET_DATA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stock_metadata.csv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Importance: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deterministic factual answers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Separates facts from LLM interpretation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4.Symbol Detection Logic: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00400" cy="209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 Order: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Exact symbol match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Alias match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Infosys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Reliance Industries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Fuzzy match using RapidFuzz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real user language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brittle strict matching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5.Date Parsing and Resolution: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52800" cy="2571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Understands: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YYYY-MM-DD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May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5th May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 5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Single date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"YYYY-MM-DD"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Multiple matches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["2016-05-05", "2020-05-05"]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questions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Multi-year comparisons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6.Trend and Intent Detection: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4700" cy="228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Detects: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2015–2020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between 2015 and 2020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2015 to 2020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xhortkxvdy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2809875" cy="21907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 if query asks for: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trends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historical movement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.Structured Answer: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48100" cy="2857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OHLC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VWAP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Volume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Turnover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metadata.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when user asks exact trading day data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.Multi-year same-date comparison: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114300" distT="114300" distL="114300" distR="114300">
            <wp:extent cx="4410075" cy="2476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when: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asks “compare 2016 and 2020”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calendar matches exist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Outputs close price &amp; volume per year.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9.Trend Analysis (Structured + LLM):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0175" cy="2095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Step-1: Filter rows by year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Step-2: Compute: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close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close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 change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/ Low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volume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Step-3: Build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statistics block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Step-4: Ask LLM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trends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10.Hybrid Price Explanation: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91125" cy="2095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Combines: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structured_answer()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(facts)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explanation of:</w:t>
      </w:r>
    </w:p>
    <w:p w:rsidR="00000000" w:rsidDel="00000000" w:rsidP="00000000" w:rsidRDefault="00000000" w:rsidRPr="00000000" w14:paraId="0000007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Intraday momentum</w:t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VWAP meaning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Sentiment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.RAG Index Construction: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14650" cy="25717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Step-1: Check if FAISS index exists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Step-2: If yes → load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Step-3: Else: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corpus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Chunk using Recursive splitter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 using MiniLM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FAISS index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RAG Answer Generator: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95525" cy="2762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Prompt constraints: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retrieved documents ONLY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If info missing → explain what’s missing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 how to refine query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as final fallback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.Multi-Symbol trend: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95950" cy="2857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trend_analysis()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TCS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INFY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RELIANCE</w:t>
        <w:br w:type="textWrapping"/>
        <w:t xml:space="preserve"> etc.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consolidated multi-company report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Main Query router: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71850" cy="2762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decision brain.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ec77qe3j0t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Execution Order: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year only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comparison (“compare both”)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Symbol detection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 analysis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Date-based lookup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 fallback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uses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enable conversational memory.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15.GradioUI Layer: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Includes: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Textbox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/ Clear / Download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Persistent context state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 export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UI never contains logic, it only calls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handle_query()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2.guardrail.py: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ethical safety layer.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 illegal financial requests: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 manipulation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Insider trading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Accounting fraud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Investor deception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Returns: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safe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String → blocked response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designed to be called before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handle_query()</w:t>
        <w:br w:type="textWrapping"/>
        <w:t xml:space="preserve">It is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urrently not wired, but architecturally clean.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3.translate_groq.py: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Capabilities: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English → Telugu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Telugu → English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same Groq LLaMA-3.1 model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Purpose: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 accessibility</w:t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wrap inputs or outputs of financial assistant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orthogonal, not tightly coupled.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Logical Architectural Flow: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1852613</wp:posOffset>
            </wp:positionH>
            <wp:positionV relativeFrom="paragraph">
              <wp:posOffset>117304</wp:posOffset>
            </wp:positionV>
            <wp:extent cx="2233613" cy="2622550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62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7.png"/><Relationship Id="rId22" Type="http://schemas.openxmlformats.org/officeDocument/2006/relationships/header" Target="header1.xml"/><Relationship Id="rId10" Type="http://schemas.openxmlformats.org/officeDocument/2006/relationships/image" Target="media/image11.png"/><Relationship Id="rId21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2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