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462FC" w14:textId="6BF17915" w:rsidR="00385E9C" w:rsidRPr="007D06CF" w:rsidRDefault="000B395E" w:rsidP="007D06CF">
      <w:pPr>
        <w:jc w:val="center"/>
        <w:rPr>
          <w:b/>
          <w:bCs/>
          <w:sz w:val="40"/>
          <w:szCs w:val="40"/>
        </w:rPr>
      </w:pPr>
      <w:r w:rsidRPr="007D06CF">
        <w:rPr>
          <w:b/>
          <w:bCs/>
          <w:sz w:val="40"/>
          <w:szCs w:val="40"/>
        </w:rPr>
        <w:t xml:space="preserve">Measure of Development </w:t>
      </w:r>
      <w:proofErr w:type="spellStart"/>
      <w:r w:rsidRPr="007D06CF">
        <w:rPr>
          <w:b/>
          <w:bCs/>
          <w:sz w:val="40"/>
          <w:szCs w:val="40"/>
        </w:rPr>
        <w:t>Webquest</w:t>
      </w:r>
      <w:proofErr w:type="spellEnd"/>
    </w:p>
    <w:p w14:paraId="6FBAD0EA" w14:textId="2594C4BA" w:rsidR="000B395E" w:rsidRDefault="000B395E">
      <w:r>
        <w:t>Human Development Index (HDI)</w:t>
      </w:r>
    </w:p>
    <w:p w14:paraId="1A768215" w14:textId="77777777" w:rsidR="000B395E" w:rsidRPr="000B395E" w:rsidRDefault="000B395E" w:rsidP="000B39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395E">
        <w:rPr>
          <w:rFonts w:ascii="Roboto" w:eastAsia="Times New Roman" w:hAnsi="Roboto" w:cs="Times New Roman"/>
          <w:color w:val="202124"/>
          <w:kern w:val="0"/>
          <w:sz w:val="22"/>
          <w:szCs w:val="22"/>
          <w:shd w:val="clear" w:color="auto" w:fill="FFFFFF"/>
          <w14:ligatures w14:val="none"/>
        </w:rPr>
        <w:t>The Human Development Index (HDI) is a summary measure of average achievement in key dimensions of human development: a long and healthy life, being knowledgeable and have a decent standard of living.</w:t>
      </w:r>
    </w:p>
    <w:p w14:paraId="4F6911E8" w14:textId="77777777" w:rsidR="000B395E" w:rsidRPr="000B395E" w:rsidRDefault="000B395E" w:rsidP="000B39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2"/>
          <w:szCs w:val="22"/>
          <w14:ligatures w14:val="none"/>
        </w:rPr>
      </w:pPr>
    </w:p>
    <w:p w14:paraId="0CE0C68E" w14:textId="77777777" w:rsidR="000B395E" w:rsidRPr="000B395E" w:rsidRDefault="000B395E" w:rsidP="000B39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2"/>
          <w:szCs w:val="22"/>
          <w14:ligatures w14:val="none"/>
        </w:rPr>
      </w:pPr>
      <w:r w:rsidRPr="000B395E">
        <w:rPr>
          <w:rFonts w:ascii="Roboto" w:eastAsia="Times New Roman" w:hAnsi="Roboto" w:cs="Times New Roman"/>
          <w:color w:val="202124"/>
          <w:kern w:val="0"/>
          <w:sz w:val="22"/>
          <w:szCs w:val="22"/>
          <w14:ligatures w14:val="none"/>
        </w:rPr>
        <w:t xml:space="preserve">The indicators they use </w:t>
      </w:r>
      <w:proofErr w:type="gramStart"/>
      <w:r w:rsidRPr="000B395E">
        <w:rPr>
          <w:rFonts w:ascii="Roboto" w:eastAsia="Times New Roman" w:hAnsi="Roboto" w:cs="Times New Roman"/>
          <w:color w:val="202124"/>
          <w:kern w:val="0"/>
          <w:sz w:val="22"/>
          <w:szCs w:val="22"/>
          <w14:ligatures w14:val="none"/>
        </w:rPr>
        <w:t>is:</w:t>
      </w:r>
      <w:proofErr w:type="gramEnd"/>
      <w:r w:rsidRPr="000B395E">
        <w:rPr>
          <w:rFonts w:ascii="Roboto" w:eastAsia="Times New Roman" w:hAnsi="Roboto" w:cs="Times New Roman"/>
          <w:color w:val="202124"/>
          <w:kern w:val="0"/>
          <w:sz w:val="22"/>
          <w:szCs w:val="22"/>
          <w14:ligatures w14:val="none"/>
        </w:rPr>
        <w:t xml:space="preserve"> Life Expectancy at Birth, Expected Years of Schooling and Average Years of Schooling, and GNI (Gross National Income) per capita.  </w:t>
      </w:r>
    </w:p>
    <w:p w14:paraId="262DDDD3" w14:textId="77777777" w:rsidR="000B395E" w:rsidRPr="000B395E" w:rsidRDefault="000B395E" w:rsidP="000B39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2"/>
          <w:szCs w:val="22"/>
          <w14:ligatures w14:val="none"/>
        </w:rPr>
      </w:pPr>
    </w:p>
    <w:p w14:paraId="48A3AFE2" w14:textId="77777777" w:rsidR="000B395E" w:rsidRPr="000B395E" w:rsidRDefault="000B395E" w:rsidP="000B39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2"/>
          <w:szCs w:val="22"/>
          <w14:ligatures w14:val="none"/>
        </w:rPr>
      </w:pPr>
      <w:r w:rsidRPr="000B395E">
        <w:rPr>
          <w:rFonts w:ascii="Roboto" w:eastAsia="Times New Roman" w:hAnsi="Roboto" w:cs="Times New Roman"/>
          <w:color w:val="202124"/>
          <w:kern w:val="0"/>
          <w:sz w:val="22"/>
          <w:szCs w:val="22"/>
          <w14:ligatures w14:val="none"/>
        </w:rPr>
        <w:t>It ranges from 0 to 1 - countries with HDI closer to 1 are highly developed with the average citizen living a long and healthy life, everyone has access to higher education, and they have a high standard of living. </w:t>
      </w:r>
    </w:p>
    <w:p w14:paraId="4A9F4ED6" w14:textId="77777777" w:rsidR="000B395E" w:rsidRPr="000B395E" w:rsidRDefault="000B395E" w:rsidP="000B39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2"/>
          <w:szCs w:val="22"/>
          <w14:ligatures w14:val="none"/>
        </w:rPr>
      </w:pPr>
      <w:r w:rsidRPr="000B395E">
        <w:rPr>
          <w:rFonts w:ascii="Roboto" w:eastAsia="Times New Roman" w:hAnsi="Roboto" w:cs="Times New Roman"/>
          <w:color w:val="202124"/>
          <w:kern w:val="0"/>
          <w:sz w:val="22"/>
          <w:szCs w:val="22"/>
          <w14:ligatures w14:val="none"/>
        </w:rPr>
        <w:t>** The HIGHER the BETTER **</w:t>
      </w:r>
    </w:p>
    <w:p w14:paraId="0838F484" w14:textId="08C14356" w:rsidR="007D06CF" w:rsidRPr="007D06CF" w:rsidRDefault="007D06CF" w:rsidP="007D06CF">
      <w:pPr>
        <w:pStyle w:val="NormalWeb"/>
      </w:pPr>
      <w:r w:rsidRPr="007D06CF">
        <w:rPr>
          <w:noProof/>
        </w:rPr>
        <w:drawing>
          <wp:inline distT="0" distB="0" distL="0" distR="0" wp14:anchorId="3C43985D" wp14:editId="2F8E7F95">
            <wp:extent cx="5943600" cy="2442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F8777" w14:textId="2AE2ADB7" w:rsidR="000B395E" w:rsidRDefault="000B395E" w:rsidP="000B395E">
      <w:pPr>
        <w:pStyle w:val="NormalWeb"/>
      </w:pPr>
    </w:p>
    <w:p w14:paraId="16139000" w14:textId="77777777" w:rsidR="000B395E" w:rsidRDefault="000B395E"/>
    <w:p w14:paraId="6E7EE81E" w14:textId="5653AFD7" w:rsidR="000B395E" w:rsidRDefault="000B395E" w:rsidP="000B395E">
      <w:pPr>
        <w:pStyle w:val="ListParagraph"/>
        <w:numPr>
          <w:ilvl w:val="0"/>
          <w:numId w:val="1"/>
        </w:numPr>
      </w:pPr>
      <w:r w:rsidRPr="000B395E">
        <w:rPr>
          <w:rFonts w:ascii="Bookman Old Style" w:hAnsi="Bookman Old Style"/>
          <w:sz w:val="24"/>
          <w:szCs w:val="24"/>
        </w:rPr>
        <w:t>Look at picture of people with all their belongings (photos taken in 1994):</w:t>
      </w:r>
      <w:r>
        <w:t xml:space="preserve"> </w:t>
      </w:r>
      <w:hyperlink r:id="rId6" w:history="1">
        <w:r w:rsidRPr="000B395E">
          <w:rPr>
            <w:rStyle w:val="Hyperlink"/>
            <w:rFonts w:ascii="Roboto" w:hAnsi="Roboto"/>
            <w:color w:val="1155CC"/>
            <w:sz w:val="22"/>
            <w:szCs w:val="22"/>
            <w:shd w:val="clear" w:color="auto" w:fill="FFFFFF"/>
          </w:rPr>
          <w:t>https://www.menzelphoto.com/portfolio/G0000GPaxwfSZQ0Q/I0000ENZnLbiIiHU</w:t>
        </w:r>
      </w:hyperlink>
    </w:p>
    <w:p w14:paraId="2030B505" w14:textId="53B7CA73" w:rsidR="000B395E" w:rsidRDefault="000B395E" w:rsidP="000B395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B395E">
        <w:rPr>
          <w:rFonts w:ascii="Bookman Old Style" w:hAnsi="Bookman Old Style"/>
          <w:sz w:val="24"/>
          <w:szCs w:val="24"/>
        </w:rPr>
        <w:t>Sort the first 5 countries pictured from highest (1) to lowest (5) HDI index.</w:t>
      </w:r>
    </w:p>
    <w:p w14:paraId="78296D61" w14:textId="02B6367A" w:rsidR="000B395E" w:rsidRDefault="000B395E" w:rsidP="000B395E">
      <w:pPr>
        <w:pStyle w:val="ListParagraph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Bhutan</w:t>
      </w:r>
      <w:r w:rsidR="001C522B">
        <w:rPr>
          <w:rFonts w:ascii="Bookman Old Style" w:hAnsi="Bookman Old Style"/>
          <w:sz w:val="24"/>
          <w:szCs w:val="24"/>
        </w:rPr>
        <w:t xml:space="preserve"> - 5</w:t>
      </w:r>
    </w:p>
    <w:p w14:paraId="762EAFAC" w14:textId="652F3C35" w:rsidR="000B395E" w:rsidRDefault="000B395E" w:rsidP="000B395E">
      <w:pPr>
        <w:pStyle w:val="ListParagraph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Cuba</w:t>
      </w:r>
      <w:r w:rsidR="001C522B">
        <w:rPr>
          <w:rFonts w:ascii="Bookman Old Style" w:hAnsi="Bookman Old Style"/>
          <w:sz w:val="24"/>
          <w:szCs w:val="24"/>
        </w:rPr>
        <w:tab/>
        <w:t>- 4</w:t>
      </w:r>
    </w:p>
    <w:p w14:paraId="13CA96A0" w14:textId="05D0A423" w:rsidR="000B395E" w:rsidRDefault="000B395E" w:rsidP="000B395E">
      <w:pPr>
        <w:pStyle w:val="ListParagraph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Iceland</w:t>
      </w:r>
      <w:r w:rsidR="001C522B">
        <w:rPr>
          <w:rFonts w:ascii="Bookman Old Style" w:hAnsi="Bookman Old Style"/>
          <w:sz w:val="24"/>
          <w:szCs w:val="24"/>
        </w:rPr>
        <w:t xml:space="preserve"> - 2</w:t>
      </w:r>
    </w:p>
    <w:p w14:paraId="734F25E1" w14:textId="2A415BD9" w:rsidR="000B395E" w:rsidRDefault="000B395E" w:rsidP="000B395E">
      <w:pPr>
        <w:pStyle w:val="ListParagraph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Japan</w:t>
      </w:r>
      <w:r w:rsidR="001C522B">
        <w:rPr>
          <w:rFonts w:ascii="Bookman Old Style" w:hAnsi="Bookman Old Style"/>
          <w:sz w:val="24"/>
          <w:szCs w:val="24"/>
        </w:rPr>
        <w:t xml:space="preserve"> - 1</w:t>
      </w:r>
    </w:p>
    <w:p w14:paraId="6DBD9C33" w14:textId="1FD1EFC3" w:rsidR="000B395E" w:rsidRDefault="000B395E" w:rsidP="000B395E">
      <w:pPr>
        <w:pStyle w:val="ListParagraph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Kuwait</w:t>
      </w:r>
      <w:r w:rsidR="001C522B">
        <w:rPr>
          <w:rFonts w:ascii="Bookman Old Style" w:hAnsi="Bookman Old Style"/>
          <w:sz w:val="24"/>
          <w:szCs w:val="24"/>
        </w:rPr>
        <w:t xml:space="preserve"> - 3</w:t>
      </w:r>
    </w:p>
    <w:p w14:paraId="6DFA70A9" w14:textId="61B1D18F" w:rsidR="000B395E" w:rsidRDefault="000B395E" w:rsidP="000B395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B395E">
        <w:rPr>
          <w:rFonts w:ascii="Bookman Old Style" w:hAnsi="Bookman Old Style"/>
          <w:b/>
          <w:bCs/>
          <w:sz w:val="24"/>
          <w:szCs w:val="24"/>
        </w:rPr>
        <w:t>Compare</w:t>
      </w:r>
      <w:r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b/>
          <w:bCs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Now check the HDI index to check your answers. </w:t>
      </w:r>
      <w:hyperlink r:id="rId7" w:anchor="/indicies/HDI" w:history="1">
        <w:r>
          <w:rPr>
            <w:rStyle w:val="Hyperlink"/>
            <w:rFonts w:ascii="Roboto" w:hAnsi="Roboto"/>
            <w:color w:val="1155CC"/>
            <w:sz w:val="22"/>
            <w:szCs w:val="22"/>
            <w:shd w:val="clear" w:color="auto" w:fill="FFFFFF"/>
          </w:rPr>
          <w:t>https://hdr.undp.org/data-center/human-development-index#/indicies/HDI</w:t>
        </w:r>
      </w:hyperlink>
      <w:r>
        <w:t xml:space="preserve">  </w:t>
      </w:r>
      <w:r w:rsidRPr="000B395E">
        <w:rPr>
          <w:rFonts w:ascii="Bookman Old Style" w:hAnsi="Bookman Old Style"/>
          <w:sz w:val="24"/>
          <w:szCs w:val="24"/>
        </w:rPr>
        <w:t xml:space="preserve">Click </w:t>
      </w:r>
      <w:r w:rsidRPr="000B395E">
        <w:rPr>
          <w:rFonts w:ascii="Bookman Old Style" w:hAnsi="Bookman Old Style"/>
          <w:sz w:val="24"/>
          <w:szCs w:val="24"/>
        </w:rPr>
        <w:lastRenderedPageBreak/>
        <w:t>“add a country” on the menu to the left to select and view only the countries you need.</w:t>
      </w:r>
    </w:p>
    <w:p w14:paraId="58F8AF94" w14:textId="0121A500" w:rsidR="000B395E" w:rsidRDefault="000B395E" w:rsidP="000B395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Reflect.</w:t>
      </w:r>
      <w:r>
        <w:rPr>
          <w:rFonts w:ascii="Bookman Old Style" w:hAnsi="Bookman Old Style"/>
          <w:sz w:val="24"/>
          <w:szCs w:val="24"/>
        </w:rPr>
        <w:t xml:space="preserve">  How close were you to the right answers? </w:t>
      </w:r>
    </w:p>
    <w:p w14:paraId="1FC2E721" w14:textId="5FEE3B1F" w:rsidR="001C522B" w:rsidRDefault="001C522B" w:rsidP="001C522B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All were correct.</w:t>
      </w:r>
    </w:p>
    <w:p w14:paraId="27EB3E17" w14:textId="1B705AFB" w:rsidR="000B395E" w:rsidRDefault="000B395E" w:rsidP="000B395E">
      <w:pPr>
        <w:pStyle w:val="ListParagraph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clues in the photos leads people to know whether the country has a high or low HDI?</w:t>
      </w:r>
    </w:p>
    <w:p w14:paraId="438D79D9" w14:textId="59EA5EFB" w:rsidR="001C522B" w:rsidRDefault="001C522B" w:rsidP="001C522B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photos can lead people to know whether the country has a low or high HDI by the type of housing or clothing. Photographs with cleaner clothes or houses typically mean that the people who live there have a higher income and are cleaner and healthier.</w:t>
      </w:r>
    </w:p>
    <w:p w14:paraId="1B291A36" w14:textId="6B623714" w:rsidR="000B395E" w:rsidRDefault="000B395E" w:rsidP="000B395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Predict.</w:t>
      </w:r>
      <w:r>
        <w:rPr>
          <w:rFonts w:ascii="Bookman Old Style" w:hAnsi="Bookman Old Style"/>
          <w:sz w:val="24"/>
          <w:szCs w:val="24"/>
        </w:rPr>
        <w:t xml:space="preserve">  Sort the next 5 countries pictured from highest to lowest on the HDI index.</w:t>
      </w:r>
    </w:p>
    <w:p w14:paraId="2742103A" w14:textId="5DCC2D9B" w:rsidR="000B395E" w:rsidRPr="000B395E" w:rsidRDefault="000B395E" w:rsidP="000B395E">
      <w:pPr>
        <w:pStyle w:val="ListParagraph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Mali</w:t>
      </w:r>
      <w:r w:rsidR="001C522B">
        <w:rPr>
          <w:rFonts w:ascii="Bookman Old Style" w:hAnsi="Bookman Old Style"/>
          <w:sz w:val="24"/>
          <w:szCs w:val="24"/>
        </w:rPr>
        <w:t xml:space="preserve"> - 5</w:t>
      </w:r>
    </w:p>
    <w:p w14:paraId="22322C79" w14:textId="6B1050FE" w:rsidR="000B395E" w:rsidRDefault="000B395E" w:rsidP="000B395E">
      <w:pPr>
        <w:pStyle w:val="ListParagraph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Mexico</w:t>
      </w:r>
      <w:r w:rsidR="001C522B">
        <w:rPr>
          <w:rFonts w:ascii="Bookman Old Style" w:hAnsi="Bookman Old Style"/>
          <w:sz w:val="24"/>
          <w:szCs w:val="24"/>
        </w:rPr>
        <w:t xml:space="preserve"> - 1</w:t>
      </w:r>
    </w:p>
    <w:p w14:paraId="50A88E85" w14:textId="6798885F" w:rsidR="000B395E" w:rsidRDefault="000B395E" w:rsidP="000B395E">
      <w:pPr>
        <w:pStyle w:val="ListParagraph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Mongolia</w:t>
      </w:r>
      <w:r w:rsidR="001C522B">
        <w:rPr>
          <w:rFonts w:ascii="Bookman Old Style" w:hAnsi="Bookman Old Style"/>
          <w:sz w:val="24"/>
          <w:szCs w:val="24"/>
        </w:rPr>
        <w:t xml:space="preserve"> - 4</w:t>
      </w:r>
    </w:p>
    <w:p w14:paraId="5DE43AE3" w14:textId="13398DDB" w:rsidR="000B395E" w:rsidRDefault="000B395E" w:rsidP="000B395E">
      <w:pPr>
        <w:pStyle w:val="ListParagraph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South Afric</w:t>
      </w:r>
      <w:r w:rsidR="001C522B">
        <w:rPr>
          <w:rFonts w:ascii="Bookman Old Style" w:hAnsi="Bookman Old Style"/>
          <w:sz w:val="24"/>
          <w:szCs w:val="24"/>
        </w:rPr>
        <w:t>a - 3</w:t>
      </w:r>
    </w:p>
    <w:p w14:paraId="793B6468" w14:textId="5AECBEF8" w:rsidR="000B395E" w:rsidRDefault="000B395E" w:rsidP="000B395E">
      <w:pPr>
        <w:pStyle w:val="ListParagraph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Thailand</w:t>
      </w:r>
      <w:r w:rsidR="001C522B">
        <w:rPr>
          <w:rFonts w:ascii="Bookman Old Style" w:hAnsi="Bookman Old Style"/>
          <w:sz w:val="24"/>
          <w:szCs w:val="24"/>
        </w:rPr>
        <w:t xml:space="preserve"> -2 </w:t>
      </w:r>
    </w:p>
    <w:p w14:paraId="47041897" w14:textId="06306C5D" w:rsidR="000B395E" w:rsidRPr="00A67750" w:rsidRDefault="000B395E" w:rsidP="000B395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Compare.</w:t>
      </w:r>
      <w:r>
        <w:rPr>
          <w:rFonts w:ascii="Bookman Old Style" w:hAnsi="Bookman Old Style"/>
          <w:sz w:val="24"/>
          <w:szCs w:val="24"/>
        </w:rPr>
        <w:t xml:space="preserve"> Now check the HDI index to verify your answers.  </w:t>
      </w:r>
      <w:hyperlink r:id="rId8" w:anchor="/indicies/HDI" w:history="1">
        <w:r w:rsidR="00A67750">
          <w:rPr>
            <w:rStyle w:val="Hyperlink"/>
            <w:rFonts w:ascii="Roboto" w:hAnsi="Roboto"/>
            <w:color w:val="1155CC"/>
            <w:sz w:val="22"/>
            <w:szCs w:val="22"/>
            <w:shd w:val="clear" w:color="auto" w:fill="FFFFFF"/>
          </w:rPr>
          <w:t>https://hdr.undp.org/data-center/human-development-ind</w:t>
        </w:r>
        <w:r w:rsidR="00A67750">
          <w:rPr>
            <w:rStyle w:val="Hyperlink"/>
            <w:rFonts w:ascii="Roboto" w:hAnsi="Roboto"/>
            <w:color w:val="1155CC"/>
            <w:sz w:val="22"/>
            <w:szCs w:val="22"/>
            <w:shd w:val="clear" w:color="auto" w:fill="FFFFFF"/>
          </w:rPr>
          <w:t>e</w:t>
        </w:r>
        <w:r w:rsidR="00A67750">
          <w:rPr>
            <w:rStyle w:val="Hyperlink"/>
            <w:rFonts w:ascii="Roboto" w:hAnsi="Roboto"/>
            <w:color w:val="1155CC"/>
            <w:sz w:val="22"/>
            <w:szCs w:val="22"/>
            <w:shd w:val="clear" w:color="auto" w:fill="FFFFFF"/>
          </w:rPr>
          <w:t>x#/indicies/HDI</w:t>
        </w:r>
      </w:hyperlink>
    </w:p>
    <w:p w14:paraId="6ED90FD2" w14:textId="47882BAB" w:rsidR="00A67750" w:rsidRDefault="00A67750" w:rsidP="000B395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Reflect.</w:t>
      </w:r>
      <w:r>
        <w:rPr>
          <w:rFonts w:ascii="Bookman Old Style" w:hAnsi="Bookman Old Style"/>
          <w:sz w:val="24"/>
          <w:szCs w:val="24"/>
        </w:rPr>
        <w:t xml:space="preserve"> How did you do the second time?</w:t>
      </w:r>
    </w:p>
    <w:p w14:paraId="4ABBF94D" w14:textId="15C3C1AA" w:rsidR="001C522B" w:rsidRDefault="001C522B" w:rsidP="001C522B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 got Thailand and South Africa switched.</w:t>
      </w:r>
    </w:p>
    <w:p w14:paraId="75FB1954" w14:textId="042FDA16" w:rsidR="00A67750" w:rsidRDefault="00A67750" w:rsidP="00A67750">
      <w:pPr>
        <w:pStyle w:val="ListParagraph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Why/how do you think these </w:t>
      </w:r>
      <w:proofErr w:type="gramStart"/>
      <w:r>
        <w:rPr>
          <w:rFonts w:ascii="Bookman Old Style" w:hAnsi="Bookman Old Style"/>
          <w:sz w:val="24"/>
          <w:szCs w:val="24"/>
        </w:rPr>
        <w:t>particular countries</w:t>
      </w:r>
      <w:proofErr w:type="gramEnd"/>
      <w:r>
        <w:rPr>
          <w:rFonts w:ascii="Bookman Old Style" w:hAnsi="Bookman Old Style"/>
          <w:sz w:val="24"/>
          <w:szCs w:val="24"/>
        </w:rPr>
        <w:t xml:space="preserve"> changed so much in HDI since 1994 (when the photos were taken)?</w:t>
      </w:r>
    </w:p>
    <w:p w14:paraId="6433CA4F" w14:textId="6FD84B2E" w:rsidR="006830B3" w:rsidRDefault="006830B3" w:rsidP="006830B3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 think that these countries had a huge change in HDI due to the 4</w:t>
      </w:r>
      <w:r w:rsidRPr="006830B3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Industrial Revolution, where they were able to take advantage of different technologies.</w:t>
      </w:r>
    </w:p>
    <w:p w14:paraId="10B1B846" w14:textId="4B4F23D2" w:rsidR="00A67750" w:rsidRDefault="00A67750" w:rsidP="00A6775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On the HDI website, look for the tab that </w:t>
      </w:r>
      <w:proofErr w:type="gramStart"/>
      <w:r>
        <w:rPr>
          <w:rFonts w:ascii="Bookman Old Style" w:hAnsi="Bookman Old Style"/>
          <w:sz w:val="24"/>
          <w:szCs w:val="24"/>
        </w:rPr>
        <w:t>says</w:t>
      </w:r>
      <w:proofErr w:type="gramEnd"/>
      <w:r>
        <w:rPr>
          <w:rFonts w:ascii="Bookman Old Style" w:hAnsi="Bookman Old Style"/>
          <w:sz w:val="24"/>
          <w:szCs w:val="24"/>
        </w:rPr>
        <w:t xml:space="preserve"> “Data Center.”  Hover over it, a dropdown menu pops up.  Click on “Country Insights.”  Click Afghanistan.</w:t>
      </w:r>
    </w:p>
    <w:p w14:paraId="37F8182E" w14:textId="3812925A" w:rsidR="00A67750" w:rsidRDefault="00A67750" w:rsidP="00A67750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Reflect.</w:t>
      </w:r>
      <w:r>
        <w:rPr>
          <w:rFonts w:ascii="Bookman Old Style" w:hAnsi="Bookman Old Style"/>
          <w:sz w:val="24"/>
          <w:szCs w:val="24"/>
        </w:rPr>
        <w:t xml:space="preserve"> Review the HDI data on Afghanistan.  What observations can you make?</w:t>
      </w:r>
    </w:p>
    <w:p w14:paraId="592348F6" w14:textId="4E184B96" w:rsidR="006830B3" w:rsidRPr="006830B3" w:rsidRDefault="006830B3" w:rsidP="006830B3">
      <w:pPr>
        <w:pStyle w:val="ListParagraph"/>
        <w:rPr>
          <w:rFonts w:ascii="Bookman Old Style" w:hAnsi="Bookman Old Style"/>
          <w:sz w:val="24"/>
          <w:szCs w:val="24"/>
        </w:rPr>
      </w:pPr>
      <w:r w:rsidRPr="006830B3">
        <w:rPr>
          <w:rFonts w:ascii="Bookman Old Style" w:hAnsi="Bookman Old Style"/>
          <w:sz w:val="24"/>
          <w:szCs w:val="24"/>
        </w:rPr>
        <w:t xml:space="preserve">I can notice that the HDI has been consistently increasing until 2020, where it started dropping from there. </w:t>
      </w:r>
    </w:p>
    <w:p w14:paraId="3324B2D2" w14:textId="1A3DDA71" w:rsidR="00A67750" w:rsidRPr="006830B3" w:rsidRDefault="00A67750" w:rsidP="00A67750">
      <w:pPr>
        <w:pStyle w:val="ListParagraph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 w:rsidRPr="00A67750">
        <w:rPr>
          <w:rFonts w:ascii="Bookman Old Style" w:hAnsi="Bookman Old Style"/>
          <w:sz w:val="24"/>
          <w:szCs w:val="24"/>
        </w:rPr>
        <w:t xml:space="preserve">Identify the </w:t>
      </w:r>
      <w:r w:rsidRPr="00A67750">
        <w:rPr>
          <w:rFonts w:ascii="Bookman Old Style" w:hAnsi="Bookman Old Style"/>
          <w:i/>
          <w:iCs/>
          <w:sz w:val="24"/>
          <w:szCs w:val="24"/>
        </w:rPr>
        <w:t>pattern</w:t>
      </w:r>
      <w:r w:rsidRPr="00A67750">
        <w:rPr>
          <w:rFonts w:ascii="Bookman Old Style" w:hAnsi="Bookman Old Style"/>
          <w:sz w:val="24"/>
          <w:szCs w:val="24"/>
        </w:rPr>
        <w:t xml:space="preserve"> and give the </w:t>
      </w:r>
      <w:r w:rsidRPr="00A67750">
        <w:rPr>
          <w:rFonts w:ascii="Bookman Old Style" w:hAnsi="Bookman Old Style"/>
          <w:i/>
          <w:iCs/>
          <w:sz w:val="24"/>
          <w:szCs w:val="24"/>
        </w:rPr>
        <w:t>perspective.</w:t>
      </w:r>
    </w:p>
    <w:p w14:paraId="33E919CF" w14:textId="77777777" w:rsidR="006830B3" w:rsidRPr="006830B3" w:rsidRDefault="006830B3" w:rsidP="006830B3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Pattern </w:t>
      </w:r>
      <w:r w:rsidRPr="006830B3">
        <w:rPr>
          <w:rFonts w:ascii="Bookman Old Style" w:hAnsi="Bookman Old Style"/>
          <w:sz w:val="24"/>
          <w:szCs w:val="24"/>
        </w:rPr>
        <w:t>Gradual improvement followed by a sudden decline after 2020.</w:t>
      </w:r>
    </w:p>
    <w:p w14:paraId="108FDF36" w14:textId="665DB2A8" w:rsidR="006830B3" w:rsidRPr="006830B3" w:rsidRDefault="006830B3" w:rsidP="006830B3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Perspective – During 2020, there was a COVID pandemic which completely shut down everything </w:t>
      </w:r>
      <w:r w:rsidR="004166F4">
        <w:rPr>
          <w:rFonts w:ascii="Bookman Old Style" w:hAnsi="Bookman Old Style"/>
          <w:sz w:val="24"/>
          <w:szCs w:val="24"/>
        </w:rPr>
        <w:t>economically. Afghanistan might have less recovery infrastructure making it difficult to come back. Additionally, Taliban’s return to power came in 2021 also affecting the economy.</w:t>
      </w:r>
    </w:p>
    <w:p w14:paraId="7A72D941" w14:textId="77777777" w:rsidR="006830B3" w:rsidRPr="006830B3" w:rsidRDefault="006830B3" w:rsidP="006830B3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</w:p>
    <w:p w14:paraId="16FE5DCA" w14:textId="77777777" w:rsidR="00A67750" w:rsidRDefault="00A67750" w:rsidP="00A67750">
      <w:pPr>
        <w:rPr>
          <w:rFonts w:ascii="Bookman Old Style" w:hAnsi="Bookman Old Style"/>
          <w:sz w:val="24"/>
          <w:szCs w:val="24"/>
        </w:rPr>
      </w:pPr>
    </w:p>
    <w:p w14:paraId="1A01D82B" w14:textId="5A645D0A" w:rsidR="00A67750" w:rsidRDefault="00A67750" w:rsidP="00A67750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Gender Inequality Index (GII)</w:t>
      </w:r>
    </w:p>
    <w:p w14:paraId="73B75A76" w14:textId="77777777" w:rsidR="00A67750" w:rsidRPr="00A67750" w:rsidRDefault="00A67750" w:rsidP="00A677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750">
        <w:rPr>
          <w:rFonts w:ascii="Roboto" w:eastAsia="Times New Roman" w:hAnsi="Roboto" w:cs="Times New Roman"/>
          <w:color w:val="202124"/>
          <w:kern w:val="0"/>
          <w:sz w:val="22"/>
          <w:szCs w:val="22"/>
          <w:shd w:val="clear" w:color="auto" w:fill="FFFFFF"/>
          <w14:ligatures w14:val="none"/>
        </w:rPr>
        <w:t>GII reflects gender-based disadvantage in three dimensions— reproductive health, empowerment and the labor market.</w:t>
      </w:r>
    </w:p>
    <w:p w14:paraId="5C165022" w14:textId="77777777" w:rsidR="00A67750" w:rsidRPr="00A67750" w:rsidRDefault="00A67750" w:rsidP="00A6775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2"/>
          <w:szCs w:val="22"/>
          <w14:ligatures w14:val="none"/>
        </w:rPr>
      </w:pPr>
    </w:p>
    <w:p w14:paraId="5F0D1E83" w14:textId="77777777" w:rsidR="00A67750" w:rsidRPr="00A67750" w:rsidRDefault="00A67750" w:rsidP="00A6775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2"/>
          <w:szCs w:val="22"/>
          <w14:ligatures w14:val="none"/>
        </w:rPr>
      </w:pPr>
      <w:r w:rsidRPr="00A67750">
        <w:rPr>
          <w:rFonts w:ascii="Roboto" w:eastAsia="Times New Roman" w:hAnsi="Roboto" w:cs="Times New Roman"/>
          <w:color w:val="202124"/>
          <w:kern w:val="0"/>
          <w:sz w:val="22"/>
          <w:szCs w:val="22"/>
          <w14:ligatures w14:val="none"/>
        </w:rPr>
        <w:t>It ranges from 0, where women and men fare equally, to 1, where one gender fares as poorly as possible in all measured dimensions.</w:t>
      </w:r>
    </w:p>
    <w:p w14:paraId="15587297" w14:textId="77777777" w:rsidR="00A67750" w:rsidRPr="00A67750" w:rsidRDefault="00A67750" w:rsidP="00A6775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2"/>
          <w:szCs w:val="22"/>
          <w14:ligatures w14:val="none"/>
        </w:rPr>
      </w:pPr>
      <w:r w:rsidRPr="00A67750">
        <w:rPr>
          <w:rFonts w:ascii="Roboto" w:eastAsia="Times New Roman" w:hAnsi="Roboto" w:cs="Times New Roman"/>
          <w:color w:val="202124"/>
          <w:kern w:val="0"/>
          <w:sz w:val="22"/>
          <w:szCs w:val="22"/>
          <w14:ligatures w14:val="none"/>
        </w:rPr>
        <w:t>** The LOWER the BETTER **</w:t>
      </w:r>
    </w:p>
    <w:p w14:paraId="4B8E0CD3" w14:textId="4C371F32" w:rsidR="00A67750" w:rsidRDefault="00A67750" w:rsidP="00A67750">
      <w:pPr>
        <w:pStyle w:val="NormalWeb"/>
      </w:pPr>
      <w:r>
        <w:rPr>
          <w:noProof/>
        </w:rPr>
        <w:drawing>
          <wp:inline distT="0" distB="0" distL="0" distR="0" wp14:anchorId="01D10A8A" wp14:editId="11E953D4">
            <wp:extent cx="5943600" cy="174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F808" w14:textId="0B16E355" w:rsidR="00A67750" w:rsidRPr="00A67750" w:rsidRDefault="00A67750" w:rsidP="00A6775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2"/>
          <w:szCs w:val="22"/>
          <w14:ligatures w14:val="none"/>
        </w:rPr>
      </w:pPr>
      <w:r w:rsidRPr="00A67750">
        <w:rPr>
          <w:rFonts w:ascii="Roboto" w:eastAsia="Times New Roman" w:hAnsi="Roboto" w:cs="Times New Roman"/>
          <w:color w:val="202124"/>
          <w:kern w:val="0"/>
          <w:sz w:val="22"/>
          <w:szCs w:val="22"/>
          <w14:ligatures w14:val="none"/>
        </w:rPr>
        <w:t>Click on this website and review the country data on the graph. </w:t>
      </w:r>
    </w:p>
    <w:p w14:paraId="123E12D7" w14:textId="77777777" w:rsidR="00A67750" w:rsidRPr="00A67750" w:rsidRDefault="00A67750" w:rsidP="00A677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anchor="/indicies/GII" w:history="1">
        <w:r w:rsidRPr="00A67750">
          <w:rPr>
            <w:rFonts w:ascii="Roboto" w:eastAsia="Times New Roman" w:hAnsi="Roboto" w:cs="Times New Roman"/>
            <w:color w:val="1155CC"/>
            <w:kern w:val="0"/>
            <w:sz w:val="22"/>
            <w:szCs w:val="22"/>
            <w:u w:val="single"/>
            <w:shd w:val="clear" w:color="auto" w:fill="FFFFFF"/>
            <w14:ligatures w14:val="none"/>
          </w:rPr>
          <w:t>https://hdr.undp.org/data-center/thematic-composite-indices/gender-ine</w:t>
        </w:r>
        <w:r w:rsidRPr="00A67750">
          <w:rPr>
            <w:rFonts w:ascii="Roboto" w:eastAsia="Times New Roman" w:hAnsi="Roboto" w:cs="Times New Roman"/>
            <w:color w:val="1155CC"/>
            <w:kern w:val="0"/>
            <w:sz w:val="22"/>
            <w:szCs w:val="22"/>
            <w:u w:val="single"/>
            <w:shd w:val="clear" w:color="auto" w:fill="FFFFFF"/>
            <w14:ligatures w14:val="none"/>
          </w:rPr>
          <w:t>q</w:t>
        </w:r>
        <w:r w:rsidRPr="00A67750">
          <w:rPr>
            <w:rFonts w:ascii="Roboto" w:eastAsia="Times New Roman" w:hAnsi="Roboto" w:cs="Times New Roman"/>
            <w:color w:val="1155CC"/>
            <w:kern w:val="0"/>
            <w:sz w:val="22"/>
            <w:szCs w:val="22"/>
            <w:u w:val="single"/>
            <w:shd w:val="clear" w:color="auto" w:fill="FFFFFF"/>
            <w14:ligatures w14:val="none"/>
          </w:rPr>
          <w:t>uality-index#/indicies/GII</w:t>
        </w:r>
      </w:hyperlink>
    </w:p>
    <w:p w14:paraId="726583F7" w14:textId="77777777" w:rsidR="00A67750" w:rsidRPr="00A67750" w:rsidRDefault="00A67750" w:rsidP="00A6775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2"/>
          <w:szCs w:val="22"/>
          <w14:ligatures w14:val="none"/>
        </w:rPr>
      </w:pPr>
    </w:p>
    <w:p w14:paraId="3B848DF9" w14:textId="77777777" w:rsidR="00A67750" w:rsidRPr="00A67750" w:rsidRDefault="00A67750" w:rsidP="00A6775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2"/>
          <w:szCs w:val="22"/>
          <w14:ligatures w14:val="none"/>
        </w:rPr>
      </w:pPr>
      <w:r w:rsidRPr="00A67750">
        <w:rPr>
          <w:rFonts w:ascii="Roboto" w:eastAsia="Times New Roman" w:hAnsi="Roboto" w:cs="Times New Roman"/>
          <w:color w:val="202124"/>
          <w:kern w:val="0"/>
          <w:sz w:val="22"/>
          <w:szCs w:val="22"/>
          <w14:ligatures w14:val="none"/>
        </w:rPr>
        <w:t>Answer the questions below based on this data. </w:t>
      </w:r>
    </w:p>
    <w:p w14:paraId="06D2F8AF" w14:textId="2BFD88C6" w:rsidR="00A67750" w:rsidRDefault="00A67750" w:rsidP="00A6775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Match the typical Maternal Mortality Ratio with the average GII score.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4"/>
        <w:gridCol w:w="2162"/>
        <w:gridCol w:w="2162"/>
        <w:gridCol w:w="2162"/>
      </w:tblGrid>
      <w:tr w:rsidR="00A67750" w14:paraId="4F6BF70F" w14:textId="77777777" w:rsidTr="00A67750">
        <w:tc>
          <w:tcPr>
            <w:tcW w:w="2337" w:type="dxa"/>
          </w:tcPr>
          <w:p w14:paraId="1F649C28" w14:textId="77777777" w:rsidR="00A67750" w:rsidRDefault="00A67750" w:rsidP="00A6775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1C777B4" w14:textId="0BC891EE" w:rsidR="00A67750" w:rsidRDefault="00A67750" w:rsidP="00A6775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Est. 60-200 per 100,000</w:t>
            </w:r>
          </w:p>
        </w:tc>
        <w:tc>
          <w:tcPr>
            <w:tcW w:w="2338" w:type="dxa"/>
          </w:tcPr>
          <w:p w14:paraId="0C48380B" w14:textId="33880762" w:rsidR="00A67750" w:rsidRDefault="00A67750" w:rsidP="00A6775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Est. 200-1000+ per 100,000</w:t>
            </w:r>
          </w:p>
        </w:tc>
        <w:tc>
          <w:tcPr>
            <w:tcW w:w="2338" w:type="dxa"/>
          </w:tcPr>
          <w:p w14:paraId="499AB704" w14:textId="48E8162C" w:rsidR="00A67750" w:rsidRDefault="00A67750" w:rsidP="00A6775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Est. 10-20 per 100,000</w:t>
            </w:r>
          </w:p>
        </w:tc>
      </w:tr>
      <w:tr w:rsidR="00A67750" w14:paraId="1C8A0C47" w14:textId="77777777" w:rsidTr="00A67750">
        <w:tc>
          <w:tcPr>
            <w:tcW w:w="2337" w:type="dxa"/>
          </w:tcPr>
          <w:p w14:paraId="7BF1D5C9" w14:textId="108C092D" w:rsidR="00A67750" w:rsidRDefault="00A67750" w:rsidP="00A6775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.72-.90 (Red)</w:t>
            </w:r>
          </w:p>
        </w:tc>
        <w:tc>
          <w:tcPr>
            <w:tcW w:w="2337" w:type="dxa"/>
          </w:tcPr>
          <w:p w14:paraId="07A369F9" w14:textId="77777777" w:rsidR="00A67750" w:rsidRDefault="00A67750" w:rsidP="00A6775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32522F1" w14:textId="25BEC5C9" w:rsidR="00A67750" w:rsidRDefault="004166F4" w:rsidP="00A6775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Correct</w:t>
            </w:r>
          </w:p>
        </w:tc>
        <w:tc>
          <w:tcPr>
            <w:tcW w:w="2338" w:type="dxa"/>
          </w:tcPr>
          <w:p w14:paraId="62BA34D7" w14:textId="77777777" w:rsidR="00A67750" w:rsidRDefault="00A67750" w:rsidP="00A6775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67750" w14:paraId="6B7EAA0D" w14:textId="77777777" w:rsidTr="00A67750">
        <w:tc>
          <w:tcPr>
            <w:tcW w:w="2337" w:type="dxa"/>
          </w:tcPr>
          <w:p w14:paraId="7705B00B" w14:textId="1C236F9A" w:rsidR="00A67750" w:rsidRDefault="00A67750" w:rsidP="00A6775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.45-.63 (Green)</w:t>
            </w:r>
          </w:p>
        </w:tc>
        <w:tc>
          <w:tcPr>
            <w:tcW w:w="2337" w:type="dxa"/>
          </w:tcPr>
          <w:p w14:paraId="303F954D" w14:textId="44C8CB41" w:rsidR="00A67750" w:rsidRDefault="004166F4" w:rsidP="00A6775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Correct</w:t>
            </w:r>
          </w:p>
        </w:tc>
        <w:tc>
          <w:tcPr>
            <w:tcW w:w="2338" w:type="dxa"/>
          </w:tcPr>
          <w:p w14:paraId="124F75D4" w14:textId="77777777" w:rsidR="00A67750" w:rsidRDefault="00A67750" w:rsidP="00A6775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D680B1A" w14:textId="77777777" w:rsidR="00A67750" w:rsidRDefault="00A67750" w:rsidP="00A6775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67750" w14:paraId="667993BC" w14:textId="77777777" w:rsidTr="00A67750">
        <w:tc>
          <w:tcPr>
            <w:tcW w:w="2337" w:type="dxa"/>
          </w:tcPr>
          <w:p w14:paraId="754EAB1B" w14:textId="37DBF0DD" w:rsidR="00A67750" w:rsidRDefault="00A67750" w:rsidP="00A6775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.09-.36 (Blue)</w:t>
            </w:r>
          </w:p>
        </w:tc>
        <w:tc>
          <w:tcPr>
            <w:tcW w:w="2337" w:type="dxa"/>
          </w:tcPr>
          <w:p w14:paraId="66072AB6" w14:textId="77777777" w:rsidR="00A67750" w:rsidRDefault="00A67750" w:rsidP="00A6775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BFE645B" w14:textId="77777777" w:rsidR="00A67750" w:rsidRDefault="00A67750" w:rsidP="00A6775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95CC18A" w14:textId="5503E23C" w:rsidR="00A67750" w:rsidRDefault="004166F4" w:rsidP="00A6775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Correct</w:t>
            </w:r>
          </w:p>
        </w:tc>
      </w:tr>
    </w:tbl>
    <w:p w14:paraId="78345759" w14:textId="4847C1D6" w:rsidR="00A67750" w:rsidRDefault="00A67750" w:rsidP="00A6775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Scan the number the percentage of females in “Share of Seats in Parliament.”</w:t>
      </w:r>
    </w:p>
    <w:p w14:paraId="5FC23B6F" w14:textId="394E5747" w:rsidR="00A67750" w:rsidRDefault="00A67750" w:rsidP="00A6775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Write </w:t>
      </w:r>
      <w:r>
        <w:rPr>
          <w:rFonts w:ascii="Bookman Old Style" w:hAnsi="Bookman Old Style"/>
          <w:b/>
          <w:bCs/>
          <w:sz w:val="24"/>
          <w:szCs w:val="24"/>
        </w:rPr>
        <w:t xml:space="preserve">3 </w:t>
      </w:r>
      <w:r w:rsidRPr="00A67750">
        <w:rPr>
          <w:rFonts w:ascii="Bookman Old Style" w:hAnsi="Bookman Old Style"/>
          <w:b/>
          <w:bCs/>
          <w:sz w:val="24"/>
          <w:szCs w:val="24"/>
        </w:rPr>
        <w:t>countries</w:t>
      </w:r>
      <w:r w:rsidR="00C62C29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C62C29">
        <w:rPr>
          <w:rFonts w:ascii="Bookman Old Style" w:hAnsi="Bookman Old Style"/>
          <w:sz w:val="24"/>
          <w:szCs w:val="24"/>
        </w:rPr>
        <w:t xml:space="preserve">that have the </w:t>
      </w:r>
      <w:r w:rsidR="00C62C29">
        <w:rPr>
          <w:rFonts w:ascii="Bookman Old Style" w:hAnsi="Bookman Old Style"/>
          <w:b/>
          <w:bCs/>
          <w:sz w:val="24"/>
          <w:szCs w:val="24"/>
        </w:rPr>
        <w:t>highest</w:t>
      </w:r>
      <w:r w:rsidR="00C62C29">
        <w:rPr>
          <w:rFonts w:ascii="Bookman Old Style" w:hAnsi="Bookman Old Style"/>
          <w:sz w:val="24"/>
          <w:szCs w:val="24"/>
        </w:rPr>
        <w:t xml:space="preserve"> that you saw, the </w:t>
      </w:r>
      <w:r w:rsidR="00C62C29">
        <w:rPr>
          <w:rFonts w:ascii="Bookman Old Style" w:hAnsi="Bookman Old Style"/>
          <w:b/>
          <w:bCs/>
          <w:sz w:val="24"/>
          <w:szCs w:val="24"/>
        </w:rPr>
        <w:t>percentage</w:t>
      </w:r>
      <w:r w:rsidR="00C62C29">
        <w:rPr>
          <w:rFonts w:ascii="Bookman Old Style" w:hAnsi="Bookman Old Style"/>
          <w:sz w:val="24"/>
          <w:szCs w:val="24"/>
        </w:rPr>
        <w:t xml:space="preserve">, and the </w:t>
      </w:r>
      <w:r w:rsidR="00C62C29" w:rsidRPr="00C62C29">
        <w:rPr>
          <w:rFonts w:ascii="Bookman Old Style" w:hAnsi="Bookman Old Style"/>
          <w:b/>
          <w:bCs/>
          <w:sz w:val="24"/>
          <w:szCs w:val="24"/>
        </w:rPr>
        <w:t>GII</w:t>
      </w:r>
      <w:r w:rsidR="00C62C29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C62C29" w:rsidRPr="00C62C29">
        <w:rPr>
          <w:rFonts w:ascii="Bookman Old Style" w:hAnsi="Bookman Old Style"/>
          <w:b/>
          <w:bCs/>
          <w:sz w:val="24"/>
          <w:szCs w:val="24"/>
        </w:rPr>
        <w:t>score</w:t>
      </w:r>
      <w:r w:rsidR="00C62C29">
        <w:rPr>
          <w:rFonts w:ascii="Bookman Old Style" w:hAnsi="Bookman Old Style"/>
          <w:sz w:val="24"/>
          <w:szCs w:val="24"/>
        </w:rPr>
        <w:t>. (don’t have to get the actual top 3, just the highest numbers you saw in your quick scan.</w:t>
      </w:r>
    </w:p>
    <w:p w14:paraId="6D717A0A" w14:textId="3C6F0D71" w:rsidR="004166F4" w:rsidRDefault="004166F4" w:rsidP="004166F4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Norway – GII 0.101 – 37.8%</w:t>
      </w:r>
    </w:p>
    <w:p w14:paraId="5C9F0962" w14:textId="5940C170" w:rsidR="004166F4" w:rsidRDefault="004166F4" w:rsidP="004166F4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Sweden – 0.08 – 42.7%</w:t>
      </w:r>
    </w:p>
    <w:p w14:paraId="367189F3" w14:textId="10A3DBB1" w:rsidR="004166F4" w:rsidRDefault="004166F4" w:rsidP="004166F4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Denmark – 37.4% - 0.07</w:t>
      </w:r>
    </w:p>
    <w:p w14:paraId="0D6492F9" w14:textId="5833F0D8" w:rsidR="00C62C29" w:rsidRDefault="00C62C29" w:rsidP="00C62C29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Write </w:t>
      </w:r>
      <w:r>
        <w:rPr>
          <w:rFonts w:ascii="Bookman Old Style" w:hAnsi="Bookman Old Style"/>
          <w:b/>
          <w:bCs/>
          <w:sz w:val="24"/>
          <w:szCs w:val="24"/>
        </w:rPr>
        <w:t xml:space="preserve">3 </w:t>
      </w:r>
      <w:r w:rsidRPr="00A67750">
        <w:rPr>
          <w:rFonts w:ascii="Bookman Old Style" w:hAnsi="Bookman Old Style"/>
          <w:b/>
          <w:bCs/>
          <w:sz w:val="24"/>
          <w:szCs w:val="24"/>
        </w:rPr>
        <w:t>countries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that have the </w:t>
      </w:r>
      <w:r>
        <w:rPr>
          <w:rFonts w:ascii="Bookman Old Style" w:hAnsi="Bookman Old Style"/>
          <w:b/>
          <w:bCs/>
          <w:sz w:val="24"/>
          <w:szCs w:val="24"/>
        </w:rPr>
        <w:t>lowest</w:t>
      </w:r>
      <w:r>
        <w:rPr>
          <w:rFonts w:ascii="Bookman Old Style" w:hAnsi="Bookman Old Style"/>
          <w:sz w:val="24"/>
          <w:szCs w:val="24"/>
        </w:rPr>
        <w:t xml:space="preserve"> that you saw, the </w:t>
      </w:r>
      <w:r>
        <w:rPr>
          <w:rFonts w:ascii="Bookman Old Style" w:hAnsi="Bookman Old Style"/>
          <w:b/>
          <w:bCs/>
          <w:sz w:val="24"/>
          <w:szCs w:val="24"/>
        </w:rPr>
        <w:t>percentage</w:t>
      </w:r>
      <w:r>
        <w:rPr>
          <w:rFonts w:ascii="Bookman Old Style" w:hAnsi="Bookman Old Style"/>
          <w:sz w:val="24"/>
          <w:szCs w:val="24"/>
        </w:rPr>
        <w:t xml:space="preserve">, and the </w:t>
      </w:r>
      <w:r w:rsidRPr="00C62C29">
        <w:rPr>
          <w:rFonts w:ascii="Bookman Old Style" w:hAnsi="Bookman Old Style"/>
          <w:b/>
          <w:bCs/>
          <w:sz w:val="24"/>
          <w:szCs w:val="24"/>
        </w:rPr>
        <w:t>GII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C62C29">
        <w:rPr>
          <w:rFonts w:ascii="Bookman Old Style" w:hAnsi="Bookman Old Style"/>
          <w:b/>
          <w:bCs/>
          <w:sz w:val="24"/>
          <w:szCs w:val="24"/>
        </w:rPr>
        <w:t>score</w:t>
      </w:r>
      <w:r>
        <w:rPr>
          <w:rFonts w:ascii="Bookman Old Style" w:hAnsi="Bookman Old Style"/>
          <w:sz w:val="24"/>
          <w:szCs w:val="24"/>
        </w:rPr>
        <w:t>. (don’t have to get the actual lowest 3, just the lowest numbers you saw in your quick scan.</w:t>
      </w:r>
    </w:p>
    <w:p w14:paraId="2E6E7FB6" w14:textId="7DD38A2F" w:rsidR="00C62C29" w:rsidRDefault="004166F4" w:rsidP="007D06CF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Niger – 1.2% 0.8</w:t>
      </w:r>
    </w:p>
    <w:p w14:paraId="13AA80EF" w14:textId="01037CB3" w:rsidR="004166F4" w:rsidRDefault="004166F4" w:rsidP="007D06CF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Yemen – 0.7% 0.8</w:t>
      </w:r>
    </w:p>
    <w:p w14:paraId="07858C1D" w14:textId="15FFF747" w:rsidR="004166F4" w:rsidRDefault="004166F4" w:rsidP="007D06CF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Pakistan – 2% 0.775</w:t>
      </w:r>
    </w:p>
    <w:p w14:paraId="56D2F2E8" w14:textId="77777777" w:rsidR="004166F4" w:rsidRPr="007D06CF" w:rsidRDefault="004166F4" w:rsidP="007D06CF">
      <w:pPr>
        <w:pStyle w:val="ListParagraph"/>
        <w:rPr>
          <w:rFonts w:ascii="Bookman Old Style" w:hAnsi="Bookman Old Style"/>
          <w:sz w:val="24"/>
          <w:szCs w:val="24"/>
        </w:rPr>
      </w:pPr>
    </w:p>
    <w:sectPr w:rsidR="004166F4" w:rsidRPr="007D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altName w:val="Cavolini"/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73B03"/>
    <w:multiLevelType w:val="hybridMultilevel"/>
    <w:tmpl w:val="7A3CD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C504C"/>
    <w:multiLevelType w:val="hybridMultilevel"/>
    <w:tmpl w:val="470C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931263">
    <w:abstractNumId w:val="1"/>
  </w:num>
  <w:num w:numId="2" w16cid:durableId="137134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5E"/>
    <w:rsid w:val="000B395E"/>
    <w:rsid w:val="001C522B"/>
    <w:rsid w:val="001E3194"/>
    <w:rsid w:val="00200C31"/>
    <w:rsid w:val="002D4557"/>
    <w:rsid w:val="00385E9C"/>
    <w:rsid w:val="004166F4"/>
    <w:rsid w:val="006830B3"/>
    <w:rsid w:val="007D06CF"/>
    <w:rsid w:val="00912750"/>
    <w:rsid w:val="00A67750"/>
    <w:rsid w:val="00B21093"/>
    <w:rsid w:val="00C6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DCBE"/>
  <w15:chartTrackingRefBased/>
  <w15:docId w15:val="{6BEC4793-6860-467B-A97F-D2080D38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volini" w:eastAsiaTheme="minorHAnsi" w:hAnsi="Cavolini" w:cs="Cavolin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39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3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B395E"/>
    <w:pPr>
      <w:ind w:left="720"/>
      <w:contextualSpacing/>
    </w:pPr>
  </w:style>
  <w:style w:type="table" w:styleId="TableGrid">
    <w:name w:val="Table Grid"/>
    <w:basedOn w:val="TableNormal"/>
    <w:uiPriority w:val="39"/>
    <w:rsid w:val="00A67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C5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3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dr.undp.org/data-center/human-development-inde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dr.undp.org/data-center/human-development-inde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nzelphoto.com/portfolio/G0000GPaxwfSZQ0Q/I0000ENZnLbiIiHU" TargetMode="External"/><Relationship Id="rId11" Type="http://schemas.openxmlformats.org/officeDocument/2006/relationships/hyperlink" Target="https://hdr.undp.org/data-center/thematic-composite-indices/gender-inequality-index" TargetMode="External"/><Relationship Id="rId5" Type="http://schemas.openxmlformats.org/officeDocument/2006/relationships/image" Target="media/image1.jpe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Twiggs</dc:creator>
  <cp:keywords/>
  <dc:description/>
  <cp:lastModifiedBy>Varun Agarwal (Student)</cp:lastModifiedBy>
  <cp:revision>3</cp:revision>
  <dcterms:created xsi:type="dcterms:W3CDTF">2024-03-04T16:28:00Z</dcterms:created>
  <dcterms:modified xsi:type="dcterms:W3CDTF">2025-03-07T19:15:00Z</dcterms:modified>
</cp:coreProperties>
</file>