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pPr>
      <w:r>
        <w:t xml:space="preserve"/>
      </w:r>
    </w:p>
    <w:p>
      <w:pPr>
        <w:spacing w:after="100"/>
        <w:jc w:val="center"/>
      </w:pPr>
      <w:r>
        <w:rPr>
          <w:rFonts w:ascii="Arial" w:cs="Arial" w:eastAsia="Arial" w:hAnsi="Arial"/>
          <w:b/>
          <w:bCs/>
          <w:caps/>
          <w:color w:val="1F4E79"/>
          <w:sz w:val="24"/>
          <w:szCs w:val="24"/>
        </w:rPr>
        <w:t xml:space="preserve">UNIVERSITY OF LIVERPOOL</w:t>
      </w:r>
    </w:p>
    <w:p>
      <w:pPr>
        <w:spacing w:after="360"/>
        <w:jc w:val="center"/>
      </w:pPr>
      <w:r>
        <w:rPr>
          <w:rFonts w:ascii="Arial" w:cs="Arial" w:eastAsia="Arial" w:hAnsi="Arial"/>
          <w:color w:val="666666"/>
          <w:sz w:val="22"/>
          <w:szCs w:val="22"/>
        </w:rPr>
        <w:t xml:space="preserve">Department of Computer Science</w:t>
      </w:r>
    </w:p>
    <w:p>
      <w:pPr>
        <w:pBdr>
          <w:bottom w:val="single" w:color="2E75B6" w:sz="10" w:space="4"/>
        </w:pBdr>
        <w:spacing w:after="360"/>
        <w:jc w:val="center"/>
      </w:pPr>
    </w:p>
    <w:p>
      <w:pPr>
        <w:spacing w:after="200"/>
        <w:jc w:val="center"/>
      </w:pPr>
      <w:r>
        <w:rPr>
          <w:rFonts w:ascii="Arial" w:cs="Arial" w:eastAsia="Arial" w:hAnsi="Arial"/>
          <w:b/>
          <w:bCs/>
          <w:color w:val="1F4E79"/>
          <w:sz w:val="44"/>
          <w:szCs w:val="44"/>
        </w:rPr>
        <w:t xml:space="preserve">Systematic Evaluation of Prompt Engineering</w:t>
      </w:r>
    </w:p>
    <w:p>
      <w:pPr>
        <w:spacing w:after="200"/>
        <w:jc w:val="center"/>
      </w:pPr>
      <w:r>
        <w:rPr>
          <w:rFonts w:ascii="Arial" w:cs="Arial" w:eastAsia="Arial" w:hAnsi="Arial"/>
          <w:b/>
          <w:bCs/>
          <w:color w:val="1F4E79"/>
          <w:sz w:val="44"/>
          <w:szCs w:val="44"/>
        </w:rPr>
        <w:t xml:space="preserve">Techniques for Large Language Models:</w:t>
      </w:r>
    </w:p>
    <w:p>
      <w:pPr>
        <w:spacing w:after="400"/>
        <w:jc w:val="center"/>
      </w:pPr>
      <w:r>
        <w:rPr>
          <w:rFonts w:ascii="Arial" w:cs="Arial" w:eastAsia="Arial" w:hAnsi="Arial"/>
          <w:b/>
          <w:bCs/>
          <w:color w:val="2E75B6"/>
          <w:sz w:val="36"/>
          <w:szCs w:val="36"/>
        </w:rPr>
        <w:t xml:space="preserve">A Multi-Task Empirical Framework</w:t>
      </w:r>
    </w:p>
    <w:p>
      <w:pPr>
        <w:pBdr>
          <w:top w:val="single" w:color="2E75B6" w:sz="10" w:space="4"/>
        </w:pBdr>
        <w:spacing w:after="400"/>
        <w:jc w:val="center"/>
      </w:pPr>
    </w:p>
    <w:p>
      <w:pPr>
        <w:spacing w:after="360"/>
        <w:jc w:val="center"/>
      </w:pPr>
      <w:r>
        <w:rPr>
          <w:rFonts w:ascii="Arial" w:cs="Arial" w:eastAsia="Arial" w:hAnsi="Arial"/>
          <w:color w:val="777777"/>
          <w:sz w:val="26"/>
          <w:szCs w:val="26"/>
        </w:rPr>
        <w:t xml:space="preserve">MSc Specification and Design Proposal</w:t>
      </w:r>
    </w:p>
    <w:p>
      <w:pPr>
        <w:spacing w:after="60"/>
        <w:jc w:val="center"/>
      </w:pPr>
      <w:r>
        <w:rPr>
          <w:rFonts w:ascii="Arial" w:cs="Arial" w:eastAsia="Arial" w:hAnsi="Arial"/>
          <w:b/>
          <w:bCs/>
          <w:sz w:val="24"/>
          <w:szCs w:val="24"/>
        </w:rPr>
        <w:t xml:space="preserve">Student:  </w:t>
      </w:r>
      <w:r>
        <w:rPr>
          <w:rFonts w:ascii="Arial" w:cs="Arial" w:eastAsia="Arial" w:hAnsi="Arial"/>
          <w:sz w:val="24"/>
          <w:szCs w:val="24"/>
        </w:rPr>
        <w:t xml:space="preserve">Varun</w:t>
      </w:r>
    </w:p>
    <w:p>
      <w:pPr>
        <w:spacing w:after="60"/>
        <w:jc w:val="center"/>
      </w:pPr>
      <w:r>
        <w:rPr>
          <w:rFonts w:ascii="Arial" w:cs="Arial" w:eastAsia="Arial" w:hAnsi="Arial"/>
          <w:b/>
          <w:bCs/>
          <w:sz w:val="24"/>
          <w:szCs w:val="24"/>
        </w:rPr>
        <w:t xml:space="preserve">Student ID:  </w:t>
      </w:r>
      <w:r>
        <w:rPr>
          <w:rFonts w:ascii="Arial" w:cs="Arial" w:eastAsia="Arial" w:hAnsi="Arial"/>
          <w:sz w:val="24"/>
          <w:szCs w:val="24"/>
        </w:rPr>
        <w:t xml:space="preserve">[Insert Student ID]</w:t>
      </w:r>
    </w:p>
    <w:p>
      <w:pPr>
        <w:spacing w:after="60"/>
        <w:jc w:val="center"/>
      </w:pPr>
      <w:r>
        <w:rPr>
          <w:rFonts w:ascii="Arial" w:cs="Arial" w:eastAsia="Arial" w:hAnsi="Arial"/>
          <w:b/>
          <w:bCs/>
          <w:sz w:val="24"/>
          <w:szCs w:val="24"/>
        </w:rPr>
        <w:t xml:space="preserve">Supervisor:  </w:t>
      </w:r>
      <w:r>
        <w:rPr>
          <w:rFonts w:ascii="Arial" w:cs="Arial" w:eastAsia="Arial" w:hAnsi="Arial"/>
          <w:sz w:val="24"/>
          <w:szCs w:val="24"/>
        </w:rPr>
        <w:t xml:space="preserve">Achilleas Koufonikos</w:t>
      </w:r>
    </w:p>
    <w:p>
      <w:pPr>
        <w:spacing w:after="60"/>
        <w:jc w:val="center"/>
      </w:pPr>
      <w:r>
        <w:rPr>
          <w:rFonts w:ascii="Arial" w:cs="Arial" w:eastAsia="Arial" w:hAnsi="Arial"/>
          <w:b/>
          <w:bCs/>
          <w:sz w:val="24"/>
          <w:szCs w:val="24"/>
        </w:rPr>
        <w:t xml:space="preserve">Programme:  </w:t>
      </w:r>
      <w:r>
        <w:rPr>
          <w:rFonts w:ascii="Arial" w:cs="Arial" w:eastAsia="Arial" w:hAnsi="Arial"/>
          <w:sz w:val="24"/>
          <w:szCs w:val="24"/>
        </w:rPr>
        <w:t xml:space="preserve">MSc Computer Science</w:t>
      </w:r>
    </w:p>
    <w:p>
      <w:pPr>
        <w:spacing w:after="60"/>
        <w:jc w:val="center"/>
      </w:pPr>
      <w:r>
        <w:rPr>
          <w:rFonts w:ascii="Arial" w:cs="Arial" w:eastAsia="Arial" w:hAnsi="Arial"/>
          <w:b/>
          <w:bCs/>
          <w:sz w:val="24"/>
          <w:szCs w:val="24"/>
        </w:rPr>
        <w:t xml:space="preserve">Date:  </w:t>
      </w:r>
      <w:r>
        <w:rPr>
          <w:rFonts w:ascii="Arial" w:cs="Arial" w:eastAsia="Arial" w:hAnsi="Arial"/>
          <w:sz w:val="24"/>
          <w:szCs w:val="24"/>
        </w:rPr>
        <w:t xml:space="preserve">June 2026</w:t>
      </w:r>
    </w:p>
    <w:p>
      <w:pPr>
        <w:spacing w:after="1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FFF2CC" w:val="clear"/>
            <w:tcMar>
              <w:top w:type="dxa" w:w="160"/>
              <w:left w:type="dxa" w:w="240"/>
              <w:bottom w:type="dxa" w:w="160"/>
              <w:right w:type="dxa" w:w="240"/>
            </w:tcMar>
          </w:tcPr>
          <w:p>
            <w:pPr>
              <w:spacing w:after="80"/>
              <w:jc w:val="center"/>
            </w:pPr>
            <w:r>
              <w:rPr>
                <w:rFonts w:ascii="Arial" w:cs="Arial" w:eastAsia="Arial" w:hAnsi="Arial"/>
                <w:b/>
                <w:bCs/>
                <w:color w:val="1F4E79"/>
                <w:sz w:val="24"/>
                <w:szCs w:val="24"/>
              </w:rPr>
              <w:t xml:space="preserve">Statement of Ethical Compliance</w:t>
            </w:r>
          </w:p>
          <w:p>
            <w:pPr>
              <w:jc w:val="both"/>
            </w:pPr>
            <w:r>
              <w:rPr>
                <w:rFonts w:ascii="Arial" w:cs="Arial" w:eastAsia="Arial" w:hAnsi="Arial"/>
                <w:sz w:val="21"/>
                <w:szCs w:val="21"/>
              </w:rPr>
              <w:t xml:space="preserve">Data Category: A0 -This project does not collect personal data and does not involve human participants in any experimental activity. All datasets used are publicly available benchmarks released under open-source licences (Apache 2.0 and MIT). I confirm that this project will be carried out in full accordance with the University of Liverpool's ethical guidance for computing projects. Should any human evaluation activity be introduced later in the project, I will seek supervisor approval and update this statement before proceeding.</w:t>
            </w:r>
          </w:p>
        </w:tc>
      </w:tr>
    </w:tbl>
    <w:p>
      <w:r>
        <w:br w:type="page"/>
      </w:r>
    </w:p>
    <w:p>
      <w:pPr>
        <w:sectPr>
          <w:pgSz w:w="11906" w:h="16838" w:orient="portrait"/>
          <w:pgMar w:top="1440" w:right="1440" w:bottom="1440" w:left="1440" w:header="708" w:footer="708" w:gutter="0"/>
          <w:pgNumType/>
          <w:docGrid w:linePitch="360"/>
        </w:sectPr>
      </w:pPr>
    </w:p>
    <w:p>
      <w:pPr>
        <w:pStyle w:val="Heading1"/>
        <w:pBdr>
          <w:bottom w:val="single" w:color="2E75B6" w:sz="8" w:space="6"/>
        </w:pBdr>
        <w:spacing w:after="120" w:before="300"/>
      </w:pPr>
      <w:r>
        <w:rPr>
          <w:rFonts w:ascii="Arial" w:cs="Arial" w:eastAsia="Arial" w:hAnsi="Arial"/>
          <w:b/>
          <w:bCs/>
          <w:color w:val="1F4E79"/>
          <w:sz w:val="28"/>
          <w:szCs w:val="28"/>
        </w:rPr>
        <w:t xml:space="preserve">1. Project Description</w:t>
      </w:r>
    </w:p>
    <w:p>
      <w:pPr>
        <w:spacing w:after="120" w:before="60"/>
        <w:jc w:val="both"/>
      </w:pPr>
      <w:r>
        <w:rPr>
          <w:rFonts w:ascii="Arial" w:cs="Arial" w:eastAsia="Arial" w:hAnsi="Arial"/>
          <w:sz w:val="22"/>
          <w:szCs w:val="22"/>
        </w:rPr>
        <w:t xml:space="preserve">If you have ever used an AI assistant, you have probably noticed that the way you phrase a question can completely change the quality of the answer you get back. Ask a question badly and the response is vague. Ask it well -with the right structure, the right context, the right examples -and the same model suddenly performs at a much higher level. This observation sits at the heart of a growing field called prompt engineering, and it raises a genuinely interesting research question: is there a principled way to figure out which prompting approach works best, and for which kind of task?</w:t>
      </w:r>
    </w:p>
    <w:p>
      <w:pPr>
        <w:spacing w:after="120" w:before="60"/>
        <w:jc w:val="both"/>
      </w:pPr>
      <w:r>
        <w:rPr>
          <w:rFonts w:ascii="Arial" w:cs="Arial" w:eastAsia="Arial" w:hAnsi="Arial"/>
          <w:sz w:val="22"/>
          <w:szCs w:val="22"/>
        </w:rPr>
        <w:t xml:space="preserve">That is exactly what this project sets out to answer. I will design and build the Prompt Engineering Evaluation Framework (PEEF) -a Python-based toolkit that runs controlled, repeatable experiments using Anthropic's Claude API, comparing three core prompting strategies across three different types of NLP tasks.</w:t>
      </w:r>
    </w:p>
    <w:p>
      <w:pPr>
        <w:spacing w:after="120" w:before="60"/>
        <w:jc w:val="both"/>
      </w:pPr>
      <w:r>
        <w:rPr>
          <w:rFonts w:ascii="Arial" w:cs="Arial" w:eastAsia="Arial" w:hAnsi="Arial"/>
          <w:sz w:val="22"/>
          <w:szCs w:val="22"/>
        </w:rPr>
        <w:t xml:space="preserve">The three strategies are: zero-shot prompting, where the model receives no examples and must rely entirely on its own training; few-shot prompting, where a handful of worked examples are included in the prompt to guide the model's response; and chain-of-thought (CoT) prompting, where the model is encouraged to reason step by step before giving a final answer. These are tested across question answering, text summarisation, and mathematical reasoning tasks, using well-established public datasets for each.</w:t>
      </w:r>
    </w:p>
    <w:p>
      <w:pPr>
        <w:spacing w:after="120" w:before="60"/>
        <w:jc w:val="both"/>
      </w:pPr>
      <w:r>
        <w:rPr>
          <w:rFonts w:ascii="Arial" w:cs="Arial" w:eastAsia="Arial" w:hAnsi="Arial"/>
          <w:sz w:val="22"/>
          <w:szCs w:val="22"/>
        </w:rPr>
        <w:t xml:space="preserve">What makes this more than a simple comparison exercise is the additional dimension of cost-efficiency. Using an LLM via an API costs money -measured in tokens -and a technique that performs 5% better but costs 40% more tokens is not always the right choice in practice. By tracking both performance and token usage, this project aims to produce genuinely useful guidance for anyone deciding how to prompt a language model in a real application.</w:t>
      </w:r>
    </w:p>
    <w:p>
      <w:pPr>
        <w:spacing w:after="120" w:before="60"/>
        <w:jc w:val="both"/>
      </w:pPr>
      <w:r>
        <w:rPr>
          <w:rFonts w:ascii="Arial" w:cs="Arial" w:eastAsia="Arial" w:hAnsi="Arial"/>
          <w:sz w:val="22"/>
          <w:szCs w:val="22"/>
        </w:rPr>
        <w:t xml:space="preserve">The end products will be: the PEEF software framework itself, a dataset of experimental results, and a set of clear, evidence-backed guidelines on which technique to use for which task. The goal is to move prompt engineering from something people do by intuition to something grounded in data.</w:t>
      </w:r>
    </w:p>
    <w:p>
      <w:pPr>
        <w:spacing w:after="80" w:before="0"/>
      </w:pPr>
      <w:r>
        <w:t xml:space="preserve"/>
      </w:r>
    </w:p>
    <w:p>
      <w:pPr>
        <w:pStyle w:val="Heading1"/>
        <w:pBdr>
          <w:bottom w:val="single" w:color="2E75B6" w:sz="8" w:space="6"/>
        </w:pBdr>
        <w:spacing w:after="120" w:before="300"/>
      </w:pPr>
      <w:r>
        <w:rPr>
          <w:rFonts w:ascii="Arial" w:cs="Arial" w:eastAsia="Arial" w:hAnsi="Arial"/>
          <w:b/>
          <w:bCs/>
          <w:color w:val="1F4E79"/>
          <w:sz w:val="28"/>
          <w:szCs w:val="28"/>
        </w:rPr>
        <w:t xml:space="preserve">2. Aims and Requirements</w:t>
      </w:r>
    </w:p>
    <w:p>
      <w:pPr>
        <w:pStyle w:val="Heading2"/>
        <w:spacing w:after="80" w:before="240"/>
      </w:pPr>
      <w:r>
        <w:rPr>
          <w:rFonts w:ascii="Arial" w:cs="Arial" w:eastAsia="Arial" w:hAnsi="Arial"/>
          <w:b/>
          <w:bCs/>
          <w:color w:val="2E75B6"/>
          <w:sz w:val="24"/>
          <w:szCs w:val="24"/>
        </w:rPr>
        <w:t xml:space="preserve">2.1 Aims</w:t>
      </w:r>
    </w:p>
    <w:p>
      <w:pPr>
        <w:pStyle w:val="ListParagraph"/>
        <w:numPr>
          <w:ilvl w:val="0"/>
          <w:numId w:val="2"/>
        </w:numPr>
        <w:spacing w:after="50" w:before="50"/>
      </w:pPr>
      <w:r>
        <w:rPr>
          <w:rFonts w:ascii="Arial" w:cs="Arial" w:eastAsia="Arial" w:hAnsi="Arial"/>
          <w:sz w:val="22"/>
          <w:szCs w:val="22"/>
        </w:rPr>
        <w:t xml:space="preserve">Create PEEF: a clean, modular Python framework that leverages the Claude API to easily run, score, and compare prompt engineering experiments, and is extendable by others after this project concludes.</w:t>
      </w:r>
    </w:p>
    <w:p>
      <w:pPr>
        <w:pStyle w:val="ListParagraph"/>
        <w:numPr>
          <w:ilvl w:val="0"/>
          <w:numId w:val="2"/>
        </w:numPr>
        <w:spacing w:after="50" w:before="50"/>
      </w:pPr>
      <w:r>
        <w:rPr>
          <w:rFonts w:ascii="Arial" w:cs="Arial" w:eastAsia="Arial" w:hAnsi="Arial"/>
          <w:sz w:val="22"/>
          <w:szCs w:val="22"/>
        </w:rPr>
        <w:t xml:space="preserve">Systematically investigate zero-shot, few-shot (2, 4, and 8 examples), and chain-of-thought prompting across question answering, summarisation, and reasoning tasks.</w:t>
      </w:r>
    </w:p>
    <w:p>
      <w:pPr>
        <w:pStyle w:val="ListParagraph"/>
        <w:numPr>
          <w:ilvl w:val="0"/>
          <w:numId w:val="2"/>
        </w:numPr>
        <w:spacing w:after="50" w:before="50"/>
      </w:pPr>
      <w:r>
        <w:rPr>
          <w:rFonts w:ascii="Arial" w:cs="Arial" w:eastAsia="Arial" w:hAnsi="Arial"/>
          <w:sz w:val="22"/>
          <w:szCs w:val="22"/>
        </w:rPr>
        <w:t xml:space="preserve">Go beyond accuracy - evaluate output quality, consistency across repeated runs, and how performance changes with token cost, producing cost-efficiency curves for each technique.</w:t>
      </w:r>
    </w:p>
    <w:p>
      <w:pPr>
        <w:pStyle w:val="ListParagraph"/>
        <w:numPr>
          <w:ilvl w:val="0"/>
          <w:numId w:val="2"/>
        </w:numPr>
        <w:spacing w:after="50" w:before="50"/>
      </w:pPr>
      <w:r>
        <w:rPr>
          <w:rFonts w:ascii="Arial" w:cs="Arial" w:eastAsia="Arial" w:hAnsi="Arial"/>
          <w:sz w:val="22"/>
          <w:szCs w:val="22"/>
        </w:rPr>
        <w:t xml:space="preserve">Translate findings into practical, task-specific guidelines that a developer or researcher can directly apply when deciding how to prompt a model.</w:t>
      </w:r>
    </w:p>
    <w:p>
      <w:pPr>
        <w:spacing w:after="80" w:before="0"/>
      </w:pPr>
      <w:r>
        <w:t xml:space="preserve"/>
      </w:r>
    </w:p>
    <w:p>
      <w:pPr>
        <w:pStyle w:val="Heading2"/>
        <w:spacing w:after="80" w:before="240"/>
      </w:pPr>
      <w:r>
        <w:rPr>
          <w:rFonts w:ascii="Arial" w:cs="Arial" w:eastAsia="Arial" w:hAnsi="Arial"/>
          <w:b/>
          <w:bCs/>
          <w:color w:val="2E75B6"/>
          <w:sz w:val="24"/>
          <w:szCs w:val="24"/>
        </w:rPr>
        <w:t xml:space="preserve">2.2 Requirements</w:t>
      </w:r>
    </w:p>
    <w:p>
      <w:pPr>
        <w:spacing w:after="120" w:before="60"/>
        <w:jc w:val="both"/>
      </w:pPr>
      <w:r>
        <w:rPr>
          <w:rFonts w:ascii="Arial" w:cs="Arial" w:eastAsia="Arial" w:hAnsi="Arial"/>
          <w:sz w:val="22"/>
          <w:szCs w:val="22"/>
        </w:rPr>
        <w:t xml:space="preserve">These requirements have been set in view of the project aims and consultation with the supervisor. They are listed in order of priority.</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6E4F0" w:val="clear"/>
            <w:tcMar>
              <w:top w:type="dxa" w:w="140"/>
              <w:left w:type="dxa" w:w="200"/>
              <w:bottom w:type="dxa" w:w="140"/>
              <w:right w:type="dxa" w:w="200"/>
            </w:tcMar>
          </w:tcPr>
          <w:p>
            <w:pPr>
              <w:spacing w:after="30" w:before="30"/>
            </w:pPr>
            <w:r>
              <w:rPr>
                <w:rFonts w:ascii="Arial" w:cs="Arial" w:eastAsia="Arial" w:hAnsi="Arial"/>
                <w:b/>
                <w:bCs/>
                <w:sz w:val="21"/>
                <w:szCs w:val="21"/>
              </w:rPr>
              <w:t xml:space="preserve">ESSENTIAL - these must be delivered</w:t>
            </w:r>
          </w:p>
          <w:p>
            <w:pPr>
              <w:spacing w:after="30" w:before="30"/>
            </w:pPr>
            <w:r>
              <w:rPr>
                <w:rFonts w:ascii="Arial" w:cs="Arial" w:eastAsia="Arial" w:hAnsi="Arial"/>
                <w:b w:val="false"/>
                <w:bCs w:val="false"/>
                <w:sz w:val="21"/>
                <w:szCs w:val="21"/>
              </w:rPr>
              <w:t xml:space="preserve">R1.  Zero-shot, few-shot (2-shot, 4-shot, 8-shot), and chain-of-thought prompting work out of the box with PEEF.</w:t>
            </w:r>
          </w:p>
          <w:p>
            <w:pPr>
              <w:spacing w:after="30" w:before="30"/>
            </w:pPr>
            <w:r>
              <w:rPr>
                <w:rFonts w:ascii="Arial" w:cs="Arial" w:eastAsia="Arial" w:hAnsi="Arial"/>
                <w:b w:val="false"/>
                <w:bCs w:val="false"/>
                <w:sz w:val="21"/>
                <w:szCs w:val="21"/>
              </w:rPr>
              <w:t xml:space="preserve">R2.  Experiments are conducted across all three task domains using the selected open-source benchmark datasets.</w:t>
            </w:r>
          </w:p>
          <w:p>
            <w:pPr>
              <w:spacing w:after="30" w:before="30"/>
            </w:pPr>
            <w:r>
              <w:rPr>
                <w:rFonts w:ascii="Arial" w:cs="Arial" w:eastAsia="Arial" w:hAnsi="Arial"/>
                <w:b w:val="false"/>
                <w:bCs w:val="false"/>
                <w:sz w:val="21"/>
                <w:szCs w:val="21"/>
              </w:rPr>
              <w:t xml:space="preserve">R3.  The correct metric is automatically applied for each task: exact-match accuracy for QA, ROUGE-L and BERTScore for summarisation, and step-level accuracy for reasoning.</w:t>
            </w:r>
          </w:p>
          <w:p>
            <w:pPr>
              <w:spacing w:after="30" w:before="30"/>
            </w:pPr>
            <w:r>
              <w:rPr>
                <w:rFonts w:ascii="Arial" w:cs="Arial" w:eastAsia="Arial" w:hAnsi="Arial"/>
                <w:b w:val="false"/>
                <w:bCs w:val="false"/>
                <w:sz w:val="21"/>
                <w:szCs w:val="21"/>
              </w:rPr>
              <w:t xml:space="preserve">R4.  All experiment results are saved with full context - prompt template, model version, temperature, and timestamp - so results can always be traced and reproduced.</w:t>
            </w:r>
          </w:p>
          <w:p>
            <w:pPr>
              <w:spacing w:after="30" w:before="30"/>
            </w:pPr>
            <w:r>
              <w:rPr>
                <w:rFonts w:ascii="Arial" w:cs="Arial" w:eastAsia="Arial" w:hAnsi="Arial"/>
                <w:b w:val="false"/>
                <w:bCs w:val="false"/>
                <w:sz w:val="21"/>
                <w:szCs w:val="21"/>
              </w:rPr>
              <w:t xml:space="preserve">R5.  The framework includes a statistics module that runs Wilcoxon signed-rank tests and reports effect sizes (Cohen's d), so conclusions are statistically supported rather than based on visual inspection of averages.</w:t>
            </w:r>
          </w:p>
          <w:p>
            <w:pPr>
              <w:spacing w:after="30" w:before="30"/>
            </w:pPr>
            <w:r>
              <w:rPr>
                <w:rFonts w:ascii="Arial" w:cs="Arial" w:eastAsia="Arial" w:hAnsi="Arial"/>
                <w:b w:val="false"/>
                <w:bCs w:val="false"/>
                <w:sz w:val="21"/>
                <w:szCs w:val="21"/>
              </w:rPr>
              <w:t xml:space="preserve">R6.  The codebase is fully documented - docstrings on every function, a README, and a short user guide.</w:t>
            </w:r>
          </w:p>
        </w:tc>
      </w:tr>
    </w:tbl>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2EFDA" w:val="clear"/>
            <w:tcMar>
              <w:top w:type="dxa" w:w="140"/>
              <w:left w:type="dxa" w:w="200"/>
              <w:bottom w:type="dxa" w:w="140"/>
              <w:right w:type="dxa" w:w="200"/>
            </w:tcMar>
          </w:tcPr>
          <w:p>
            <w:pPr>
              <w:spacing w:after="30" w:before="30"/>
            </w:pPr>
            <w:r>
              <w:rPr>
                <w:rFonts w:ascii="Arial" w:cs="Arial" w:eastAsia="Arial" w:hAnsi="Arial"/>
                <w:b/>
                <w:bCs/>
                <w:sz w:val="21"/>
                <w:szCs w:val="21"/>
              </w:rPr>
              <w:t xml:space="preserve">DESIRABLE - delivered if time allows</w:t>
            </w:r>
          </w:p>
          <w:p>
            <w:pPr>
              <w:spacing w:after="30" w:before="30"/>
            </w:pPr>
            <w:r>
              <w:rPr>
                <w:rFonts w:ascii="Arial" w:cs="Arial" w:eastAsia="Arial" w:hAnsi="Arial"/>
                <w:b w:val="false"/>
                <w:bCs w:val="false"/>
                <w:sz w:val="21"/>
                <w:szCs w:val="21"/>
              </w:rPr>
              <w:t xml:space="preserve">R7.  An interactive Streamlit dashboard for visualising results, comparing techniques, filtering by task, and viewing significance test results.</w:t>
            </w:r>
          </w:p>
          <w:p>
            <w:pPr>
              <w:spacing w:after="30" w:before="30"/>
            </w:pPr>
            <w:r>
              <w:rPr>
                <w:rFonts w:ascii="Arial" w:cs="Arial" w:eastAsia="Arial" w:hAnsi="Arial"/>
                <w:b w:val="false"/>
                <w:bCs w:val="false"/>
                <w:sz w:val="21"/>
                <w:szCs w:val="21"/>
              </w:rPr>
              <w:t xml:space="preserve">R8.  Token cost tracking per run, with a viewable cost-efficiency scatter plot.</w:t>
            </w:r>
          </w:p>
          <w:p>
            <w:pPr>
              <w:spacing w:after="30" w:before="30"/>
            </w:pPr>
            <w:r>
              <w:rPr>
                <w:rFonts w:ascii="Arial" w:cs="Arial" w:eastAsia="Arial" w:hAnsi="Arial"/>
                <w:b w:val="false"/>
                <w:bCs w:val="false"/>
                <w:sz w:val="21"/>
                <w:szCs w:val="21"/>
              </w:rPr>
              <w:t xml:space="preserve">R9.  A prompt sensitivity module: assessing how sensitive model outputs are to small changes in prompt wording.</w:t>
            </w:r>
          </w:p>
          <w:p>
            <w:pPr>
              <w:spacing w:after="30" w:before="30"/>
            </w:pPr>
            <w:r>
              <w:rPr>
                <w:rFonts w:ascii="Arial" w:cs="Arial" w:eastAsia="Arial" w:hAnsi="Arial"/>
                <w:b w:val="false"/>
                <w:bCs w:val="false"/>
                <w:sz w:val="21"/>
                <w:szCs w:val="21"/>
              </w:rPr>
              <w:t xml:space="preserve">R10. Extension to two additional techniques: self-consistency decoding and role-based prompting.</w:t>
            </w:r>
          </w:p>
        </w:tc>
      </w:tr>
    </w:tbl>
    <w:p>
      <w:pPr>
        <w:spacing w:after="80" w:before="0"/>
      </w:pPr>
      <w:r>
        <w:t xml:space="preserve"/>
      </w:r>
    </w:p>
    <w:p>
      <w:r>
        <w:br w:type="page"/>
      </w:r>
    </w:p>
    <w:p>
      <w:pPr>
        <w:pStyle w:val="Heading1"/>
        <w:pBdr>
          <w:bottom w:val="single" w:color="2E75B6" w:sz="8" w:space="6"/>
        </w:pBdr>
        <w:spacing w:after="120" w:before="300"/>
      </w:pPr>
      <w:r>
        <w:rPr>
          <w:rFonts w:ascii="Arial" w:cs="Arial" w:eastAsia="Arial" w:hAnsi="Arial"/>
          <w:b/>
          <w:bCs/>
          <w:color w:val="1F4E79"/>
          <w:sz w:val="28"/>
          <w:szCs w:val="28"/>
        </w:rPr>
        <w:t xml:space="preserve">3. Key Literature and Background Reading</w:t>
      </w:r>
    </w:p>
    <w:p>
      <w:pPr>
        <w:spacing w:after="120" w:before="60"/>
        <w:jc w:val="both"/>
      </w:pPr>
      <w:r>
        <w:rPr>
          <w:rFonts w:ascii="Arial" w:cs="Arial" w:eastAsia="Arial" w:hAnsi="Arial"/>
          <w:sz w:val="22"/>
          <w:szCs w:val="22"/>
        </w:rPr>
        <w:t xml:space="preserve">The story of modern prompt engineering really begins in 2020, when OpenAI released GPT-3 (Brown et al., 2020). What made that paper remarkable was not just the size of the model -it was the discovery that you could get the model to do almost any task simply by writing the right instruction in plain English, with no fine-tuning required. Brown and colleagues called this in-context learning, and the finding triggered an enormous wave of research into just how sensitive these models are to the way they are prompted.</w:t>
      </w:r>
    </w:p>
    <w:p>
      <w:pPr>
        <w:spacing w:after="120" w:before="60"/>
        <w:jc w:val="both"/>
      </w:pPr>
      <w:r>
        <w:rPr>
          <w:rFonts w:ascii="Arial" w:cs="Arial" w:eastAsia="Arial" w:hAnsi="Arial"/>
          <w:sz w:val="22"/>
          <w:szCs w:val="22"/>
        </w:rPr>
        <w:t xml:space="preserve">One of the most surprising findings to come out of that wave was from Kojima et al. (2022), who showed that simply adding the phrase "Let's think step by step" to a standard zero-shot prompt dramatically improved performance on reasoning tasks. No examples, no training -just those six words. That result, known as zero-shot chain-of-thought, suggested that the structure of a prompt can matter just as much as its content.</w:t>
      </w:r>
    </w:p>
    <w:p>
      <w:pPr>
        <w:spacing w:after="120" w:before="60"/>
        <w:jc w:val="both"/>
      </w:pPr>
      <w:r>
        <w:rPr>
          <w:rFonts w:ascii="Arial" w:cs="Arial" w:eastAsia="Arial" w:hAnsi="Arial"/>
          <w:sz w:val="22"/>
          <w:szCs w:val="22"/>
        </w:rPr>
        <w:t xml:space="preserve">Expanding on this, Wei et al. (2022) introduced full chain-of-thought prompting, where intermediate reasoning steps are included in the few-shot examples themselves. Rather than just showing the model an input-output pair, you show it an input, a worked reasoning process, and then an output. This approach produced striking improvements on multi-step problems -particularly arithmetic and symbolic reasoning -and Wei et al. (2022b) later showed it was an emergent ability that only appears in models above a certain scale. This is relevant here because it justifies the choice of Claude, a frontier-scale model, as the experimental platform.</w:t>
      </w:r>
    </w:p>
    <w:p>
      <w:pPr>
        <w:spacing w:after="120" w:before="60"/>
        <w:jc w:val="both"/>
      </w:pPr>
      <w:r>
        <w:rPr>
          <w:rFonts w:ascii="Arial" w:cs="Arial" w:eastAsia="Arial" w:hAnsi="Arial"/>
          <w:sz w:val="22"/>
          <w:szCs w:val="22"/>
        </w:rPr>
        <w:t xml:space="preserve">A further extension came from Wang et al. (2022), who introduced self-consistency: instead of taking the model's first answer, you sample many reasoning chains and take the most common answer. This improves reliability but multiplies API costs -precisely the kind of trade-off this project is designed to quantify.</w:t>
      </w:r>
    </w:p>
    <w:p>
      <w:pPr>
        <w:spacing w:after="120" w:before="60"/>
        <w:jc w:val="both"/>
      </w:pPr>
      <w:r>
        <w:rPr>
          <w:rFonts w:ascii="Arial" w:cs="Arial" w:eastAsia="Arial" w:hAnsi="Arial"/>
          <w:sz w:val="22"/>
          <w:szCs w:val="22"/>
        </w:rPr>
        <w:t xml:space="preserve">Beyond individual techniques, broader surveys of the field (Liu et al., 2023; Sahoo et al., 2024) have helped clarify the landscape. They distinguish between discrete prompting -manually crafting natural language instructions, which is what this project focuses on -and soft prompting, which involves learnable continuous token embeddings and requires access to model weights. Since Claude is a black-box API model, only discrete prompting is applicable here. White et al. (2023) take a more practical angle, proposing a catalog of reusable prompt design patterns analogous to design patterns in software engineering. Several of these patterns will directly inform the prompt templates built into PEEF.</w:t>
      </w:r>
    </w:p>
    <w:p>
      <w:pPr>
        <w:spacing w:after="120" w:before="60"/>
        <w:jc w:val="both"/>
      </w:pPr>
      <w:r>
        <w:rPr>
          <w:rFonts w:ascii="Arial" w:cs="Arial" w:eastAsia="Arial" w:hAnsi="Arial"/>
          <w:sz w:val="22"/>
          <w:szCs w:val="22"/>
        </w:rPr>
        <w:t xml:space="preserve">On the evaluation side, the challenge is that no single metric captures everything. ROUGE (Lin, 2004), which measures n-gram overlap between a generated summary and a reference, is the standard for summarisation but can miss perfectly valid paraphrases. BERTScore (Zhang et al., 2020) addresses this by measuring semantic similarity using contextualised word embeddings -it understands that automobile and car mean the same thing, whereas ROUGE would count them as different. For reasoning tasks, Cobbe et al. (2021) use plain exact-match accuracy on final numerical answers in GSM8K, which is clean and unambiguous. This project deliberately combines all three approaches to get a more complete picture than any single metric could provide.</w:t>
      </w:r>
    </w:p>
    <w:p>
      <w:pPr>
        <w:spacing w:after="120" w:before="60"/>
        <w:jc w:val="both"/>
      </w:pPr>
      <w:r>
        <w:rPr>
          <w:rFonts w:ascii="Arial" w:cs="Arial" w:eastAsia="Arial" w:hAnsi="Arial"/>
          <w:sz w:val="22"/>
          <w:szCs w:val="22"/>
        </w:rPr>
        <w:t xml:space="preserve">The datasets themselves are chosen for the same reason most NLP researchers use them: they are widely benchmarked, openly licensed, and cover genuinely different cognitive demands. TriviaQA (Joshi et al., 2017) tests factual recall across open-domain questions. CNN/DailyMail (Hermann et al., 2015; See et al., 2017) tests the ability to compress long news articles into coherent summaries. GSM8K (Cobbe et al., 2021) tests multi-step arithmetic reasoning with grade-school word problems. Together they make it possible to say something meaningful about where each technique shines and where it falls short.</w:t>
      </w:r>
    </w:p>
    <w:p>
      <w:pPr>
        <w:spacing w:after="80" w:before="0"/>
      </w:pPr>
      <w:r>
        <w:t xml:space="preserve"/>
      </w:r>
    </w:p>
    <w:p>
      <w:pPr>
        <w:pStyle w:val="Heading1"/>
        <w:pBdr>
          <w:bottom w:val="single" w:color="2E75B6" w:sz="8" w:space="6"/>
        </w:pBdr>
        <w:spacing w:after="120" w:before="300"/>
      </w:pPr>
      <w:r>
        <w:rPr>
          <w:rFonts w:ascii="Arial" w:cs="Arial" w:eastAsia="Arial" w:hAnsi="Arial"/>
          <w:b/>
          <w:bCs/>
          <w:color w:val="1F4E79"/>
          <w:sz w:val="28"/>
          <w:szCs w:val="28"/>
        </w:rPr>
        <w:t xml:space="preserve">4. Development and Implementation Summary</w:t>
      </w:r>
    </w:p>
    <w:p>
      <w:pPr>
        <w:pStyle w:val="Heading2"/>
        <w:spacing w:after="80" w:before="240"/>
      </w:pPr>
      <w:r>
        <w:rPr>
          <w:rFonts w:ascii="Arial" w:cs="Arial" w:eastAsia="Arial" w:hAnsi="Arial"/>
          <w:b/>
          <w:bCs/>
          <w:color w:val="2E75B6"/>
          <w:sz w:val="24"/>
          <w:szCs w:val="24"/>
        </w:rPr>
        <w:t xml:space="preserve">4.1 Environment and Language</w:t>
      </w:r>
    </w:p>
    <w:p>
      <w:pPr>
        <w:spacing w:after="120" w:before="60"/>
        <w:jc w:val="both"/>
      </w:pPr>
      <w:r>
        <w:rPr>
          <w:rFonts w:ascii="Arial" w:cs="Arial" w:eastAsia="Arial" w:hAnsi="Arial"/>
          <w:sz w:val="22"/>
          <w:szCs w:val="22"/>
        </w:rPr>
        <w:t xml:space="preserve">The project will be built in Python 3.11 -the natural choice here, given that Anthropic's SDK is Python-first, and almost all the libraries needed (pandas, numpy, matplotlib, seaborn, rouge-score, bert-score) are part of Python's standard data science ecosystem. There is no model training in this project, so no GPU is needed; all the heavy computation happens in the cloud through the Claude API. Locally, development will run in VS Code with Git version control and daily pushes to GitHub as a backup. Jupyter notebooks will be used for exploratory analysis during the experiment phase, with all final production code living in clean Python scripts.</w:t>
      </w:r>
    </w:p>
    <w:p>
      <w:pPr>
        <w:pStyle w:val="Heading2"/>
        <w:spacing w:after="80" w:before="240"/>
      </w:pPr>
      <w:r>
        <w:rPr>
          <w:rFonts w:ascii="Arial" w:cs="Arial" w:eastAsia="Arial" w:hAnsi="Arial"/>
          <w:b/>
          <w:bCs/>
          <w:color w:val="2E75B6"/>
          <w:sz w:val="24"/>
          <w:szCs w:val="24"/>
        </w:rPr>
        <w:t xml:space="preserve">4.2 How PEEF is Structured</w:t>
      </w:r>
    </w:p>
    <w:p>
      <w:pPr>
        <w:spacing w:after="120" w:before="60"/>
        <w:jc w:val="both"/>
      </w:pPr>
      <w:r>
        <w:rPr>
          <w:rFonts w:ascii="Arial" w:cs="Arial" w:eastAsia="Arial" w:hAnsi="Arial"/>
          <w:sz w:val="22"/>
          <w:szCs w:val="22"/>
        </w:rPr>
        <w:t xml:space="preserve">PEEF is designed around four modules that each do one job clearly:</w:t>
      </w:r>
    </w:p>
    <w:p>
      <w:pPr>
        <w:pStyle w:val="ListParagraph"/>
        <w:numPr>
          <w:ilvl w:val="0"/>
          <w:numId w:val="2"/>
        </w:numPr>
        <w:spacing w:after="50" w:before="50"/>
      </w:pPr>
      <w:r>
        <w:rPr>
          <w:rFonts w:ascii="Arial" w:cs="Arial" w:eastAsia="Arial" w:hAnsi="Arial"/>
          <w:b/>
          <w:bCs/>
          <w:sz w:val="22"/>
          <w:szCs w:val="22"/>
        </w:rPr>
        <w:t xml:space="preserve">Prompt Builder -</w:t>
      </w:r>
      <w:r>
        <w:rPr>
          <w:rFonts w:ascii="Arial" w:cs="Arial" w:eastAsia="Arial" w:hAnsi="Arial"/>
          <w:sz w:val="22"/>
          <w:szCs w:val="22"/>
        </w:rPr>
        <w:t xml:space="preserve">takes a task description and a set of benchmark examples and assembles them into a properly formatted prompt. It uses Jinja2 templates so that the same underlying logic works for zero-shot, k-shot, and CoT formats without code duplication.</w:t>
      </w:r>
    </w:p>
    <w:p>
      <w:pPr>
        <w:pStyle w:val="ListParagraph"/>
        <w:numPr>
          <w:ilvl w:val="0"/>
          <w:numId w:val="2"/>
        </w:numPr>
        <w:spacing w:after="50" w:before="50"/>
      </w:pPr>
      <w:r>
        <w:rPr>
          <w:rFonts w:ascii="Arial" w:cs="Arial" w:eastAsia="Arial" w:hAnsi="Arial"/>
          <w:b/>
          <w:bCs/>
          <w:sz w:val="22"/>
          <w:szCs w:val="22"/>
        </w:rPr>
        <w:t xml:space="preserve">Experiment Runner -</w:t>
      </w:r>
      <w:r>
        <w:rPr>
          <w:rFonts w:ascii="Arial" w:cs="Arial" w:eastAsia="Arial" w:hAnsi="Arial"/>
          <w:sz w:val="22"/>
          <w:szCs w:val="22"/>
        </w:rPr>
        <w:t xml:space="preserve">handles the actual API calls. It manages rate limiting with exponential back-off so experiments do not crash when the API is busy, caches responses so the same prompt is never sent twice, and supports running multiple experiments in parallel.</w:t>
      </w:r>
    </w:p>
    <w:p>
      <w:pPr>
        <w:pStyle w:val="ListParagraph"/>
        <w:numPr>
          <w:ilvl w:val="0"/>
          <w:numId w:val="2"/>
        </w:numPr>
        <w:spacing w:after="50" w:before="50"/>
      </w:pPr>
      <w:r>
        <w:rPr>
          <w:rFonts w:ascii="Arial" w:cs="Arial" w:eastAsia="Arial" w:hAnsi="Arial"/>
          <w:b/>
          <w:bCs/>
          <w:sz w:val="22"/>
          <w:szCs w:val="22"/>
        </w:rPr>
        <w:t xml:space="preserve">Evaluator -</w:t>
      </w:r>
      <w:r>
        <w:rPr>
          <w:rFonts w:ascii="Arial" w:cs="Arial" w:eastAsia="Arial" w:hAnsi="Arial"/>
          <w:sz w:val="22"/>
          <w:szCs w:val="22"/>
        </w:rPr>
        <w:t xml:space="preserve">receives the model's output alongside the ground-truth answer and returns a score. It knows which metric to use for each task type, so the caller never has to worry about that.</w:t>
      </w:r>
    </w:p>
    <w:p>
      <w:pPr>
        <w:pStyle w:val="ListParagraph"/>
        <w:numPr>
          <w:ilvl w:val="0"/>
          <w:numId w:val="2"/>
        </w:numPr>
        <w:spacing w:after="50" w:before="50"/>
      </w:pPr>
      <w:r>
        <w:rPr>
          <w:rFonts w:ascii="Arial" w:cs="Arial" w:eastAsia="Arial" w:hAnsi="Arial"/>
          <w:b/>
          <w:bCs/>
          <w:sz w:val="22"/>
          <w:szCs w:val="22"/>
        </w:rPr>
        <w:t xml:space="preserve">Analysis Engine -</w:t>
      </w:r>
      <w:r>
        <w:rPr>
          <w:rFonts w:ascii="Arial" w:cs="Arial" w:eastAsia="Arial" w:hAnsi="Arial"/>
          <w:sz w:val="22"/>
          <w:szCs w:val="22"/>
        </w:rPr>
        <w:t xml:space="preserve">takes a set of scored results and produces the statistics: means, confidence intervals, Wilcoxon tests with Bonferroni correction, Cohen's d effect sizes, and the charts that will appear in the dissertation.</w:t>
      </w:r>
    </w:p>
    <w:p>
      <w:pPr>
        <w:pStyle w:val="Heading2"/>
        <w:spacing w:after="80" w:before="240"/>
      </w:pPr>
      <w:r>
        <w:rPr>
          <w:rFonts w:ascii="Arial" w:cs="Arial" w:eastAsia="Arial" w:hAnsi="Arial"/>
          <w:b/>
          <w:bCs/>
          <w:color w:val="2E75B6"/>
          <w:sz w:val="24"/>
          <w:szCs w:val="24"/>
        </w:rPr>
        <w:t xml:space="preserve">4.3 Workflow Organisation</w:t>
      </w:r>
    </w:p>
    <w:p>
      <w:pPr>
        <w:spacing w:after="120" w:before="60"/>
        <w:jc w:val="both"/>
      </w:pPr>
      <w:r>
        <w:rPr>
          <w:rFonts w:ascii="Arial" w:cs="Arial" w:eastAsia="Arial" w:hAnsi="Arial"/>
          <w:sz w:val="22"/>
          <w:szCs w:val="22"/>
        </w:rPr>
        <w:t xml:space="preserve">Every experiment is defined in a YAML config file -specifying the dataset, the technique, the shot count, the model version, the temperature, and where to write the output. This is a deliberate design choice: it means any experiment can be reproduced exactly by anyone who has the same config file, without touching the code. It also makes it easy to run batches of experiments systematically. Development will follow test-driven development -each module gets unit tests written before the implementation -which keeps the codebase reliable as it grows. The Streamlit dashboard (R7) will be built last, once the core pipeline is proven to work end-to-end.</w:t>
      </w:r>
    </w:p>
    <w:p>
      <w:pPr>
        <w:spacing w:after="80" w:before="0"/>
      </w:pPr>
      <w:r>
        <w:t xml:space="preserve"/>
      </w:r>
    </w:p>
    <w:p>
      <w:r>
        <w:br w:type="page"/>
      </w:r>
    </w:p>
    <w:p>
      <w:pPr>
        <w:pStyle w:val="Heading1"/>
        <w:pBdr>
          <w:bottom w:val="single" w:color="2E75B6" w:sz="8" w:space="6"/>
        </w:pBdr>
        <w:spacing w:after="120" w:before="300"/>
      </w:pPr>
      <w:r>
        <w:rPr>
          <w:rFonts w:ascii="Arial" w:cs="Arial" w:eastAsia="Arial" w:hAnsi="Arial"/>
          <w:b/>
          <w:bCs/>
          <w:color w:val="1F4E79"/>
          <w:sz w:val="28"/>
          <w:szCs w:val="28"/>
        </w:rPr>
        <w:t xml:space="preserve">5. Data Sources</w:t>
      </w:r>
    </w:p>
    <w:p>
      <w:pPr>
        <w:spacing w:after="120" w:before="60"/>
        <w:jc w:val="both"/>
      </w:pPr>
      <w:r>
        <w:rPr>
          <w:rFonts w:ascii="Arial" w:cs="Arial" w:eastAsia="Arial" w:hAnsi="Arial"/>
          <w:sz w:val="22"/>
          <w:szCs w:val="22"/>
        </w:rPr>
        <w:t xml:space="preserve">Three datasets are used in this project, all publicly available and free for academic research:</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200"/>
        <w:gridCol w:w="2200"/>
        <w:gridCol w:w="2026"/>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Dataset</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Licence</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How Much I Will Use</w:t>
            </w:r>
          </w:p>
        </w:tc>
        <w:tc>
          <w:tcPr>
            <w:tcW w:type="dxa" w:w="20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Where to Get It</w:t>
            </w:r>
          </w:p>
        </w:tc>
      </w:tr>
      <w:tr>
        <w:tc>
          <w:tcPr>
            <w:tcW w:type="dxa" w:w="2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sz w:val="20"/>
                <w:szCs w:val="20"/>
              </w:rPr>
              <w:t xml:space="preserve">TriviaQA</w:t>
            </w:r>
          </w:p>
        </w:tc>
        <w:tc>
          <w:tcPr>
            <w:tcW w:type="dxa" w:w="16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sz w:val="20"/>
                <w:szCs w:val="20"/>
              </w:rPr>
              <w:t xml:space="preserve">Factual QA</w:t>
            </w:r>
          </w:p>
        </w:tc>
        <w:tc>
          <w:tcPr>
            <w:tcW w:type="dxa" w:w="12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sz w:val="20"/>
                <w:szCs w:val="20"/>
              </w:rPr>
              <w:t xml:space="preserve">Apache 2.0</w:t>
            </w:r>
          </w:p>
        </w:tc>
        <w:tc>
          <w:tcPr>
            <w:tcW w:type="dxa" w:w="22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sz w:val="20"/>
                <w:szCs w:val="20"/>
              </w:rPr>
              <w:t xml:space="preserve">500 questions (random sample)</w:t>
            </w:r>
          </w:p>
        </w:tc>
        <w:tc>
          <w:tcPr>
            <w:tcW w:type="dxa" w:w="2026"/>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sz w:val="20"/>
                <w:szCs w:val="20"/>
              </w:rPr>
              <w:t xml:space="preserve">triviaqa.github.io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CNN/DailyMail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Summarisation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MIT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300 articles (stratified sample)</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Hugging Face Datasets</w:t>
            </w:r>
          </w:p>
        </w:tc>
      </w:tr>
      <w:tr>
        <w:tc>
          <w:tcPr>
            <w:tcW w:type="dxa" w:w="2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sz w:val="20"/>
                <w:szCs w:val="20"/>
              </w:rPr>
              <w:t xml:space="preserve">GSM8K</w:t>
            </w:r>
          </w:p>
        </w:tc>
        <w:tc>
          <w:tcPr>
            <w:tcW w:type="dxa" w:w="16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sz w:val="20"/>
                <w:szCs w:val="20"/>
              </w:rPr>
              <w:t xml:space="preserve">Maths Reasoning</w:t>
            </w:r>
          </w:p>
        </w:tc>
        <w:tc>
          <w:tcPr>
            <w:tcW w:type="dxa" w:w="12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sz w:val="20"/>
                <w:szCs w:val="20"/>
              </w:rPr>
              <w:t xml:space="preserve">MIT</w:t>
            </w:r>
          </w:p>
        </w:tc>
        <w:tc>
          <w:tcPr>
            <w:tcW w:type="dxa" w:w="22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sz w:val="20"/>
                <w:szCs w:val="20"/>
              </w:rPr>
              <w:t xml:space="preserve">Full test split (1,319 problems)</w:t>
            </w:r>
          </w:p>
        </w:tc>
        <w:tc>
          <w:tcPr>
            <w:tcW w:type="dxa" w:w="2026"/>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sz w:val="20"/>
                <w:szCs w:val="20"/>
              </w:rPr>
              <w:t xml:space="preserve">github.com/openai/grade-school-math</w:t>
            </w:r>
          </w:p>
        </w:tc>
      </w:tr>
    </w:tbl>
    <w:p>
      <w:pPr>
        <w:spacing w:after="80" w:before="0"/>
      </w:pPr>
      <w:r>
        <w:t xml:space="preserve"/>
      </w:r>
    </w:p>
    <w:p>
      <w:pPr>
        <w:spacing w:after="120" w:before="60"/>
        <w:jc w:val="both"/>
      </w:pPr>
      <w:r>
        <w:rPr>
          <w:rFonts w:ascii="Arial" w:cs="Arial" w:eastAsia="Arial" w:hAnsi="Arial"/>
          <w:sz w:val="22"/>
          <w:szCs w:val="22"/>
        </w:rPr>
        <w:t xml:space="preserve">None of these datasets contain personal or identifiable information. They will be stored locally on a password-protected machine and will not be distributed beyond this project. Prompts sent to the Claude API are processed transiently and are not used by Anthropic for model training, in accordance with the standard API terms of service.</w:t>
      </w:r>
    </w:p>
    <w:p>
      <w:pPr>
        <w:spacing w:after="120" w:before="60"/>
        <w:jc w:val="both"/>
      </w:pPr>
      <w:r>
        <w:rPr>
          <w:rFonts w:ascii="Arial" w:cs="Arial" w:eastAsia="Arial" w:hAnsi="Arial"/>
          <w:sz w:val="22"/>
          <w:szCs w:val="22"/>
        </w:rPr>
        <w:t xml:space="preserve">The decision to use samples rather than full datasets for TriviaQA and CNN/DailyMail is a practical one: running every prompt combination across the full datasets would be expensive in API costs and time. The sample sizes chosen are large enough to support statistically valid conclusions while keeping the project feasible within the 12-week timeline.</w:t>
      </w:r>
    </w:p>
    <w:p>
      <w:pPr>
        <w:spacing w:after="80" w:before="0"/>
      </w:pPr>
      <w:r>
        <w:t xml:space="preserve"/>
      </w:r>
    </w:p>
    <w:p>
      <w:pPr>
        <w:pStyle w:val="Heading1"/>
        <w:pBdr>
          <w:bottom w:val="single" w:color="2E75B6" w:sz="8" w:space="6"/>
        </w:pBdr>
        <w:spacing w:after="120" w:before="300"/>
      </w:pPr>
      <w:r>
        <w:rPr>
          <w:rFonts w:ascii="Arial" w:cs="Arial" w:eastAsia="Arial" w:hAnsi="Arial"/>
          <w:b/>
          <w:bCs/>
          <w:color w:val="1F4E79"/>
          <w:sz w:val="28"/>
          <w:szCs w:val="28"/>
        </w:rPr>
        <w:t xml:space="preserve">6. Testing and Evaluation</w:t>
      </w:r>
    </w:p>
    <w:p>
      <w:pPr>
        <w:pStyle w:val="Heading2"/>
        <w:spacing w:after="80" w:before="240"/>
      </w:pPr>
      <w:r>
        <w:rPr>
          <w:rFonts w:ascii="Arial" w:cs="Arial" w:eastAsia="Arial" w:hAnsi="Arial"/>
          <w:b/>
          <w:bCs/>
          <w:color w:val="2E75B6"/>
          <w:sz w:val="24"/>
          <w:szCs w:val="24"/>
        </w:rPr>
        <w:t xml:space="preserve">6.1 Technical Testing</w:t>
      </w:r>
    </w:p>
    <w:p>
      <w:pPr>
        <w:spacing w:after="120" w:before="60"/>
        <w:jc w:val="both"/>
      </w:pPr>
      <w:r>
        <w:rPr>
          <w:rFonts w:ascii="Arial" w:cs="Arial" w:eastAsia="Arial" w:hAnsi="Arial"/>
          <w:sz w:val="22"/>
          <w:szCs w:val="22"/>
        </w:rPr>
        <w:t xml:space="preserve">Testing is structured in three layers. Unit tests written with pytest will cover each module in PEEF individually -checking that the Prompt Builder correctly formats all three prompt types, that the Evaluator returns the right score for known inputs, and that the Experiment Runner handles edge cases like empty responses or API timeouts without crashing. Integration tests will run the full pipeline end-to-end on a small synthetic dataset to confirm that a config file reliably produces a complete, correctly formatted results file. Reproducibility tests will rerun a sample of key experiments and verify that results are stable within plus or minus 2% -important for any experiment that involves a degree of model non-determinism.</w:t>
      </w:r>
    </w:p>
    <w:p>
      <w:pPr>
        <w:pStyle w:val="Heading2"/>
        <w:spacing w:after="80" w:before="240"/>
      </w:pPr>
      <w:r>
        <w:rPr>
          <w:rFonts w:ascii="Arial" w:cs="Arial" w:eastAsia="Arial" w:hAnsi="Arial"/>
          <w:b/>
          <w:bCs/>
          <w:color w:val="2E75B6"/>
          <w:sz w:val="24"/>
          <w:szCs w:val="24"/>
        </w:rPr>
        <w:t xml:space="preserve">6.2 Research Evaluation</w:t>
      </w:r>
    </w:p>
    <w:p>
      <w:pPr>
        <w:spacing w:after="120" w:before="60"/>
        <w:jc w:val="both"/>
      </w:pPr>
      <w:r>
        <w:rPr>
          <w:rFonts w:ascii="Arial" w:cs="Arial" w:eastAsia="Arial" w:hAnsi="Arial"/>
          <w:sz w:val="22"/>
          <w:szCs w:val="22"/>
        </w:rPr>
        <w:t xml:space="preserve">On the research side, the goal is to be able to make confident, evidence-backed statements about which technique performs best. For each task domain, I will report mean scores with 95% confidence intervals for each technique. To test whether differences between techniques are genuinely meaningful and not just noise, I will use Wilcoxon signed-rank tests -a non-parametric test appropriate for paired data that cannot be assumed to follow a normal distribution. With three techniques being compared, Bonferroni correction will be applied to avoid false positives from multiple comparisons. Statistical significance will be set at p less than 0.05 after correction.</w:t>
      </w:r>
    </w:p>
    <w:p>
      <w:pPr>
        <w:spacing w:after="120" w:before="60"/>
        <w:jc w:val="both"/>
      </w:pPr>
      <w:r>
        <w:rPr>
          <w:rFonts w:ascii="Arial" w:cs="Arial" w:eastAsia="Arial" w:hAnsi="Arial"/>
          <w:sz w:val="22"/>
          <w:szCs w:val="22"/>
        </w:rPr>
        <w:t xml:space="preserve">Effect sizes will be reported as Cohen's d alongside p-values. This matters because a result can be statistically significant but practically trivial -Cohen's d tells you whether the difference is small, medium, or large in real terms. Cost-efficiency findings will be presented as scatter plots with accuracy on one axis and mean token usage on the other, making the trade-off immediately visual.</w:t>
      </w:r>
    </w:p>
    <w:p>
      <w:pPr>
        <w:spacing w:after="80" w:before="0"/>
      </w:pPr>
      <w:r>
        <w:t xml:space="preserve"/>
      </w:r>
    </w:p>
    <w:p>
      <w:pPr>
        <w:pStyle w:val="Heading1"/>
        <w:pBdr>
          <w:bottom w:val="single" w:color="2E75B6" w:sz="8" w:space="6"/>
        </w:pBdr>
        <w:spacing w:after="120" w:before="300"/>
      </w:pPr>
      <w:r>
        <w:rPr>
          <w:rFonts w:ascii="Arial" w:cs="Arial" w:eastAsia="Arial" w:hAnsi="Arial"/>
          <w:b/>
          <w:bCs/>
          <w:color w:val="1F4E79"/>
          <w:sz w:val="28"/>
          <w:szCs w:val="28"/>
        </w:rPr>
        <w:t xml:space="preserve">7. Project Ethics and Human Participants</w:t>
      </w:r>
    </w:p>
    <w:p>
      <w:pPr>
        <w:spacing w:after="120" w:before="60"/>
        <w:jc w:val="both"/>
      </w:pPr>
      <w:r>
        <w:rPr>
          <w:rFonts w:ascii="Arial" w:cs="Arial" w:eastAsia="Arial" w:hAnsi="Arial"/>
          <w:sz w:val="22"/>
          <w:szCs w:val="22"/>
        </w:rPr>
        <w:t xml:space="preserve">The core experimental work in this project involves no human participants whatsoever. The only data being processed are benchmark questions and the model's answers to them -there are no people involved, no personal information, and no sensitive material. The project sits firmly within Data Category A0 under the University of Liverpool's ethical guidance.</w:t>
      </w:r>
    </w:p>
    <w:p>
      <w:pPr>
        <w:spacing w:after="120" w:before="60"/>
        <w:jc w:val="both"/>
      </w:pPr>
      <w:r>
        <w:rPr>
          <w:rFonts w:ascii="Arial" w:cs="Arial" w:eastAsia="Arial" w:hAnsi="Arial"/>
          <w:sz w:val="22"/>
          <w:szCs w:val="22"/>
        </w:rPr>
        <w:t xml:space="preserve">There is a possibility that, late in the project, I may ask a small group of fellow students (3 to 5 people) to rate the quality of model-generated summaries on a simple 1 to 5 scale, as a sanity check alongside the automated metrics. If that happens, no personal data will be collected -only anonymous numerical ratings -and I will discuss it with my supervisor and update this statement before any such activity begins. At this stage, that remains an optional addition and not a confirmed part of the plan.</w:t>
      </w:r>
    </w:p>
    <w:p>
      <w:pPr>
        <w:spacing w:after="80" w:before="0"/>
      </w:pPr>
      <w:r>
        <w:t xml:space="preserve"/>
      </w:r>
    </w:p>
    <w:p>
      <w:pPr>
        <w:pStyle w:val="Heading1"/>
        <w:pBdr>
          <w:bottom w:val="single" w:color="2E75B6" w:sz="8" w:space="6"/>
        </w:pBdr>
        <w:spacing w:after="120" w:before="300"/>
      </w:pPr>
      <w:r>
        <w:rPr>
          <w:rFonts w:ascii="Arial" w:cs="Arial" w:eastAsia="Arial" w:hAnsi="Arial"/>
          <w:b/>
          <w:bCs/>
          <w:color w:val="1F4E79"/>
          <w:sz w:val="28"/>
          <w:szCs w:val="28"/>
        </w:rPr>
        <w:t xml:space="preserve">8. BCS Project Criteria</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BCS Criterion</w:t>
            </w:r>
          </w:p>
        </w:tc>
        <w:tc>
          <w:tcPr>
            <w:tcW w:type="dxa" w:w="60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How This Project Meets It</w:t>
            </w:r>
          </w:p>
        </w:tc>
      </w:tr>
      <w:tr>
        <w:tc>
          <w:tcPr>
            <w:tcW w:type="dxa" w:w="3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sz w:val="20"/>
                <w:szCs w:val="20"/>
              </w:rPr>
              <w:t xml:space="preserve">Systematic understanding of knowledge at the forefront of the discipline</w:t>
            </w:r>
          </w:p>
        </w:tc>
        <w:tc>
          <w:tcPr>
            <w:tcW w:type="dxa" w:w="6026"/>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sz w:val="20"/>
                <w:szCs w:val="20"/>
              </w:rPr>
              <w:t xml:space="preserve">The literature review covers the field from its foundations (Brown et al., 2020) through to recent advances in CoT, self-consistency, and prompt pattern design. The project is clearly positioned within current academic debates about how and why prompting works.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Comprehensive understanding of applicable techniques</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Three empirically grounded prompting strategies are implemented and evaluated using multiple metrics. The statistical analysis goes beyond what most projects do -Wilcoxon tests, Bonferroni correction, and Cohen's d are not standard undergraduate-level tools.</w:t>
            </w:r>
          </w:p>
        </w:tc>
      </w:tr>
      <w:tr>
        <w:tc>
          <w:tcPr>
            <w:tcW w:type="dxa" w:w="3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sz w:val="20"/>
                <w:szCs w:val="20"/>
              </w:rPr>
              <w:t xml:space="preserve">Originality in the application of knowledge</w:t>
            </w:r>
          </w:p>
        </w:tc>
        <w:tc>
          <w:tcPr>
            <w:tcW w:type="dxa" w:w="6026"/>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sz w:val="20"/>
                <w:szCs w:val="20"/>
              </w:rPr>
              <w:t xml:space="preserve">PEEF is an original software artefact. The addition of cost-efficiency analysis and prompt sensitivity testing addresses gaps in existing literature, most of which focuses on accuracy alone.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Deal with complex issues systematically and creatively</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The project involves real trade-offs -performance vs. cost, statistical power vs. feasibility, scope vs. depth -and the design reflects deliberate, reasoned choices about how to handle them. Findings will be written up for both technical and non-technical readers.</w:t>
            </w:r>
          </w:p>
        </w:tc>
      </w:tr>
      <w:tr>
        <w:tc>
          <w:tcPr>
            <w:tcW w:type="dxa" w:w="3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sz w:val="20"/>
                <w:szCs w:val="20"/>
              </w:rPr>
              <w:t xml:space="preserve">Self-direction and originality in tackling problems</w:t>
            </w:r>
          </w:p>
        </w:tc>
        <w:tc>
          <w:tcPr>
            <w:tcW w:type="dxa" w:w="6026"/>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sz w:val="20"/>
                <w:szCs w:val="20"/>
              </w:rPr>
              <w:t xml:space="preserve">The project is self-managed over 12 weeks. Supervisor meetings provide direction, but the day-to-day research decisions -what to test, how to handle unexpected results, when to cut scope -are made independently.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Critical self-evaluation of the process</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The dissertation will include an honest reflection chapter: what went well, what did not, what the framework cannot do, and how the findings might or might not generalise beyond Claude to other models or domains.</w:t>
            </w:r>
          </w:p>
        </w:tc>
      </w:tr>
    </w:tbl>
    <w:p>
      <w:pPr>
        <w:spacing w:after="80" w:before="0"/>
      </w:pPr>
      <w:r>
        <w:t xml:space="preserve"/>
      </w:r>
    </w:p>
    <w:p>
      <w:r>
        <w:br w:type="page"/>
      </w:r>
    </w:p>
    <w:p>
      <w:pPr>
        <w:pStyle w:val="Heading1"/>
        <w:pBdr>
          <w:bottom w:val="single" w:color="2E75B6" w:sz="8" w:space="6"/>
        </w:pBdr>
        <w:spacing w:after="120" w:before="300"/>
      </w:pPr>
      <w:r>
        <w:rPr>
          <w:rFonts w:ascii="Arial" w:cs="Arial" w:eastAsia="Arial" w:hAnsi="Arial"/>
          <w:b/>
          <w:bCs/>
          <w:color w:val="1F4E79"/>
          <w:sz w:val="28"/>
          <w:szCs w:val="28"/>
        </w:rPr>
        <w:t xml:space="preserve">9. UI/UX Mockup</w:t>
      </w:r>
    </w:p>
    <w:p>
      <w:pPr>
        <w:spacing w:after="120" w:before="60"/>
        <w:jc w:val="both"/>
      </w:pPr>
      <w:r>
        <w:rPr>
          <w:rFonts w:ascii="Arial" w:cs="Arial" w:eastAsia="Arial" w:hAnsi="Arial"/>
          <w:sz w:val="22"/>
          <w:szCs w:val="22"/>
        </w:rPr>
        <w:t xml:space="preserve">The PEEF dashboard is designed to be simple and functional -a tool for a researcher who wants to explore results quickly, not a product for end consumers. It will be built with Streamlit, which lets you build interactive data dashboards in pure Python without needing web development skills.</w:t>
      </w:r>
    </w:p>
    <w:p>
      <w:pPr>
        <w:spacing w:after="120" w:before="60"/>
        <w:jc w:val="both"/>
      </w:pPr>
      <w:r>
        <w:rPr>
          <w:rFonts w:ascii="Arial" w:cs="Arial" w:eastAsia="Arial" w:hAnsi="Arial"/>
          <w:sz w:val="22"/>
          <w:szCs w:val="22"/>
        </w:rPr>
        <w:t xml:space="preserve">The interface has three panels. The left sidebar is the Configuration Panel, where you set up an experiment before running it -picking a dataset, choosing which techniques to compare, selecting shot counts, setting the temperature, and choosing the model. A single Run Experiment button starts the pipeline. The main central panel shows a grouped bar chart of metric scores for each technique across each task, with interactive filters and a results table showing technique, QA accuracy, ROUGE-L, GSM8K accuracy, and average token usage. The right panel shows the outputs of the Analysis Engine: which technique differences are statistically significant (with p-values and star ratings), how large the effect sizes are, and a scatter plot of accuracy vs. token cost so the trade-off is immediately visible.</w:t>
      </w:r>
    </w:p>
    <w:p>
      <w:pPr>
        <w:spacing w:after="80" w:before="0"/>
      </w:pPr>
      <w:r>
        <w:t xml:space="preserve"/>
      </w:r>
    </w:p>
    <w:p>
      <w:pPr>
        <w:jc w:val="center"/>
      </w:pPr>
      <w:r>
        <w:drawing>
          <wp:inline distT="0" distB="0" distL="0" distR="0">
            <wp:extent cx="5715000" cy="3514725"/>
            <wp:effectExtent t="0" r="0" b="0" l="0"/>
            <wp:docPr id="1" name="wireframe" descr="Streamlit dashboard wireframe" title="PEEF Dashboard Wirefr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514725"/>
                    </a:xfrm>
                    <a:prstGeom prst="rect">
                      <a:avLst/>
                    </a:prstGeom>
                  </pic:spPr>
                </pic:pic>
              </a:graphicData>
            </a:graphic>
          </wp:inline>
        </w:drawing>
      </w:r>
    </w:p>
    <w:p>
      <w:pPr>
        <w:spacing w:after="160" w:before="80"/>
        <w:jc w:val="center"/>
      </w:pPr>
      <w:r>
        <w:rPr>
          <w:rFonts w:ascii="Arial" w:cs="Arial" w:eastAsia="Arial" w:hAnsi="Arial"/>
          <w:color w:val="555555"/>
          <w:sz w:val="19"/>
          <w:szCs w:val="19"/>
        </w:rPr>
        <w:t xml:space="preserve">Figure 1: PEEF Streamlit Dashboard -UI/UX Wireframe Mockup</w:t>
      </w:r>
    </w:p>
    <w:p>
      <w:pPr>
        <w:spacing w:after="80" w:before="0"/>
      </w:pPr>
      <w:r>
        <w:t xml:space="preserve"/>
      </w:r>
    </w:p>
    <w:p>
      <w:pPr>
        <w:pStyle w:val="Heading1"/>
        <w:pBdr>
          <w:bottom w:val="single" w:color="2E75B6" w:sz="8" w:space="6"/>
        </w:pBdr>
        <w:spacing w:after="120" w:before="300"/>
      </w:pPr>
      <w:r>
        <w:rPr>
          <w:rFonts w:ascii="Arial" w:cs="Arial" w:eastAsia="Arial" w:hAnsi="Arial"/>
          <w:b/>
          <w:bCs/>
          <w:color w:val="1F4E79"/>
          <w:sz w:val="28"/>
          <w:szCs w:val="28"/>
        </w:rPr>
        <w:t xml:space="preserve">10. Project Plan</w:t>
      </w:r>
    </w:p>
    <w:p>
      <w:pPr>
        <w:spacing w:after="120" w:before="60"/>
        <w:jc w:val="both"/>
      </w:pPr>
      <w:r>
        <w:rPr>
          <w:rFonts w:ascii="Arial" w:cs="Arial" w:eastAsia="Arial" w:hAnsi="Arial"/>
          <w:sz w:val="22"/>
          <w:szCs w:val="22"/>
        </w:rPr>
        <w:t xml:space="preserve">The 12-week timeline is divided into five phases. One deliberate design choice is that writing starts at Week 6 -running alongside the experiments -rather than being left to the end. It is much easier to write up an experiment immediately after running it than to reconstruct your thinking six weeks later.</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2000"/>
        <w:gridCol w:w="3726"/>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Weeks</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Dates</w:t>
            </w:r>
          </w:p>
        </w:tc>
        <w:tc>
          <w:tcPr>
            <w:tcW w:type="dxa" w:w="37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Key Activities</w:t>
            </w:r>
          </w:p>
        </w:tc>
      </w:tr>
      <w:tr>
        <w:tc>
          <w:tcPr>
            <w:tcW w:type="dxa" w:w="2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sz w:val="20"/>
                <w:szCs w:val="20"/>
              </w:rPr>
              <w:t xml:space="preserve">Phase 1 -Foundation &amp; Literature</w:t>
            </w:r>
          </w:p>
        </w:tc>
        <w:tc>
          <w:tcPr>
            <w:tcW w:type="dxa" w:w="9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sz w:val="20"/>
                <w:szCs w:val="20"/>
              </w:rPr>
              <w:t xml:space="preserve">1–3</w:t>
            </w:r>
          </w:p>
        </w:tc>
        <w:tc>
          <w:tcPr>
            <w:tcW w:type="dxa" w:w="2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sz w:val="20"/>
                <w:szCs w:val="20"/>
              </w:rPr>
              <w:t xml:space="preserve">2–22 Jun</w:t>
            </w:r>
          </w:p>
        </w:tc>
        <w:tc>
          <w:tcPr>
            <w:tcW w:type="dxa" w:w="3726"/>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sz w:val="20"/>
                <w:szCs w:val="20"/>
              </w:rPr>
              <w:t xml:space="preserve">Literature review, project setup, API configuration, proposal submission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Phase 2 -Design &amp; Pilot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4–5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23 Jun – 6 Jul</w:t>
            </w:r>
          </w:p>
        </w:tc>
        <w:tc>
          <w:tcPr>
            <w:tcW w:type="dxa" w:w="3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PEEF implementation, pilot runs, end-to-end pipeline validation</w:t>
            </w:r>
          </w:p>
        </w:tc>
      </w:tr>
      <w:tr>
        <w:tc>
          <w:tcPr>
            <w:tcW w:type="dxa" w:w="2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sz w:val="20"/>
                <w:szCs w:val="20"/>
              </w:rPr>
              <w:t xml:space="preserve">Phase 3 -Main Experiments</w:t>
            </w:r>
          </w:p>
        </w:tc>
        <w:tc>
          <w:tcPr>
            <w:tcW w:type="dxa" w:w="9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sz w:val="20"/>
                <w:szCs w:val="20"/>
              </w:rPr>
              <w:t xml:space="preserve">6–8</w:t>
            </w:r>
          </w:p>
        </w:tc>
        <w:tc>
          <w:tcPr>
            <w:tcW w:type="dxa" w:w="2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sz w:val="20"/>
                <w:szCs w:val="20"/>
              </w:rPr>
              <w:t xml:space="preserve">7–27 Jul</w:t>
            </w:r>
          </w:p>
        </w:tc>
        <w:tc>
          <w:tcPr>
            <w:tcW w:type="dxa" w:w="3726"/>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sz w:val="20"/>
                <w:szCs w:val="20"/>
              </w:rPr>
              <w:t xml:space="preserve">Full QA, summarisation, and reasoning experiment runs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Phase 4 -Analysis &amp; Writing</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9–10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28 Jul – 10 Aug</w:t>
            </w:r>
          </w:p>
        </w:tc>
        <w:tc>
          <w:tcPr>
            <w:tcW w:type="dxa" w:w="3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Statistical analysis, figures, dissertation chapter drafts</w:t>
            </w:r>
          </w:p>
        </w:tc>
      </w:tr>
      <w:tr>
        <w:tc>
          <w:tcPr>
            <w:tcW w:type="dxa" w:w="2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sz w:val="20"/>
                <w:szCs w:val="20"/>
              </w:rPr>
              <w:t xml:space="preserve">Phase 5 -Review &amp; Submission</w:t>
            </w:r>
          </w:p>
        </w:tc>
        <w:tc>
          <w:tcPr>
            <w:tcW w:type="dxa" w:w="9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sz w:val="20"/>
                <w:szCs w:val="20"/>
              </w:rPr>
              <w:t xml:space="preserve">11–12</w:t>
            </w:r>
          </w:p>
        </w:tc>
        <w:tc>
          <w:tcPr>
            <w:tcW w:type="dxa" w:w="2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sz w:val="20"/>
                <w:szCs w:val="20"/>
              </w:rPr>
              <w:t xml:space="preserve">11–25 Aug</w:t>
            </w:r>
          </w:p>
        </w:tc>
        <w:tc>
          <w:tcPr>
            <w:tcW w:type="dxa" w:w="3726"/>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sz w:val="20"/>
                <w:szCs w:val="20"/>
              </w:rPr>
              <w:t xml:space="preserve">Supervisor review, revisions, final submission</w:t>
            </w:r>
          </w:p>
        </w:tc>
      </w:tr>
    </w:tbl>
    <w:p>
      <w:pPr>
        <w:spacing w:after="80" w:before="0"/>
      </w:pPr>
      <w:r>
        <w:t xml:space="preserve"/>
      </w:r>
    </w:p>
    <w:p>
      <w:pPr>
        <w:spacing w:after="120" w:before="60"/>
        <w:jc w:val="both"/>
      </w:pPr>
      <w:r>
        <w:rPr>
          <w:rFonts w:ascii="Arial" w:cs="Arial" w:eastAsia="Arial" w:hAnsi="Arial"/>
          <w:sz w:val="22"/>
          <w:szCs w:val="22"/>
        </w:rPr>
        <w:t xml:space="preserve">Key milestones: literature review done (end of Week 3) → pipeline working end-to-end (end of Week 5) → all experiments complete (end of Week 8) → full draft to supervisor (end of Week 10) → final submission 25 August 2026.</w:t>
      </w:r>
    </w:p>
    <w:p>
      <w:pPr>
        <w:spacing w:after="80" w:before="0"/>
      </w:pPr>
      <w:r>
        <w:t xml:space="preserve"/>
      </w:r>
    </w:p>
    <w:p>
      <w:pPr>
        <w:jc w:val="center"/>
      </w:pPr>
      <w:r>
        <w:drawing>
          <wp:inline distT="0" distB="0" distL="0" distR="0">
            <wp:extent cx="5905500" cy="2952750"/>
            <wp:effectExtent t="0" r="0" b="0" l="0"/>
            <wp:docPr id="1" name="gantt" descr="12-week Gantt chart" title="Gantt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952750"/>
                    </a:xfrm>
                    <a:prstGeom prst="rect">
                      <a:avLst/>
                    </a:prstGeom>
                  </pic:spPr>
                </pic:pic>
              </a:graphicData>
            </a:graphic>
          </wp:inline>
        </w:drawing>
      </w:r>
    </w:p>
    <w:p>
      <w:pPr>
        <w:spacing w:after="160" w:before="80"/>
        <w:jc w:val="center"/>
      </w:pPr>
      <w:r>
        <w:rPr>
          <w:rFonts w:ascii="Arial" w:cs="Arial" w:eastAsia="Arial" w:hAnsi="Arial"/>
          <w:color w:val="555555"/>
          <w:sz w:val="19"/>
          <w:szCs w:val="19"/>
        </w:rPr>
        <w:t xml:space="preserve">Figure 2: 12-Week Project Gantt Chart (Jun 2 – Aug 25, 2026)</w:t>
      </w:r>
    </w:p>
    <w:p>
      <w:pPr>
        <w:spacing w:after="80" w:before="0"/>
      </w:pPr>
      <w:r>
        <w:t xml:space="preserve"/>
      </w:r>
    </w:p>
    <w:p>
      <w:r>
        <w:br w:type="page"/>
      </w:r>
    </w:p>
    <w:p>
      <w:pPr>
        <w:pStyle w:val="Heading1"/>
        <w:pBdr>
          <w:bottom w:val="single" w:color="2E75B6" w:sz="8" w:space="6"/>
        </w:pBdr>
        <w:spacing w:after="120" w:before="300"/>
      </w:pPr>
      <w:r>
        <w:rPr>
          <w:rFonts w:ascii="Arial" w:cs="Arial" w:eastAsia="Arial" w:hAnsi="Arial"/>
          <w:b/>
          <w:bCs/>
          <w:color w:val="1F4E79"/>
          <w:sz w:val="28"/>
          <w:szCs w:val="28"/>
        </w:rPr>
        <w:t xml:space="preserve">11. Risks and Contingency Plans</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500"/>
        <w:gridCol w:w="1200"/>
        <w:gridCol w:w="1726"/>
      </w:tblGrid>
      <w:tr>
        <w:trPr>
          <w:tblHeader/>
        </w:trPr>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Contingency</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W w:type="dxa" w:w="17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Impact</w:t>
            </w:r>
          </w:p>
        </w:tc>
      </w:tr>
      <w:tr>
        <w:tc>
          <w:tcPr>
            <w:tcW w:type="dxa" w:w="26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sz w:val="20"/>
                <w:szCs w:val="20"/>
              </w:rPr>
              <w:t xml:space="preserve">Claude API rate limits slow experiments</w:t>
            </w:r>
          </w:p>
        </w:tc>
        <w:tc>
          <w:tcPr>
            <w:tcW w:type="dxa" w:w="35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sz w:val="20"/>
                <w:szCs w:val="20"/>
              </w:rPr>
              <w:t xml:space="preserve">Use exponential back-off in the Experiment Runner; schedule large runs overnight; cache every response so nothing is sent twice.</w:t>
            </w:r>
          </w:p>
        </w:tc>
        <w:tc>
          <w:tcPr>
            <w:tcW w:type="dxa" w:w="12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sz w:val="20"/>
                <w:szCs w:val="20"/>
              </w:rPr>
              <w:t xml:space="preserve">Medium</w:t>
            </w:r>
          </w:p>
        </w:tc>
        <w:tc>
          <w:tcPr>
            <w:tcW w:type="dxa" w:w="1726"/>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sz w:val="20"/>
                <w:szCs w:val="20"/>
              </w:rPr>
              <w:t xml:space="preserve">Medium</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API costs exceed available budget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Keep samples small (300–500 items per dataset); cache aggressively. If costs spike, reduce to 2-shot and 4-shot only.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Medium</w:t>
            </w:r>
          </w:p>
        </w:tc>
        <w:tc>
          <w:tcPr>
            <w:tcW w:type="dxa" w:w="1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Medium</w:t>
            </w:r>
          </w:p>
        </w:tc>
      </w:tr>
      <w:tr>
        <w:tc>
          <w:tcPr>
            <w:tcW w:type="dxa" w:w="26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sz w:val="20"/>
                <w:szCs w:val="20"/>
              </w:rPr>
              <w:t xml:space="preserve">Benchmark dataset licensing turns out to be restrictive</w:t>
            </w:r>
          </w:p>
        </w:tc>
        <w:tc>
          <w:tcPr>
            <w:tcW w:type="dxa" w:w="35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sz w:val="20"/>
                <w:szCs w:val="20"/>
              </w:rPr>
              <w:t xml:space="preserve">All three datasets are Apache 2.0 or MIT -already verified. Fallback options: MMLU or HuggingFace OpenAssistant.</w:t>
            </w:r>
          </w:p>
        </w:tc>
        <w:tc>
          <w:tcPr>
            <w:tcW w:type="dxa" w:w="12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sz w:val="20"/>
                <w:szCs w:val="20"/>
              </w:rPr>
              <w:t xml:space="preserve">Low</w:t>
            </w:r>
          </w:p>
        </w:tc>
        <w:tc>
          <w:tcPr>
            <w:tcW w:type="dxa" w:w="1726"/>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sz w:val="20"/>
                <w:szCs w:val="20"/>
              </w:rPr>
              <w:t xml:space="preserve">High</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Scope grows beyond what is manageable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Core requirements R1–R6 are completed before any desirable features (R7–R10) are started. Enforced by the project plan.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Medium</w:t>
            </w:r>
          </w:p>
        </w:tc>
        <w:tc>
          <w:tcPr>
            <w:tcW w:type="dxa" w:w="1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High</w:t>
            </w:r>
          </w:p>
        </w:tc>
      </w:tr>
      <w:tr>
        <w:tc>
          <w:tcPr>
            <w:tcW w:type="dxa" w:w="26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sz w:val="20"/>
                <w:szCs w:val="20"/>
              </w:rPr>
              <w:t xml:space="preserve">Laptop or hardware failure</w:t>
            </w:r>
          </w:p>
        </w:tc>
        <w:tc>
          <w:tcPr>
            <w:tcW w:type="dxa" w:w="35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sz w:val="20"/>
                <w:szCs w:val="20"/>
              </w:rPr>
              <w:t xml:space="preserve">Git pushed to GitHub every working day. All data backed up to university OneDrive. Environment can be rebuilt in an afternoon.</w:t>
            </w:r>
          </w:p>
        </w:tc>
        <w:tc>
          <w:tcPr>
            <w:tcW w:type="dxa" w:w="12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sz w:val="20"/>
                <w:szCs w:val="20"/>
              </w:rPr>
              <w:t xml:space="preserve">Low</w:t>
            </w:r>
          </w:p>
        </w:tc>
        <w:tc>
          <w:tcPr>
            <w:tcW w:type="dxa" w:w="1726"/>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sz w:val="20"/>
                <w:szCs w:val="20"/>
              </w:rPr>
              <w:t xml:space="preserve">High</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Statistical analysis finds no significant differences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 null result is still a valid scientific finding and will be reported honestly. Sub-task and shot-count breakdowns will be explored for nuance.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Low</w:t>
            </w:r>
          </w:p>
        </w:tc>
        <w:tc>
          <w:tcPr>
            <w:tcW w:type="dxa" w:w="1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Medium</w:t>
            </w:r>
          </w:p>
        </w:tc>
      </w:tr>
      <w:tr>
        <w:tc>
          <w:tcPr>
            <w:tcW w:type="dxa" w:w="26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sz w:val="20"/>
                <w:szCs w:val="20"/>
              </w:rPr>
              <w:t xml:space="preserve">Supervisor unavailable during a critical review window</w:t>
            </w:r>
          </w:p>
        </w:tc>
        <w:tc>
          <w:tcPr>
            <w:tcW w:type="dxa" w:w="35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sz w:val="20"/>
                <w:szCs w:val="20"/>
              </w:rPr>
              <w:t xml:space="preserve">Check-ins scheduled at least one week in advance. A running decision log means feedback can be given asynchronously if needed.</w:t>
            </w:r>
          </w:p>
        </w:tc>
        <w:tc>
          <w:tcPr>
            <w:tcW w:type="dxa" w:w="12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sz w:val="20"/>
                <w:szCs w:val="20"/>
              </w:rPr>
              <w:t xml:space="preserve">Low</w:t>
            </w:r>
          </w:p>
        </w:tc>
        <w:tc>
          <w:tcPr>
            <w:tcW w:type="dxa" w:w="1726"/>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sz w:val="20"/>
                <w:szCs w:val="20"/>
              </w:rPr>
              <w:t xml:space="preserve">Medium</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Writing takes much longer than expected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Writing starts at Week 6 alongside experiments, not after them. Each results section is drafted the same week its data is collected.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Medium</w:t>
            </w:r>
          </w:p>
        </w:tc>
        <w:tc>
          <w:tcPr>
            <w:tcW w:type="dxa" w:w="1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High</w:t>
            </w:r>
          </w:p>
        </w:tc>
      </w:tr>
    </w:tbl>
    <w:p>
      <w:pPr>
        <w:spacing w:after="80" w:before="0"/>
      </w:pPr>
      <w:r>
        <w:t xml:space="preserve"/>
      </w:r>
    </w:p>
    <w:p>
      <w:pPr>
        <w:pStyle w:val="Heading1"/>
        <w:pBdr>
          <w:bottom w:val="single" w:color="2E75B6" w:sz="8" w:space="6"/>
        </w:pBdr>
        <w:spacing w:after="120" w:before="300"/>
      </w:pPr>
      <w:r>
        <w:rPr>
          <w:rFonts w:ascii="Arial" w:cs="Arial" w:eastAsia="Arial" w:hAnsi="Arial"/>
          <w:b/>
          <w:bCs/>
          <w:color w:val="1F4E79"/>
          <w:sz w:val="28"/>
          <w:szCs w:val="28"/>
        </w:rPr>
        <w:t xml:space="preserve">12. References</w:t>
      </w:r>
    </w:p>
    <w:p>
      <w:pPr>
        <w:spacing w:after="120" w:before="60"/>
        <w:jc w:val="both"/>
      </w:pPr>
      <w:r>
        <w:rPr>
          <w:rFonts w:ascii="Arial" w:cs="Arial" w:eastAsia="Arial" w:hAnsi="Arial"/>
          <w:sz w:val="22"/>
          <w:szCs w:val="22"/>
        </w:rPr>
        <w:t xml:space="preserve">Anthropic (2024) Claude API Documentation. Available at: https://docs.anthropic.com [Accessed: June 2026].</w:t>
      </w:r>
    </w:p>
    <w:p>
      <w:pPr>
        <w:spacing w:after="120" w:before="60"/>
        <w:jc w:val="both"/>
      </w:pPr>
      <w:r>
        <w:rPr>
          <w:rFonts w:ascii="Arial" w:cs="Arial" w:eastAsia="Arial" w:hAnsi="Arial"/>
          <w:sz w:val="22"/>
          <w:szCs w:val="22"/>
        </w:rPr>
        <w:t xml:space="preserve">Brown, T., Mann, B., Ryder, N., Subbiah, M., Kaplan, J., Dhariwal, P., Neelakantan, A., Shyam, P., Sastry, G., Askell, A. and Agarwal, S. (2020) 'Language models are few-shot learners', Advances in Neural Information Processing Systems, 33, pp. 1877-1901.</w:t>
      </w:r>
    </w:p>
    <w:p>
      <w:pPr>
        <w:spacing w:after="120" w:before="60"/>
        <w:jc w:val="both"/>
      </w:pPr>
      <w:r>
        <w:rPr>
          <w:rFonts w:ascii="Arial" w:cs="Arial" w:eastAsia="Arial" w:hAnsi="Arial"/>
          <w:sz w:val="22"/>
          <w:szCs w:val="22"/>
        </w:rPr>
        <w:t xml:space="preserve">Cobbe, K., Kosaraju, V., Bavarian, M., Chen, M., Jun, H., Kaiser, L., Plappert, M., Tworek, J., Hilton, J., Nakano, R. and Hesse, C. (2021) 'Training verifiers to solve math word problems', arXiv preprint arXiv:2110.14168.</w:t>
      </w:r>
    </w:p>
    <w:p>
      <w:pPr>
        <w:spacing w:after="120" w:before="60"/>
        <w:jc w:val="both"/>
      </w:pPr>
      <w:r>
        <w:rPr>
          <w:rFonts w:ascii="Arial" w:cs="Arial" w:eastAsia="Arial" w:hAnsi="Arial"/>
          <w:sz w:val="22"/>
          <w:szCs w:val="22"/>
        </w:rPr>
        <w:t xml:space="preserve">Hermann, K.M., Kocisky, T., Grefenstette, E., Espeholt, L., Kay, W., Suleyman, M. and Blunsom, P. (2015) 'Teaching machines to read and comprehend', Advances in Neural Information Processing Systems, 28.</w:t>
      </w:r>
    </w:p>
    <w:p>
      <w:pPr>
        <w:spacing w:after="120" w:before="60"/>
        <w:jc w:val="both"/>
      </w:pPr>
      <w:r>
        <w:rPr>
          <w:rFonts w:ascii="Arial" w:cs="Arial" w:eastAsia="Arial" w:hAnsi="Arial"/>
          <w:sz w:val="22"/>
          <w:szCs w:val="22"/>
        </w:rPr>
        <w:t xml:space="preserve">Joshi, M., Choi, E., Weld, D. and Zettlemoyer, L. (2017) 'TriviaQA: A large scale distantly supervised challenge dataset for reading comprehension', Proceedings of the 55th Annual Meeting of the Association for Computational Linguistics, pp. 1601-1611.</w:t>
      </w:r>
    </w:p>
    <w:p>
      <w:pPr>
        <w:spacing w:after="120" w:before="60"/>
        <w:jc w:val="both"/>
      </w:pPr>
      <w:r>
        <w:rPr>
          <w:rFonts w:ascii="Arial" w:cs="Arial" w:eastAsia="Arial" w:hAnsi="Arial"/>
          <w:sz w:val="22"/>
          <w:szCs w:val="22"/>
        </w:rPr>
        <w:t xml:space="preserve">Kojima, T., Gu, S.S., Reid, M., Matsuo, Y. and Iwasawa, Y. (2022) 'Large language models are zero-shot reasoners', Advances in Neural Information Processing Systems, 35, pp. 22199-22213.</w:t>
      </w:r>
    </w:p>
    <w:p>
      <w:pPr>
        <w:spacing w:after="120" w:before="60"/>
        <w:jc w:val="both"/>
      </w:pPr>
      <w:r>
        <w:rPr>
          <w:rFonts w:ascii="Arial" w:cs="Arial" w:eastAsia="Arial" w:hAnsi="Arial"/>
          <w:sz w:val="22"/>
          <w:szCs w:val="22"/>
        </w:rPr>
        <w:t xml:space="preserve">Lin, C.Y. (2004) 'ROUGE: A package for automatic evaluation of summaries', Text Summarization Branches Out: Proceedings of the ACL-04 Workshop, pp. 74-81.</w:t>
      </w:r>
    </w:p>
    <w:p>
      <w:pPr>
        <w:spacing w:after="120" w:before="60"/>
        <w:jc w:val="both"/>
      </w:pPr>
      <w:r>
        <w:rPr>
          <w:rFonts w:ascii="Arial" w:cs="Arial" w:eastAsia="Arial" w:hAnsi="Arial"/>
          <w:sz w:val="22"/>
          <w:szCs w:val="22"/>
        </w:rPr>
        <w:t xml:space="preserve">Liu, P., Yuan, W., Fu, J., Jiang, Z., Hayashi, H. and Neubig, G. (2023) 'Pre-train, prompt, and predict: A systematic survey of prompting methods in natural language processing', ACM Computing Surveys, 55(9), pp. 1-35.</w:t>
      </w:r>
    </w:p>
    <w:p>
      <w:pPr>
        <w:spacing w:after="120" w:before="60"/>
        <w:jc w:val="both"/>
      </w:pPr>
      <w:r>
        <w:rPr>
          <w:rFonts w:ascii="Arial" w:cs="Arial" w:eastAsia="Arial" w:hAnsi="Arial"/>
          <w:sz w:val="22"/>
          <w:szCs w:val="22"/>
        </w:rPr>
        <w:t xml:space="preserve">Rajpurkar, P., Jia, R. and Liang, P. (2018) 'Know what you don't know: Unanswerable questions for SQuAD', Proceedings of the 56th Annual Meeting of the Association for Computational Linguistics, pp. 784-789.</w:t>
      </w:r>
    </w:p>
    <w:p>
      <w:pPr>
        <w:spacing w:after="120" w:before="60"/>
        <w:jc w:val="both"/>
      </w:pPr>
      <w:r>
        <w:rPr>
          <w:rFonts w:ascii="Arial" w:cs="Arial" w:eastAsia="Arial" w:hAnsi="Arial"/>
          <w:sz w:val="22"/>
          <w:szCs w:val="22"/>
        </w:rPr>
        <w:t xml:space="preserve">Sahoo, P., Singh, A.K., Saha, S., Jain, V., Mondal, S. and Chadha, A. (2024) 'A systematic survey of prompt engineering in large language models: Techniques and applications', arXiv preprint arXiv:2402.07927.</w:t>
      </w:r>
    </w:p>
    <w:p>
      <w:pPr>
        <w:spacing w:after="120" w:before="60"/>
        <w:jc w:val="both"/>
      </w:pPr>
      <w:r>
        <w:rPr>
          <w:rFonts w:ascii="Arial" w:cs="Arial" w:eastAsia="Arial" w:hAnsi="Arial"/>
          <w:sz w:val="22"/>
          <w:szCs w:val="22"/>
        </w:rPr>
        <w:t xml:space="preserve">See, A., Liu, P.J. and Manning, C.D. (2017) 'Get to the point: Summarization with pointer-generator networks', Proceedings of the 55th Annual Meeting of the Association for Computational Linguistics, pp. 1073-1083.</w:t>
      </w:r>
    </w:p>
    <w:p>
      <w:pPr>
        <w:spacing w:after="120" w:before="60"/>
        <w:jc w:val="both"/>
      </w:pPr>
      <w:r>
        <w:rPr>
          <w:rFonts w:ascii="Arial" w:cs="Arial" w:eastAsia="Arial" w:hAnsi="Arial"/>
          <w:sz w:val="22"/>
          <w:szCs w:val="22"/>
        </w:rPr>
        <w:t xml:space="preserve">Wang, X., Wei, J., Schuurmans, D., Le, Q., Chi, E., Narang, S., Chowdhery, A. and Zhou, D. (2022) 'Self-consistency improves chain of thought reasoning in language models', arXiv preprint arXiv:2203.11171.</w:t>
      </w:r>
    </w:p>
    <w:p>
      <w:pPr>
        <w:spacing w:after="120" w:before="60"/>
        <w:jc w:val="both"/>
      </w:pPr>
      <w:r>
        <w:rPr>
          <w:rFonts w:ascii="Arial" w:cs="Arial" w:eastAsia="Arial" w:hAnsi="Arial"/>
          <w:sz w:val="22"/>
          <w:szCs w:val="22"/>
        </w:rPr>
        <w:t xml:space="preserve">Wei, J., Wang, X., Schuurmans, D., Bosma, M., Xia, F., Chi, E., Le, Q.V. and Zhou, D. (2022) 'Chain-of-thought prompting elicits reasoning in large language models', Advances in Neural Information Processing Systems, 35, pp. 24824-24837.</w:t>
      </w:r>
    </w:p>
    <w:p>
      <w:pPr>
        <w:spacing w:after="120" w:before="60"/>
        <w:jc w:val="both"/>
      </w:pPr>
      <w:r>
        <w:rPr>
          <w:rFonts w:ascii="Arial" w:cs="Arial" w:eastAsia="Arial" w:hAnsi="Arial"/>
          <w:sz w:val="22"/>
          <w:szCs w:val="22"/>
        </w:rPr>
        <w:t xml:space="preserve">Wei, J., Tay, Y., Bommasani, R., Raffel, C., Zoph, B., Borgeaud, S., Yogatama, D., Bosma, M., Zhou, D., Metzler, D. and Chi, E.H. (2022b) 'Emergent abilities of large language models', Transactions on Machine Learning Research.</w:t>
      </w:r>
    </w:p>
    <w:p>
      <w:pPr>
        <w:spacing w:after="120" w:before="60"/>
        <w:jc w:val="both"/>
      </w:pPr>
      <w:r>
        <w:rPr>
          <w:rFonts w:ascii="Arial" w:cs="Arial" w:eastAsia="Arial" w:hAnsi="Arial"/>
          <w:sz w:val="22"/>
          <w:szCs w:val="22"/>
        </w:rPr>
        <w:t xml:space="preserve">White, J., Fu, Q., Hays, S., Sandborn, M., Olea, C., Gilbert, H., Elnashar, A., Spencer-Smith, J. and Schmidt, D.C. (2023) 'A prompt pattern catalog to enhance prompt engineering with ChatGPT', arXiv preprint arXiv:2302.11382.</w:t>
      </w:r>
    </w:p>
    <w:p>
      <w:pPr>
        <w:spacing w:after="120" w:before="60"/>
        <w:jc w:val="both"/>
      </w:pPr>
      <w:r>
        <w:rPr>
          <w:rFonts w:ascii="Arial" w:cs="Arial" w:eastAsia="Arial" w:hAnsi="Arial"/>
          <w:sz w:val="22"/>
          <w:szCs w:val="22"/>
        </w:rPr>
        <w:t xml:space="preserve">Zhang, T., Kishore, V., Wu, F., Weinberger, K.Q. and Artzi, Y. (2020) 'BERTScore: Evaluating text generation with BERT', International Conference on Learning Representations (ICLR 2020).</w:t>
      </w:r>
    </w:p>
    <w:sectPr>
      <w:headerReference w:type="default" r:id="rId7"/>
      <w:footerReference w:type="default" r:id="rId8"/>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6"/>
      </w:pBdr>
      <w:jc w:val="center"/>
    </w:pPr>
    <w:r>
      <w:rPr>
        <w:rFonts w:ascii="Arial" w:cs="Arial" w:eastAsia="Arial" w:hAnsi="Arial"/>
        <w:color w:val="888888"/>
        <w:sz w:val="18"/>
        <w:szCs w:val="18"/>
      </w:rPr>
      <w:t xml:space="preserve">Varun  |  Supervisor: Achilleas Koufonikos  |  </w:t>
    </w:r>
    <w:r>
      <w:rPr>
        <w:rFonts w:ascii="Arial" w:cs="Arial" w:eastAsia="Arial" w:hAnsi="Arial"/>
        <w:color w:val="888888"/>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6"/>
      </w:pBdr>
    </w:pPr>
    <w:r>
      <w:rPr>
        <w:rFonts w:ascii="Arial" w:cs="Arial" w:eastAsia="Arial" w:hAnsi="Arial"/>
        <w:color w:val="888888"/>
        <w:sz w:val="18"/>
        <w:szCs w:val="18"/>
      </w:rPr>
      <w:t xml:space="preserve">Prompt Engineering for AI Language Models  |  MSc Proposal  |  University of Liverpool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F4E79"/>
      <w:sz w:val="28"/>
      <w:szCs w:val="28"/>
    </w:rPr>
  </w:style>
  <w:style w:type="paragraph" w:styleId="Heading2">
    <w:name w:val="Heading 2"/>
    <w:basedOn w:val="Normal"/>
    <w:next w:val="Normal"/>
    <w:qFormat/>
    <w:pPr>
      <w:spacing w:after="80" w:before="2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c99dd5bd4d3366bfbf053847c58ad241531722d.png"/><Relationship Id="rId10" Type="http://schemas.openxmlformats.org/officeDocument/2006/relationships/image" Target="media/574918225714cdf8466cccd0c3f4a69f0d1b038d.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2026-06-06T15:39:20.092Z</dcterms:created>
  <dcterms:modified xsi:type="dcterms:W3CDTF">2026-06-06T15:39:20.092Z</dcterms:modified>
</cp:coreProperties>
</file>

<file path=docProps/custom.xml><?xml version="1.0" encoding="utf-8"?>
<Properties xmlns="http://schemas.openxmlformats.org/officeDocument/2006/custom-properties" xmlns:vt="http://schemas.openxmlformats.org/officeDocument/2006/docPropsVTypes"/>
</file>