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36"/>
          <w:szCs w:val="36"/>
        </w:rPr>
        <w:t xml:space="preserve">Supervisor Meeting — Talking Points &amp; Q&amp;A</w:t>
      </w:r>
    </w:p>
    <w:p>
      <w:pPr>
        <w:spacing w:after="240" w:before="0"/>
      </w:pPr>
      <w:r>
        <w:rPr>
          <w:rFonts w:ascii="Arial" w:cs="Arial" w:eastAsia="Arial" w:hAnsi="Arial"/>
          <w:color w:val="595959"/>
          <w:sz w:val="22"/>
          <w:szCs w:val="22"/>
        </w:rPr>
        <w:t xml:space="preserve">Prompt Engineering Evaluation Framework (PEEF)  ·  COMP702  ·  June 2026</w:t>
      </w:r>
    </w:p>
    <w:p>
      <w:pPr>
        <w:pStyle w:val="Heading1"/>
        <w:pBdr>
          <w:bottom w:val="single" w:color="2E75B6" w:sz="6" w:space="4"/>
        </w:pBdr>
        <w:spacing w:after="120" w:before="360"/>
      </w:pPr>
      <w:r>
        <w:rPr>
          <w:rFonts w:ascii="Arial" w:cs="Arial" w:eastAsia="Arial" w:hAnsi="Arial"/>
          <w:b/>
          <w:bCs/>
          <w:color w:val="1F4E79"/>
          <w:sz w:val="28"/>
          <w:szCs w:val="28"/>
        </w:rPr>
        <w:t xml:space="preserve">1. Elevator Pitch (30 seconds)</w:t>
      </w:r>
    </w:p>
    <w:p>
      <w:pPr>
        <w:spacing w:after="60" w:before="60"/>
      </w:pPr>
      <w:r>
        <w:rPr>
          <w:rFonts w:ascii="Arial" w:cs="Arial" w:eastAsia="Arial" w:hAnsi="Arial"/>
          <w:color w:val="404040"/>
          <w:sz w:val="22"/>
          <w:szCs w:val="22"/>
        </w:rPr>
        <w:t xml:space="preserve">This project asks: which prompting technique works best, for which task, and at what cost? I'm building PEEF — a Python toolkit that runs controlled experiments using the Claude API, comparing zero-shot, few-shot (2/4/8-shot), and chain-of-thought prompting across question answering, summarisation, and mathematical reasoning. The output is both the software framework and practical, evidence-backed guidelines for developers.</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2. Core Components at a Glance</w:t>
      </w:r>
    </w:p>
    <w:p>
      <w:pPr>
        <w:pStyle w:val="Heading2"/>
        <w:spacing w:after="80" w:before="240"/>
      </w:pPr>
      <w:r>
        <w:rPr>
          <w:rFonts w:ascii="Arial" w:cs="Arial" w:eastAsia="Arial" w:hAnsi="Arial"/>
          <w:b/>
          <w:bCs/>
          <w:color w:val="2E75B6"/>
          <w:sz w:val="24"/>
          <w:szCs w:val="24"/>
        </w:rPr>
        <w:t xml:space="preserve">Prompting Techniques (3)</w:t>
      </w:r>
    </w:p>
    <w:p>
      <w:pPr>
        <w:pStyle w:val="ListParagraph"/>
        <w:numPr>
          <w:ilvl w:val="0"/>
          <w:numId w:val="2"/>
        </w:numPr>
        <w:spacing w:after="40" w:before="40"/>
      </w:pPr>
      <w:r>
        <w:rPr>
          <w:rFonts w:ascii="Arial" w:cs="Arial" w:eastAsia="Arial" w:hAnsi="Arial"/>
          <w:b/>
          <w:bCs/>
          <w:color w:val="404040"/>
          <w:sz w:val="22"/>
          <w:szCs w:val="22"/>
        </w:rPr>
        <w:t xml:space="preserve">Zero-shot: </w:t>
      </w:r>
      <w:r>
        <w:rPr>
          <w:rFonts w:ascii="Arial" w:cs="Arial" w:eastAsia="Arial" w:hAnsi="Arial"/>
          <w:color w:val="404040"/>
          <w:sz w:val="22"/>
          <w:szCs w:val="22"/>
        </w:rPr>
        <w:t xml:space="preserve">No examples given — model relies on its own training</w:t>
      </w:r>
    </w:p>
    <w:p>
      <w:pPr>
        <w:pStyle w:val="ListParagraph"/>
        <w:numPr>
          <w:ilvl w:val="0"/>
          <w:numId w:val="2"/>
        </w:numPr>
        <w:spacing w:after="40" w:before="40"/>
      </w:pPr>
      <w:r>
        <w:rPr>
          <w:rFonts w:ascii="Arial" w:cs="Arial" w:eastAsia="Arial" w:hAnsi="Arial"/>
          <w:b/>
          <w:bCs/>
          <w:color w:val="404040"/>
          <w:sz w:val="22"/>
          <w:szCs w:val="22"/>
        </w:rPr>
        <w:t xml:space="preserve">Few-shot: </w:t>
      </w:r>
      <w:r>
        <w:rPr>
          <w:rFonts w:ascii="Arial" w:cs="Arial" w:eastAsia="Arial" w:hAnsi="Arial"/>
          <w:color w:val="404040"/>
          <w:sz w:val="22"/>
          <w:szCs w:val="22"/>
        </w:rPr>
        <w:t xml:space="preserve">2, 4, and 8 worked examples included in the prompt</w:t>
      </w:r>
    </w:p>
    <w:p>
      <w:pPr>
        <w:pStyle w:val="ListParagraph"/>
        <w:numPr>
          <w:ilvl w:val="0"/>
          <w:numId w:val="2"/>
        </w:numPr>
        <w:spacing w:after="40" w:before="40"/>
      </w:pPr>
      <w:r>
        <w:rPr>
          <w:rFonts w:ascii="Arial" w:cs="Arial" w:eastAsia="Arial" w:hAnsi="Arial"/>
          <w:b/>
          <w:bCs/>
          <w:color w:val="404040"/>
          <w:sz w:val="22"/>
          <w:szCs w:val="22"/>
        </w:rPr>
        <w:t xml:space="preserve">Chain-of-Thought (CoT): </w:t>
      </w:r>
      <w:r>
        <w:rPr>
          <w:rFonts w:ascii="Arial" w:cs="Arial" w:eastAsia="Arial" w:hAnsi="Arial"/>
          <w:color w:val="404040"/>
          <w:sz w:val="22"/>
          <w:szCs w:val="22"/>
        </w:rPr>
        <w:t xml:space="preserve">Model is guided to reason step-by-step before answering</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Task Domains (3) &amp; Datasets</w:t>
      </w:r>
    </w:p>
    <w:p>
      <w:pPr>
        <w:pStyle w:val="ListParagraph"/>
        <w:numPr>
          <w:ilvl w:val="0"/>
          <w:numId w:val="2"/>
        </w:numPr>
        <w:spacing w:after="40" w:before="40"/>
      </w:pPr>
      <w:r>
        <w:rPr>
          <w:rFonts w:ascii="Arial" w:cs="Arial" w:eastAsia="Arial" w:hAnsi="Arial"/>
          <w:color w:val="404040"/>
          <w:sz w:val="22"/>
          <w:szCs w:val="22"/>
        </w:rPr>
        <w:t xml:space="preserve">Question Answering → TriviaQA (open-domain factual recall)</w:t>
      </w:r>
    </w:p>
    <w:p>
      <w:pPr>
        <w:pStyle w:val="ListParagraph"/>
        <w:numPr>
          <w:ilvl w:val="0"/>
          <w:numId w:val="2"/>
        </w:numPr>
        <w:spacing w:after="40" w:before="40"/>
      </w:pPr>
      <w:r>
        <w:rPr>
          <w:rFonts w:ascii="Arial" w:cs="Arial" w:eastAsia="Arial" w:hAnsi="Arial"/>
          <w:color w:val="404040"/>
          <w:sz w:val="22"/>
          <w:szCs w:val="22"/>
        </w:rPr>
        <w:t xml:space="preserve">Summarisation → CNN/DailyMail (news article summarisation)</w:t>
      </w:r>
    </w:p>
    <w:p>
      <w:pPr>
        <w:pStyle w:val="ListParagraph"/>
        <w:numPr>
          <w:ilvl w:val="0"/>
          <w:numId w:val="2"/>
        </w:numPr>
        <w:spacing w:after="40" w:before="40"/>
      </w:pPr>
      <w:r>
        <w:rPr>
          <w:rFonts w:ascii="Arial" w:cs="Arial" w:eastAsia="Arial" w:hAnsi="Arial"/>
          <w:color w:val="404040"/>
          <w:sz w:val="22"/>
          <w:szCs w:val="22"/>
        </w:rPr>
        <w:t xml:space="preserve">Mathematical Reasoning → GSM8K (grade-school arithmetic word problems)</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Evaluation Metrics</w:t>
      </w:r>
    </w:p>
    <w:p>
      <w:pPr>
        <w:pStyle w:val="ListParagraph"/>
        <w:numPr>
          <w:ilvl w:val="0"/>
          <w:numId w:val="2"/>
        </w:numPr>
        <w:spacing w:after="40" w:before="40"/>
      </w:pPr>
      <w:r>
        <w:rPr>
          <w:rFonts w:ascii="Arial" w:cs="Arial" w:eastAsia="Arial" w:hAnsi="Arial"/>
          <w:color w:val="404040"/>
          <w:sz w:val="22"/>
          <w:szCs w:val="22"/>
        </w:rPr>
        <w:t xml:space="preserve">QA: Exact-match accuracy</w:t>
      </w:r>
    </w:p>
    <w:p>
      <w:pPr>
        <w:pStyle w:val="ListParagraph"/>
        <w:numPr>
          <w:ilvl w:val="0"/>
          <w:numId w:val="2"/>
        </w:numPr>
        <w:spacing w:after="40" w:before="40"/>
      </w:pPr>
      <w:r>
        <w:rPr>
          <w:rFonts w:ascii="Arial" w:cs="Arial" w:eastAsia="Arial" w:hAnsi="Arial"/>
          <w:color w:val="404040"/>
          <w:sz w:val="22"/>
          <w:szCs w:val="22"/>
        </w:rPr>
        <w:t xml:space="preserve">Summarisation: ROUGE-L + BERTScore (semantic similarity)</w:t>
      </w:r>
    </w:p>
    <w:p>
      <w:pPr>
        <w:pStyle w:val="ListParagraph"/>
        <w:numPr>
          <w:ilvl w:val="0"/>
          <w:numId w:val="2"/>
        </w:numPr>
        <w:spacing w:after="40" w:before="40"/>
      </w:pPr>
      <w:r>
        <w:rPr>
          <w:rFonts w:ascii="Arial" w:cs="Arial" w:eastAsia="Arial" w:hAnsi="Arial"/>
          <w:color w:val="404040"/>
          <w:sz w:val="22"/>
          <w:szCs w:val="22"/>
        </w:rPr>
        <w:t xml:space="preserve">Reasoning: Step-level accuracy on GSM8K</w:t>
      </w:r>
    </w:p>
    <w:p>
      <w:pPr>
        <w:pStyle w:val="ListParagraph"/>
        <w:numPr>
          <w:ilvl w:val="0"/>
          <w:numId w:val="2"/>
        </w:numPr>
        <w:spacing w:after="40" w:before="40"/>
      </w:pPr>
      <w:r>
        <w:rPr>
          <w:rFonts w:ascii="Arial" w:cs="Arial" w:eastAsia="Arial" w:hAnsi="Arial"/>
          <w:color w:val="404040"/>
          <w:sz w:val="22"/>
          <w:szCs w:val="22"/>
        </w:rPr>
        <w:t xml:space="preserve">All results include Wilcoxon signed-rank tests + Cohen's d effect sizes</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Key Differentiator: Cost-Efficiency</w:t>
      </w:r>
    </w:p>
    <w:p>
      <w:pPr>
        <w:spacing w:after="60" w:before="60"/>
      </w:pPr>
      <w:r>
        <w:rPr>
          <w:rFonts w:ascii="Arial" w:cs="Arial" w:eastAsia="Arial" w:hAnsi="Arial"/>
          <w:color w:val="404040"/>
          <w:sz w:val="22"/>
          <w:szCs w:val="22"/>
        </w:rPr>
        <w:t xml:space="preserve">Every experiment tracks token usage alongside performance. A technique that scores 5% better but costs 40% more tokens may not be the right choice in practice. The cost-efficiency scatter plot makes this trade-off visible at a glance.</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3. PEEF Architecture (4 Modules)</w:t>
      </w:r>
    </w:p>
    <w:p>
      <w:pPr>
        <w:pStyle w:val="ListParagraph"/>
        <w:numPr>
          <w:ilvl w:val="0"/>
          <w:numId w:val="2"/>
        </w:numPr>
        <w:spacing w:after="40" w:before="40"/>
      </w:pPr>
      <w:r>
        <w:rPr>
          <w:rFonts w:ascii="Arial" w:cs="Arial" w:eastAsia="Arial" w:hAnsi="Arial"/>
          <w:b/>
          <w:bCs/>
          <w:color w:val="404040"/>
          <w:sz w:val="22"/>
          <w:szCs w:val="22"/>
        </w:rPr>
        <w:t xml:space="preserve">Prompt Builder: </w:t>
      </w:r>
      <w:r>
        <w:rPr>
          <w:rFonts w:ascii="Arial" w:cs="Arial" w:eastAsia="Arial" w:hAnsi="Arial"/>
          <w:color w:val="404040"/>
          <w:sz w:val="22"/>
          <w:szCs w:val="22"/>
        </w:rPr>
        <w:t xml:space="preserve">Reads task + benchmark examples → builds formatted prompts using Jinja2 templates. Same logic handles all three prompt types.</w:t>
      </w:r>
    </w:p>
    <w:p>
      <w:pPr>
        <w:pStyle w:val="ListParagraph"/>
        <w:numPr>
          <w:ilvl w:val="0"/>
          <w:numId w:val="2"/>
        </w:numPr>
        <w:spacing w:after="40" w:before="40"/>
      </w:pPr>
      <w:r>
        <w:rPr>
          <w:rFonts w:ascii="Arial" w:cs="Arial" w:eastAsia="Arial" w:hAnsi="Arial"/>
          <w:b/>
          <w:bCs/>
          <w:color w:val="404040"/>
          <w:sz w:val="22"/>
          <w:szCs w:val="22"/>
        </w:rPr>
        <w:t xml:space="preserve">Experiment Runner: </w:t>
      </w:r>
      <w:r>
        <w:rPr>
          <w:rFonts w:ascii="Arial" w:cs="Arial" w:eastAsia="Arial" w:hAnsi="Arial"/>
          <w:color w:val="404040"/>
          <w:sz w:val="22"/>
          <w:szCs w:val="22"/>
        </w:rPr>
        <w:t xml:space="preserve">Handles Claude API calls with rate limiting, exponential back-off, deduplication, and concurrent execution.</w:t>
      </w:r>
    </w:p>
    <w:p>
      <w:pPr>
        <w:pStyle w:val="ListParagraph"/>
        <w:numPr>
          <w:ilvl w:val="0"/>
          <w:numId w:val="2"/>
        </w:numPr>
        <w:spacing w:after="40" w:before="40"/>
      </w:pPr>
      <w:r>
        <w:rPr>
          <w:rFonts w:ascii="Arial" w:cs="Arial" w:eastAsia="Arial" w:hAnsi="Arial"/>
          <w:b/>
          <w:bCs/>
          <w:color w:val="404040"/>
          <w:sz w:val="22"/>
          <w:szCs w:val="22"/>
        </w:rPr>
        <w:t xml:space="preserve">Evaluator: </w:t>
      </w:r>
      <w:r>
        <w:rPr>
          <w:rFonts w:ascii="Arial" w:cs="Arial" w:eastAsia="Arial" w:hAnsi="Arial"/>
          <w:color w:val="404040"/>
          <w:sz w:val="22"/>
          <w:szCs w:val="22"/>
        </w:rPr>
        <w:t xml:space="preserve">Applies the right metric automatically per task (no manual metric selection needed).</w:t>
      </w:r>
    </w:p>
    <w:p>
      <w:pPr>
        <w:pStyle w:val="ListParagraph"/>
        <w:numPr>
          <w:ilvl w:val="0"/>
          <w:numId w:val="2"/>
        </w:numPr>
        <w:spacing w:after="40" w:before="40"/>
      </w:pPr>
      <w:r>
        <w:rPr>
          <w:rFonts w:ascii="Arial" w:cs="Arial" w:eastAsia="Arial" w:hAnsi="Arial"/>
          <w:b/>
          <w:bCs/>
          <w:color w:val="404040"/>
          <w:sz w:val="22"/>
          <w:szCs w:val="22"/>
        </w:rPr>
        <w:t xml:space="preserve">Analysis Engine: </w:t>
      </w:r>
      <w:r>
        <w:rPr>
          <w:rFonts w:ascii="Arial" w:cs="Arial" w:eastAsia="Arial" w:hAnsi="Arial"/>
          <w:color w:val="404040"/>
          <w:sz w:val="22"/>
          <w:szCs w:val="22"/>
        </w:rPr>
        <w:t xml:space="preserve">Produces means, confidence intervals, significance tests, effect sizes, and charts from scored results.</w:t>
      </w:r>
    </w:p>
    <w:p>
      <w:pPr>
        <w:spacing w:after="0" w:before="80"/>
      </w:pPr>
      <w:r>
        <w:t xml:space="preserve"/>
      </w:r>
    </w:p>
    <w:p>
      <w:pPr>
        <w:spacing w:after="60" w:before="60"/>
      </w:pPr>
      <w:r>
        <w:rPr>
          <w:rFonts w:ascii="Arial" w:cs="Arial" w:eastAsia="Arial" w:hAnsi="Arial"/>
          <w:color w:val="404040"/>
          <w:sz w:val="22"/>
          <w:szCs w:val="22"/>
        </w:rPr>
        <w:t xml:space="preserve">Each experiment is described in a YAML config file — anyone can reproduce an exact run by reusing the same config. This ensures full reproducibility.</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4. 12-Week Timeline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5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Literature &amp; Setup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1–2</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Deep literature review, environment setup, YAML config design</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404040"/>
                <w:sz w:val="20"/>
                <w:szCs w:val="20"/>
              </w:rPr>
              <w:t xml:space="preserve">Core Framework</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595959"/>
                <w:sz w:val="20"/>
                <w:szCs w:val="20"/>
              </w:rPr>
              <w:t xml:space="preserve">3–4</w:t>
            </w:r>
          </w:p>
        </w:tc>
        <w:tc>
          <w:tcPr>
            <w:tcW w:type="dxa" w:w="54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404040"/>
                <w:sz w:val="20"/>
                <w:szCs w:val="20"/>
              </w:rPr>
              <w:t xml:space="preserve">Build all 4 PEEF modules with TDD; unit tests for each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Experiments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5–7</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Run all experiments across 3 tasks × 6 techniques; collect results</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404040"/>
                <w:sz w:val="20"/>
                <w:szCs w:val="20"/>
              </w:rPr>
              <w:t xml:space="preserve">Analysis</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595959"/>
                <w:sz w:val="20"/>
                <w:szCs w:val="20"/>
              </w:rPr>
              <w:t xml:space="preserve">7–8</w:t>
            </w:r>
          </w:p>
        </w:tc>
        <w:tc>
          <w:tcPr>
            <w:tcW w:type="dxa" w:w="54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404040"/>
                <w:sz w:val="20"/>
                <w:szCs w:val="20"/>
              </w:rPr>
              <w:t xml:space="preserve">Statistical analysis, cost-efficiency plots, significance testing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Dashboard (R7)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9</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Optional Streamlit dashboard if core work is ahead of schedule</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404040"/>
                <w:sz w:val="20"/>
                <w:szCs w:val="20"/>
              </w:rPr>
              <w:t xml:space="preserve">Dissertation Writing</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595959"/>
                <w:sz w:val="20"/>
                <w:szCs w:val="20"/>
              </w:rPr>
              <w:t xml:space="preserve">6–11</w:t>
            </w:r>
          </w:p>
        </w:tc>
        <w:tc>
          <w:tcPr>
            <w:tcW w:type="dxa" w:w="54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404040"/>
                <w:sz w:val="20"/>
                <w:szCs w:val="20"/>
              </w:rPr>
              <w:t xml:space="preserve">Draft alongside experiments — not after — while context is fresh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Review &amp; Submission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12</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Final review, proofread, submit</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5. Anticipated Supervisor Questions &amp; Answers</w:t>
      </w:r>
    </w:p>
    <w:p>
      <w:pPr>
        <w:spacing w:after="60" w:before="60"/>
      </w:pPr>
      <w:r>
        <w:rPr>
          <w:rFonts w:ascii="Arial" w:cs="Arial" w:eastAsia="Arial" w:hAnsi="Arial"/>
          <w:color w:val="404040"/>
          <w:sz w:val="22"/>
          <w:szCs w:val="22"/>
        </w:rPr>
        <w:t xml:space="preserve">Use these as preparation — know the substance, not the script.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54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Prepared Answer</w:t>
            </w:r>
          </w:p>
        </w:tc>
      </w:tr>
      <w:tr>
        <w:tc>
          <w:tcPr>
            <w:tcW w:type="dxa" w:w="360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b/>
                <w:bCs/>
                <w:color w:val="1F4E79"/>
                <w:sz w:val="20"/>
                <w:szCs w:val="20"/>
              </w:rPr>
              <w:t xml:space="preserve">Why Claude specifically? Why not compare across multiple models?</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This project is about prompting strategy, not model comparison. Using a single frontier model (Claude) controls for model-level variance, so any performance differences are attributable to the prompt technique, not to architecture differences. Cross-model comparison would be a separate research question.</w:t>
            </w:r>
          </w:p>
        </w:tc>
      </w:tr>
      <w:tr>
        <w:tc>
          <w:tcPr>
            <w:tcW w:type="dxa" w:w="360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b/>
                <w:bCs/>
                <w:color w:val="1F4E79"/>
                <w:sz w:val="20"/>
                <w:szCs w:val="20"/>
              </w:rPr>
              <w:t xml:space="preserve">How are you managing API costs? What is your estimated budget?</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I'm using samples rather than full datasets — 200 examples for TriviaQA, 100 for CNN/DailyMail (long inputs), and 300 for GSM8K. Each experiment also saves results to disk, so I never re-run a completed prompt. I'll set hard daily spend limits via the Anthropic dashboard.</w:t>
            </w:r>
          </w:p>
        </w:tc>
      </w:tr>
      <w:tr>
        <w:tc>
          <w:tcPr>
            <w:tcW w:type="dxa" w:w="360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b/>
                <w:bCs/>
                <w:color w:val="1F4E79"/>
                <w:sz w:val="20"/>
                <w:szCs w:val="20"/>
              </w:rPr>
              <w:t xml:space="preserve">Why these three datasets? What justifies the selection?</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They are the established benchmarks in NLP for exactly these three cognitive tasks: factual recall (TriviaQA), abstractive summarisation (CNN/DailyMail), and multi-step reasoning (GSM8K). They are openly licensed, widely used in the literature, and represent genuinely different cognitive demands — which is the point.</w:t>
            </w:r>
          </w:p>
        </w:tc>
      </w:tr>
      <w:tr>
        <w:tc>
          <w:tcPr>
            <w:tcW w:type="dxa" w:w="360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b/>
                <w:bCs/>
                <w:color w:val="1F4E79"/>
                <w:sz w:val="20"/>
                <w:szCs w:val="20"/>
              </w:rPr>
              <w:t xml:space="preserve">What is the original contribution here? Isn't this just running experiments?</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Three things make this a contribution: (1) no existing study evaluates all three techniques across all three task types using a single reproducible framework; (2) the cost-efficiency dimension is novel — most studies report accuracy only; (3) PEEF itself is an open, extensible toolkit, not a one-off script. The guidelines produced are directly applicable to practitioners.</w:t>
            </w:r>
          </w:p>
        </w:tc>
      </w:tr>
      <w:tr>
        <w:tc>
          <w:tcPr>
            <w:tcW w:type="dxa" w:w="360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b/>
                <w:bCs/>
                <w:color w:val="1F4E79"/>
                <w:sz w:val="20"/>
                <w:szCs w:val="20"/>
              </w:rPr>
              <w:t xml:space="preserve">How will you ensure reproducibility?</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Every experiment run is defined by a YAML config specifying dataset, technique, n-shot, model version, temperature, and random seed. Outputs include the full prompt, model response, score, and timestamp. Anyone with the config and API access can reproduce any result exactly.</w:t>
            </w:r>
          </w:p>
        </w:tc>
      </w:tr>
      <w:tr>
        <w:tc>
          <w:tcPr>
            <w:tcW w:type="dxa" w:w="360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b/>
                <w:bCs/>
                <w:color w:val="1F4E79"/>
                <w:sz w:val="20"/>
                <w:szCs w:val="20"/>
              </w:rPr>
              <w:t xml:space="preserve">Why Wilcoxon signed-rank tests? Why not a t-test?</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Wilcoxon is non-parametric — it makes no assumption about the distribution of scores, which is appropriate here since per-example scores (0 or 1 for exact match) are not normally distributed. It is the more conservative, rigorous choice for this type of evaluation data.</w:t>
            </w:r>
          </w:p>
        </w:tc>
      </w:tr>
      <w:tr>
        <w:tc>
          <w:tcPr>
            <w:tcW w:type="dxa" w:w="360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b/>
                <w:bCs/>
                <w:color w:val="1F4E79"/>
                <w:sz w:val="20"/>
                <w:szCs w:val="20"/>
              </w:rPr>
              <w:t xml:space="preserve">What is your fallback if Claude API access is disrupted?</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First, all completed results are saved to disk and not lost. Second, the framework is modular — swapping in a different API (e.g., GPT-4 or Gemini) requires changing only the API client wrapper, not the evaluation logic. Third, I have a backup of pre-run results from pilot experiments.</w:t>
            </w:r>
          </w:p>
        </w:tc>
      </w:tr>
      <w:tr>
        <w:tc>
          <w:tcPr>
            <w:tcW w:type="dxa" w:w="360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b/>
                <w:bCs/>
                <w:color w:val="1F4E79"/>
                <w:sz w:val="20"/>
                <w:szCs w:val="20"/>
              </w:rPr>
              <w:t xml:space="preserve">Have you considered prompt sensitivity / robustness?</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Yes — Requirement R9 is a prompt sensitivity module that tests how outputs change with small wording variations. It is marked as desirable rather than essential, and will be built after the core experiments if the timeline allows.</w:t>
            </w:r>
          </w:p>
        </w:tc>
      </w:tr>
      <w:tr>
        <w:tc>
          <w:tcPr>
            <w:tcW w:type="dxa" w:w="360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b/>
                <w:bCs/>
                <w:color w:val="1F4E79"/>
                <w:sz w:val="20"/>
                <w:szCs w:val="20"/>
              </w:rPr>
              <w:t xml:space="preserve">What are the main limitations of this study?</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Three honest limitations: (1) results are specific to Claude — generalisability to other models is not tested; (2) sample sizes are limited by cost; (3) I'm using existing benchmark datasets, not real-world tasks, which limits ecological validity. All three will be discussed in the dissertation.</w:t>
            </w:r>
          </w:p>
        </w:tc>
      </w:tr>
      <w:tr>
        <w:tc>
          <w:tcPr>
            <w:tcW w:type="dxa" w:w="360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b/>
                <w:bCs/>
                <w:color w:val="1F4E79"/>
                <w:sz w:val="20"/>
                <w:szCs w:val="20"/>
              </w:rPr>
              <w:t xml:space="preserve">Self-consistency is listed as a desirable extension. Why not essential?</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0"/>
                <w:szCs w:val="20"/>
              </w:rPr>
              <w:t xml:space="preserve">Self-consistency requires sampling multiple chains and selecting by majority vote — it multiplies API cost significantly. Including it as essential would blow the budget and timeline. It is included as R10 to show awareness of the technique, and will be explored if core work completes ahead of schedule.</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6. Key Risks to Be Aware Of</w:t>
      </w:r>
    </w:p>
    <w:p>
      <w:pPr>
        <w:pStyle w:val="ListParagraph"/>
        <w:numPr>
          <w:ilvl w:val="0"/>
          <w:numId w:val="2"/>
        </w:numPr>
        <w:spacing w:after="40" w:before="40"/>
      </w:pPr>
      <w:r>
        <w:rPr>
          <w:rFonts w:ascii="Arial" w:cs="Arial" w:eastAsia="Arial" w:hAnsi="Arial"/>
          <w:color w:val="404040"/>
          <w:sz w:val="22"/>
          <w:szCs w:val="22"/>
        </w:rPr>
        <w:t xml:space="preserve">API cost overrun → mitigated by sample sizing, deduplication, and daily spend caps</w:t>
      </w:r>
    </w:p>
    <w:p>
      <w:pPr>
        <w:pStyle w:val="ListParagraph"/>
        <w:numPr>
          <w:ilvl w:val="0"/>
          <w:numId w:val="2"/>
        </w:numPr>
        <w:spacing w:after="40" w:before="40"/>
      </w:pPr>
      <w:r>
        <w:rPr>
          <w:rFonts w:ascii="Arial" w:cs="Arial" w:eastAsia="Arial" w:hAnsi="Arial"/>
          <w:color w:val="404040"/>
          <w:sz w:val="22"/>
          <w:szCs w:val="22"/>
        </w:rPr>
        <w:t xml:space="preserve">API rate limits / downtime → mitigated by exponential back-off and result caching</w:t>
      </w:r>
    </w:p>
    <w:p>
      <w:pPr>
        <w:pStyle w:val="ListParagraph"/>
        <w:numPr>
          <w:ilvl w:val="0"/>
          <w:numId w:val="2"/>
        </w:numPr>
        <w:spacing w:after="40" w:before="40"/>
      </w:pPr>
      <w:r>
        <w:rPr>
          <w:rFonts w:ascii="Arial" w:cs="Arial" w:eastAsia="Arial" w:hAnsi="Arial"/>
          <w:color w:val="404040"/>
          <w:sz w:val="22"/>
          <w:szCs w:val="22"/>
        </w:rPr>
        <w:t xml:space="preserve">ROUGE limitations for summarisation → mitigated by also using BERTScore (semantic)</w:t>
      </w:r>
    </w:p>
    <w:p>
      <w:pPr>
        <w:pStyle w:val="ListParagraph"/>
        <w:numPr>
          <w:ilvl w:val="0"/>
          <w:numId w:val="2"/>
        </w:numPr>
        <w:spacing w:after="40" w:before="40"/>
      </w:pPr>
      <w:r>
        <w:rPr>
          <w:rFonts w:ascii="Arial" w:cs="Arial" w:eastAsia="Arial" w:hAnsi="Arial"/>
          <w:color w:val="404040"/>
          <w:sz w:val="22"/>
          <w:szCs w:val="22"/>
        </w:rPr>
        <w:t xml:space="preserve">Writing time pressure → mitigated by writing from Week 6, not after experiments</w:t>
      </w:r>
    </w:p>
    <w:p>
      <w:pPr>
        <w:pStyle w:val="ListParagraph"/>
        <w:numPr>
          <w:ilvl w:val="0"/>
          <w:numId w:val="2"/>
        </w:numPr>
        <w:spacing w:after="40" w:before="40"/>
      </w:pPr>
      <w:r>
        <w:rPr>
          <w:rFonts w:ascii="Arial" w:cs="Arial" w:eastAsia="Arial" w:hAnsi="Arial"/>
          <w:color w:val="404040"/>
          <w:sz w:val="22"/>
          <w:szCs w:val="22"/>
        </w:rPr>
        <w:t xml:space="preserve">Scope creep → all desirable requirements (R7–R10) have explicit fallback plans</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7. Questions to Raise with Supervisor</w:t>
      </w:r>
    </w:p>
    <w:p>
      <w:pPr>
        <w:pStyle w:val="ListParagraph"/>
        <w:numPr>
          <w:ilvl w:val="0"/>
          <w:numId w:val="2"/>
        </w:numPr>
        <w:spacing w:after="40" w:before="40"/>
      </w:pPr>
      <w:r>
        <w:rPr>
          <w:rFonts w:ascii="Arial" w:cs="Arial" w:eastAsia="Arial" w:hAnsi="Arial"/>
          <w:color w:val="404040"/>
          <w:sz w:val="22"/>
          <w:szCs w:val="22"/>
        </w:rPr>
        <w:t xml:space="preserve">Is the sample size per dataset sufficient for statistical validity (200/100/300)?</w:t>
      </w:r>
    </w:p>
    <w:p>
      <w:pPr>
        <w:pStyle w:val="ListParagraph"/>
        <w:numPr>
          <w:ilvl w:val="0"/>
          <w:numId w:val="2"/>
        </w:numPr>
        <w:spacing w:after="40" w:before="40"/>
      </w:pPr>
      <w:r>
        <w:rPr>
          <w:rFonts w:ascii="Arial" w:cs="Arial" w:eastAsia="Arial" w:hAnsi="Arial"/>
          <w:color w:val="404040"/>
          <w:sz w:val="22"/>
          <w:szCs w:val="22"/>
        </w:rPr>
        <w:t xml:space="preserve">Should temperature be a fixed variable (e.g., 0.0 for reproducibility) or a parameter?</w:t>
      </w:r>
    </w:p>
    <w:p>
      <w:pPr>
        <w:pStyle w:val="ListParagraph"/>
        <w:numPr>
          <w:ilvl w:val="0"/>
          <w:numId w:val="2"/>
        </w:numPr>
        <w:spacing w:after="40" w:before="40"/>
      </w:pPr>
      <w:r>
        <w:rPr>
          <w:rFonts w:ascii="Arial" w:cs="Arial" w:eastAsia="Arial" w:hAnsi="Arial"/>
          <w:color w:val="404040"/>
          <w:sz w:val="22"/>
          <w:szCs w:val="22"/>
        </w:rPr>
        <w:t xml:space="preserve">Any preference on the dissertation structure — does the framework chapter precede or follow the literature review?</w:t>
      </w:r>
    </w:p>
    <w:p>
      <w:pPr>
        <w:pStyle w:val="ListParagraph"/>
        <w:numPr>
          <w:ilvl w:val="0"/>
          <w:numId w:val="2"/>
        </w:numPr>
        <w:spacing w:after="40" w:before="40"/>
      </w:pPr>
      <w:r>
        <w:rPr>
          <w:rFonts w:ascii="Arial" w:cs="Arial" w:eastAsia="Arial" w:hAnsi="Arial"/>
          <w:color w:val="404040"/>
          <w:sz w:val="22"/>
          <w:szCs w:val="22"/>
        </w:rPr>
        <w:t xml:space="preserve">Is it acceptable to use Claude 3.5 Sonnet as the primary model, or should I justify the specific version?</w:t>
      </w:r>
    </w:p>
    <w:p>
      <w:pPr>
        <w:pStyle w:val="ListParagraph"/>
        <w:numPr>
          <w:ilvl w:val="0"/>
          <w:numId w:val="2"/>
        </w:numPr>
        <w:spacing w:after="40" w:before="40"/>
      </w:pPr>
      <w:r>
        <w:rPr>
          <w:rFonts w:ascii="Arial" w:cs="Arial" w:eastAsia="Arial" w:hAnsi="Arial"/>
          <w:color w:val="404040"/>
          <w:sz w:val="22"/>
          <w:szCs w:val="22"/>
        </w:rPr>
        <w:t xml:space="preserve">Any recommended papers I should add to Section 3 of the proposal?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6"/>
        <w:szCs w:val="16"/>
      </w:rPr>
      <w:t xml:space="preserve">Varun  |  University of Liverpool  |  Supervisor: Achilleas Koufonikos</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95959"/>
        <w:sz w:val="18"/>
        <w:szCs w:val="18"/>
      </w:rPr>
      <w:t xml:space="preserve">Supervisor Meeting Prep  |  COMP702 Dissertation</w:t>
    </w:r>
    <w:r>
      <w:rPr>
        <w:rFonts w:ascii="Arial" w:cs="Arial" w:eastAsia="Arial" w:hAnsi="Arial"/>
        <w:color w:val="595959"/>
        <w:sz w:val="18"/>
        <w:szCs w:val="18"/>
      </w:rPr>
      <w:t xml:space="preserve">	11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2026-06-10T12:26:49.757Z</dcterms:created>
  <dcterms:modified xsi:type="dcterms:W3CDTF">2026-06-10T12:26:49.758Z</dcterms:modified>
</cp:coreProperties>
</file>

<file path=docProps/custom.xml><?xml version="1.0" encoding="utf-8"?>
<Properties xmlns="http://schemas.openxmlformats.org/officeDocument/2006/custom-properties" xmlns:vt="http://schemas.openxmlformats.org/officeDocument/2006/docPropsVTypes"/>
</file>