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r>
        <w:rPr/>
        <w:t>16 — Extension Pack (V3.0)</w:t>
      </w:r>
    </w:p>
    <w:p>
      <w:pPr/>
      <w:r>
        <w:t>V3.0 refresh — October 20, 2026. This document is part of the reorganized implementation-ready project pack. Historical decision notes are retained where they explain how the current baseline was reached.</w:t>
      </w:r>
    </w:p>
    <w:p>
      <w:r/>
      <w:r>
        <w:rPr/>
        <w:t>Revision note (V3.0): the pre-implementation freeze correction pass adds the Q08 workflow-engine design detail and corrects the stale Extension Pack cross-reference in 15_Future_Roadmap.docx. This note records the current pack revision at the top of the file; no other content is intentionally trimmed or condensed.</w:t>
      </w:r>
    </w:p>
    <w:bookmarkStart w:id="37" w:name="extension-pack-v2.3"/>
    <w:p>
      <w:r>
        <w:t>Revision note (V2.4): the technology baseline was re-verified for the October 1, 2026 pre-implementation freeze. Windows App SDK is now specified as the 2.5.x Stable line, with the exact patch to be pinned during Phase 0. The Windows SDK 10.0.26100.x line remains the project baseline; newer SDK lines require explicit evaluation. No other content is intentionally trimmed or condensed.</w:t>
      </w:r>
    </w:p>
    <w:p>
      <w:pPr>
        <w:pStyle w:val="FirstParagraph"/>
      </w:pPr>
      <w:r>
        <w:rPr>
          <w:iCs/>
          <w:i/>
        </w:rPr>
        <w:t xml:space="preserve">Windows 11 Modular Command-Palette / Launcher • Personal project • ChatGPT vibe-coding</w:t>
      </w:r>
    </w:p>
    <w:p>
      <w:pPr>
        <w:pStyle w:val="BodyText"/>
      </w:pPr>
      <w:r>
        <w:rPr>
          <w:bCs/>
          <w:b/>
        </w:rPr>
        <w:t xml:space="preserve">Revision note (V2.2):</w:t>
      </w:r>
      <w:r>
        <w:t xml:space="preserve"> §3’s repository structure is corrected to point at the Implementation Specification’s authoritative solution layout, and §3a is added to clarify that “ADR” means an entry in </w:t>
      </w:r>
      <w:r>
        <w:rPr>
          <w:rStyle w:val="VerbatimChar"/>
        </w:rPr>
        <w:t xml:space="preserve">DECISIONS.md</w:t>
      </w:r>
      <w:r>
        <w:t xml:space="preserve">. No other content in this file was changed, trimmed, or condensed.</w:t>
      </w:r>
    </w:p>
    <w:p>
      <w:pPr>
        <w:pStyle w:val="BodyText"/>
      </w:pPr>
      <w:r>
        <w:t>Revision note (V2.3): §5’s new-chat prompt skeleton now includes the pinned technology baseline (.NET 10, Windows App SDK 2.5.x Stable, C# 14) as a standing constraint, matching the baseline added to 00_PROJECT_CONSTITUTION.docx. No other content in this file was changed, trimmed, or condensed.</w:t>
      </w:r>
    </w:p>
    <w:p>
      <w:pPr>
        <w:pStyle w:val="BodyText"/>
      </w:pPr>
      <w:r/>
      <w:r>
        <w:rPr>
          <w:bCs/>
          <w:b/>
        </w:rPr>
      </w:r>
      <w:r/>
      <w:r>
        <w:rPr>
          <w:rStyle w:val="VerbatimChar"/>
        </w:rPr>
      </w:r>
      <w:r/>
      <w:r>
        <w:rPr>
          <w:rStyle w:val="VerbatimChar"/>
        </w:rPr>
      </w:r>
      <w:r/>
      <w:r>
        <w:rPr/>
      </w:r>
      <w:r>
        <w:rPr/>
      </w:r>
      <w:r>
        <w:rPr/>
        <w:t>This file extends the core project pack (00–14 + root templates). It does not replace or restate anything already covered there — where the core pack already defines something, this file is silent on it. Everything below is either a gap found when comparing the core pack against the earlier package, or a gap found when comparing this solo project against what a full team would additionally have in place.</w:t>
      </w:r>
    </w:p>
    <w:p>
      <w:pPr>
        <w:pStyle w:val="BodyText"/>
      </w:pPr>
      <w:r>
        <w:t>Scope note: nothing in this file reopens the historical deferred items (plugin marketplace, plugin signing, plugin sandboxing — all explicitly pushed to post-Phase-10). Two sections below use similar-sounding language to those deferred items; each says explicitly how it differs and why it’s still in scope. See §11 (application code signing) and §6b (plugin trust lifecycle) for the disambiguation.</w:t>
      </w:r>
    </w:p>
    <w:bookmarkStart w:id="20" w:name="code-commenting-standard"/>
    <w:p>
      <w:pPr>
        <w:pStyle w:val="Heading2"/>
      </w:pPr>
      <w:r>
        <w:t xml:space="preserve">1. Code commenting standard</w:t>
      </w:r>
    </w:p>
    <w:p>
      <w:pPr>
        <w:pStyle w:val="FirstParagraph"/>
      </w:pPr>
      <w:r>
        <w:t xml:space="preserve">All ChatGPT-generated code is commented the way official Microsoft sample code is — legible to someone who didn’t write it, without needing to run it first.</w:t>
      </w:r>
    </w:p>
    <w:p>
      <w:pPr>
        <w:numPr>
          <w:ilvl w:val="0"/>
          <w:numId w:val="1001"/>
        </w:numPr>
        <w:pStyle w:val="Compact"/>
      </w:pPr>
      <w:r>
        <w:rPr>
          <w:bCs/>
          <w:b/>
        </w:rPr>
        <w:t xml:space="preserve">Every public type and member</w:t>
      </w:r>
      <w:r>
        <w:t xml:space="preserve"> gets an XML doc comment (</w:t>
      </w:r>
      <w:r>
        <w:rPr>
          <w:rStyle w:val="VerbatimChar"/>
        </w:rPr>
        <w:t xml:space="preserve">/// &lt;summary&gt;...&lt;/summary&gt;</w:t>
      </w:r>
      <w:r>
        <w:t xml:space="preserve">) describing what it is and </w:t>
      </w:r>
      <w:r>
        <w:rPr>
          <w:iCs/>
          <w:i/>
        </w:rPr>
        <w:t xml:space="preserve">why</w:t>
      </w:r>
      <w:r>
        <w:t xml:space="preserve"> it exists, not just restating its name.</w:t>
      </w:r>
    </w:p>
    <w:p>
      <w:pPr>
        <w:numPr>
          <w:ilvl w:val="0"/>
          <w:numId w:val="1001"/>
        </w:numPr>
        <w:pStyle w:val="Compact"/>
      </w:pPr>
      <w:r>
        <w:rPr>
          <w:bCs/>
          <w:b/>
        </w:rPr>
        <w:t xml:space="preserve">Every public method</w:t>
      </w:r>
      <w:r>
        <w:t xml:space="preserve"> documents its parameters (</w:t>
      </w:r>
      <w:r>
        <w:rPr>
          <w:rStyle w:val="VerbatimChar"/>
        </w:rPr>
        <w:t xml:space="preserve">/// &lt;param&gt;</w:t>
      </w:r>
      <w:r>
        <w:t xml:space="preserve">), return value (</w:t>
      </w:r>
      <w:r>
        <w:rPr>
          <w:rStyle w:val="VerbatimChar"/>
        </w:rPr>
        <w:t xml:space="preserve">/// &lt;returns&gt;</w:t>
      </w:r>
      <w:r>
        <w:t xml:space="preserve">), and any exceptions it can throw (</w:t>
      </w:r>
      <w:r>
        <w:rPr>
          <w:rStyle w:val="VerbatimChar"/>
        </w:rPr>
        <w:t xml:space="preserve">/// &lt;exception&gt;</w:t>
      </w:r>
      <w:r>
        <w:t xml:space="preserve">).</w:t>
      </w:r>
    </w:p>
    <w:p>
      <w:pPr>
        <w:numPr>
          <w:ilvl w:val="0"/>
          <w:numId w:val="1001"/>
        </w:numPr>
        <w:pStyle w:val="Compact"/>
      </w:pPr>
      <w:r>
        <w:rPr>
          <w:bCs/>
          <w:b/>
        </w:rPr>
        <w:t xml:space="preserve">Every non-obvious block</w:t>
      </w:r>
      <w:r>
        <w:t xml:space="preserve"> gets an inline comment explaining </w:t>
      </w:r>
      <w:r>
        <w:rPr>
          <w:iCs/>
          <w:i/>
        </w:rPr>
        <w:t xml:space="preserve">why</w:t>
      </w:r>
      <w:r>
        <w:t xml:space="preserve">, not </w:t>
      </w:r>
      <w:r>
        <w:rPr>
          <w:iCs/>
          <w:i/>
        </w:rPr>
        <w:t xml:space="preserve">what</w:t>
      </w:r>
      <w:r>
        <w:t xml:space="preserve"> — the code already shows what; the comment earns its place by explaining the reasoning, the Windows-specific quirk, or the edge case being handled.</w:t>
      </w:r>
    </w:p>
    <w:p>
      <w:pPr>
        <w:numPr>
          <w:ilvl w:val="0"/>
          <w:numId w:val="1001"/>
        </w:numPr>
        <w:pStyle w:val="Compact"/>
      </w:pPr>
      <w:r>
        <w:rPr>
          <w:bCs/>
          <w:b/>
        </w:rPr>
        <w:t xml:space="preserve">File-level or class-level header comments</w:t>
      </w:r>
      <w:r>
        <w:t xml:space="preserve"> for anything implementing a contract, naming which contract it implements and any deliberate deviation from the obvious approach.</w:t>
      </w:r>
    </w:p>
    <w:p>
      <w:pPr>
        <w:numPr>
          <w:ilvl w:val="0"/>
          <w:numId w:val="1001"/>
        </w:numPr>
        <w:pStyle w:val="Compact"/>
      </w:pPr>
      <w:r>
        <w:t xml:space="preserve">No commented-out dead code left in — if it’s not needed, it’s deleted, not commented out “just in case.”</w:t>
      </w:r>
    </w:p>
    <w:p>
      <w:pPr>
        <w:pStyle w:val="FirstParagraph"/>
      </w:pPr>
      <w:r>
        <w:rPr>
          <w:bCs/>
          <w:b/>
        </w:rPr>
        <w:t xml:space="preserve">Worked example (the standard to hold ChatGPT’s output to):</w:t>
      </w:r>
    </w:p>
    <w:p>
      <w:pPr>
        <w:pStyle w:val="SourceCode"/>
      </w:pPr>
      <w:r>
        <w:t>/// &lt;summary&gt;</w:t>
        <w:br/>
        <w:t>/// Resolves raw user input into a routed query the search coordinator can dispatch.</w:t>
        <w:br/>
        <w:t>/// Handles both long-form prefixes (e.g. "app:") and single-character symbol</w:t>
        <w:br/>
        <w:t>/// aliases (e.g. "/") by looking them up against the shared PrefixRegistry,</w:t>
        <w:br/>
        <w:t>/// so both forms always resolve identically.</w:t>
        <w:br/>
        <w:t>/// &lt;/summary&gt;</w:t>
        <w:br/>
        <w:t>/// &lt;param name="rawInput"&gt;The unmodified text currently in the command bar.&lt;/param&gt;</w:t>
        <w:br/>
        <w:t>/// &lt;returns&gt;</w:t>
        <w:br/>
        <w:t>/// A &lt;see cref="ParsedQuery"/&gt; with the resolved provider id and the remaining</w:t>
        <w:br/>
        <w:t>/// query text. If no prefix is recognized, ProviderId is null and the full</w:t>
        <w:br/>
        <w:t>/// input is treated as a global search — this is intentional, not an error case.</w:t>
        <w:br/>
        <w:t>/// &lt;/returns&gt;</w:t>
        <w:br/>
        <w:t>public ParsedQuery Parse(string rawInput)</w:t>
        <w:br/>
        <w:t>{</w:t>
        <w:br/>
        <w:t xml:space="preserve">    // Symbol aliases are checked before text prefixes because they're a single</w:t>
        <w:br/>
        <w:t xml:space="preserve">    // character and would otherwise be shadowed by a text prefix sharing the</w:t>
        <w:br/>
        <w:t xml:space="preserve">    // same first letter (e.g. "@" for AI vs. "app:").</w:t>
        <w:br/>
        <w:t xml:space="preserve">    if (TryMatchSymbolAlias(rawInput, out var symbolMatch))</w:t>
        <w:br/>
        <w:t xml:space="preserve">    {</w:t>
        <w:br/>
        <w:t xml:space="preserve">        return symbolMatch;</w:t>
        <w:br/>
        <w:t xml:space="preserve">    }</w:t>
        <w:br/>
        <w:br/>
        <w:t xml:space="preserve">    // Text prefixes are case-insensitive by design (see 04_Project_Overview §7) —</w:t>
        <w:br/>
        <w:t xml:space="preserve">    // "APP:", "app:", and "App:" must all resolve identically.</w:t>
        <w:br/>
        <w:t xml:space="preserve">    ...</w:t>
        <w:br/>
        <w:t>}</w:t>
      </w:r>
    </w:p>
    <w:p>
      <w:pPr>
        <w:numPr>
          <w:ilvl w:val="0"/>
          <w:numId w:val="1002"/>
        </w:numPr>
        <w:pStyle w:val="Compact"/>
      </w:pPr>
      <w:r>
        <w:rPr>
          <w:bCs/>
          <w:b/>
        </w:rPr>
        <w:t xml:space="preserve">Rule for every new-chat prompt (see §5):</w:t>
      </w:r>
      <w:r>
        <w:t xml:space="preserve"> include “comment code the way official Microsoft sample code is commented — XML doc comments on every public member, inline comments explaining </w:t>
      </w:r>
      <w:r>
        <w:rPr>
          <w:iCs/>
          <w:i/>
        </w:rPr>
        <w:t xml:space="preserve">why</w:t>
      </w:r>
      <w:r>
        <w:t xml:space="preserve"> not </w:t>
      </w:r>
      <w:r>
        <w:rPr>
          <w:iCs/>
          <w:i/>
        </w:rPr>
        <w:t xml:space="preserve">what</w:t>
      </w:r>
      <w:r>
        <w:t xml:space="preserve">” as a standing instruction, not something you have to remember to ask for each time.</w:t>
      </w:r>
    </w:p>
    <w:bookmarkEnd w:id="20"/>
    <w:bookmarkStart w:id="22" w:name="git-version-control-workflow"/>
    <w:p>
      <w:pPr>
        <w:pStyle w:val="Heading2"/>
      </w:pPr>
      <w:r>
        <w:t xml:space="preserve">2. Git &amp; version-control workflow</w:t>
      </w:r>
    </w:p>
    <w:p>
      <w:pPr>
        <w:pStyle w:val="FirstParagraph"/>
      </w:pPr>
      <w:r>
        <w:t xml:space="preserve">V2 introduced a “rollback point” field in </w:t>
      </w:r>
      <w:r>
        <w:rPr>
          <w:rStyle w:val="VerbatimChar"/>
        </w:rPr>
        <w:t xml:space="preserve">PROJECT_STATE.md</w:t>
      </w:r>
      <w:r>
        <w:t xml:space="preserve"> and </w:t>
      </w:r>
      <w:r>
        <w:rPr>
          <w:rStyle w:val="VerbatimChar"/>
        </w:rPr>
        <w:t xml:space="preserve">PHASE_STATUS.md</w:t>
      </w:r>
      <w:r>
        <w:t xml:space="preserve"> but never defined the mechanism behind it. This section is that mechanism.</w:t>
      </w:r>
    </w:p>
    <w:p>
      <w:pPr>
        <w:numPr>
          <w:ilvl w:val="0"/>
          <w:numId w:val="1003"/>
        </w:numPr>
        <w:pStyle w:val="Compact"/>
      </w:pPr>
      <w:r>
        <w:rPr>
          <w:bCs/>
          <w:b/>
        </w:rPr>
        <w:t xml:space="preserve">Branch per phase:</w:t>
      </w:r>
      <w:r>
        <w:t xml:space="preserve"> </w:t>
      </w:r>
      <w:r>
        <w:rPr>
          <w:rStyle w:val="VerbatimChar"/>
        </w:rPr>
        <w:t xml:space="preserve">phase-4-providers</w:t>
      </w:r>
      <w:r>
        <w:t xml:space="preserve">, </w:t>
      </w:r>
      <w:r>
        <w:rPr>
          <w:rStyle w:val="VerbatimChar"/>
        </w:rPr>
        <w:t xml:space="preserve">phase-7-plugin-isolation</w:t>
      </w:r>
      <w:r>
        <w:t xml:space="preserve">, etc. Merge to </w:t>
      </w:r>
      <w:r>
        <w:rPr>
          <w:rStyle w:val="VerbatimChar"/>
        </w:rPr>
        <w:t xml:space="preserve">main</w:t>
      </w:r>
      <w:r>
        <w:t xml:space="preserve"> only once that phase’s exit gate (from </w:t>
      </w:r>
      <w:r>
        <w:rPr>
          <w:rStyle w:val="VerbatimChar"/>
        </w:rPr>
        <w:t xml:space="preserve">01_Project_Roadmap.md</w:t>
      </w:r>
      <w:r>
        <w:t xml:space="preserve">) has actually passed.</w:t>
      </w:r>
    </w:p>
    <w:p>
      <w:pPr>
        <w:numPr>
          <w:ilvl w:val="0"/>
          <w:numId w:val="1003"/>
        </w:numPr>
        <w:pStyle w:val="Compact"/>
      </w:pPr>
      <w:r>
        <w:rPr>
          <w:bCs/>
          <w:b/>
        </w:rPr>
        <w:t xml:space="preserve">Commit per cleared quest, not per phase:</w:t>
      </w:r>
      <w:r>
        <w:t xml:space="preserve"> small, reviewable commits. A commit message states what changed and which quest/task it closes (e.g. </w:t>
      </w:r>
      <w:r>
        <w:rPr>
          <w:rStyle w:val="VerbatimChar"/>
        </w:rPr>
        <w:t xml:space="preserve">Q05: application provider launches via shell API, caches Start Menu scan</w:t>
      </w:r>
      <w:r>
        <w:t xml:space="preserve">).</w:t>
      </w:r>
    </w:p>
    <w:p>
      <w:pPr>
        <w:numPr>
          <w:ilvl w:val="0"/>
          <w:numId w:val="1003"/>
        </w:numPr>
        <w:pStyle w:val="Compact"/>
      </w:pPr>
      <w:r>
        <w:rPr>
          <w:bCs/>
          <w:b/>
        </w:rPr>
        <w:t xml:space="preserve">Tag every passed exit gate:</w:t>
      </w:r>
      <w:r>
        <w:t xml:space="preserve"> </w:t>
      </w:r>
      <w:r>
        <w:rPr>
          <w:rStyle w:val="VerbatimChar"/>
        </w:rPr>
        <w:t xml:space="preserve">phase-4-complete</w:t>
      </w:r>
      <w:r>
        <w:t xml:space="preserve">, </w:t>
      </w:r>
      <w:r>
        <w:rPr>
          <w:rStyle w:val="VerbatimChar"/>
        </w:rPr>
        <w:t xml:space="preserve">phase-7-complete</w:t>
      </w:r>
      <w:r>
        <w:t xml:space="preserve">. This tag </w:t>
      </w:r>
      <w:r>
        <w:rPr>
          <w:iCs/>
          <w:i/>
        </w:rPr>
        <w:t xml:space="preserve">is</w:t>
      </w:r>
      <w:r>
        <w:t xml:space="preserve"> the rollback point referenced in the state files — when </w:t>
      </w:r>
      <w:r>
        <w:rPr>
          <w:rStyle w:val="VerbatimChar"/>
        </w:rPr>
        <w:t xml:space="preserve">PROJECT_STATE.md</w:t>
      </w:r>
      <w:r>
        <w:t xml:space="preserve"> says “Rollback point: phase-6-complete,” that’s a literal git tag to check out, not a vague notion.</w:t>
      </w:r>
    </w:p>
    <w:p>
      <w:pPr>
        <w:numPr>
          <w:ilvl w:val="0"/>
          <w:numId w:val="1003"/>
        </w:numPr>
        <w:pStyle w:val="Compact"/>
      </w:pPr>
      <w:r>
        <w:rPr>
          <w:bCs/>
          <w:b/>
        </w:rPr>
        <w:t xml:space="preserve">Rollback rule:</w:t>
      </w:r>
      <w:r>
        <w:t xml:space="preserve"> if a phase’s work turns out broken in a way that’s cheaper to revert than fix, </w:t>
      </w:r>
      <w:r>
        <w:rPr>
          <w:rStyle w:val="VerbatimChar"/>
        </w:rPr>
        <w:t xml:space="preserve">git checkout</w:t>
      </w:r>
      <w:r>
        <w:t xml:space="preserve"> the last passed-gate tag and re-attempt with a narrower task. Don’t patch forward indefinitely against something already going wrong.</w:t>
      </w:r>
    </w:p>
    <w:p>
      <w:pPr>
        <w:numPr>
          <w:ilvl w:val="0"/>
          <w:numId w:val="1003"/>
        </w:numPr>
        <w:pStyle w:val="Compact"/>
      </w:pPr>
      <w:r>
        <w:rPr>
          <w:bCs/>
          <w:b/>
        </w:rPr>
        <w:t xml:space="preserve">Never commit:</w:t>
      </w:r>
      <w:r>
        <w:t xml:space="preserve"> secrets/API keys, local </w:t>
      </w:r>
      <w:r>
        <w:rPr>
          <w:rStyle w:val="VerbatimChar"/>
        </w:rPr>
        <w:t xml:space="preserve">.env</w:t>
      </w:r>
      <w:r>
        <w:t xml:space="preserve"> files, or generated build output. Add these to </w:t>
      </w:r>
      <w:r>
        <w:rPr>
          <w:rStyle w:val="VerbatimChar"/>
        </w:rPr>
        <w:t xml:space="preserve">.gitignore</w:t>
      </w:r>
      <w:r>
        <w:t xml:space="preserve"> in Phase 0, not retroactively.</w:t>
      </w:r>
    </w:p>
    <w:p>
      <w:pPr>
        <w:numPr>
          <w:ilvl w:val="0"/>
          <w:numId w:val="1003"/>
        </w:numPr>
        <w:pStyle w:val="Compact"/>
      </w:pPr>
      <w:r>
        <w:rPr>
          <w:bCs/>
          <w:b/>
        </w:rPr>
        <w:t xml:space="preserve">Before every commit:</w:t>
      </w:r>
      <w:r>
        <w:t xml:space="preserve"> run the local pre-commit check (§ below) — build succeeds, and the regression list from </w:t>
      </w:r>
      <w:r>
        <w:rPr>
          <w:rStyle w:val="VerbatimChar"/>
        </w:rPr>
        <w:t xml:space="preserve">02_Project_Progression.md</w:t>
      </w:r>
      <w:r>
        <w:t xml:space="preserve"> still passes.</w:t>
      </w:r>
    </w:p>
    <w:bookmarkStart w:id="21" w:name="X74c7b8e3f2ddae422ac1e7a866b201da3295741"/>
    <w:p>
      <w:pPr>
        <w:pStyle w:val="Heading3"/>
      </w:pPr>
      <w:r>
        <w:t xml:space="preserve">Local pre-commit check (your solo substitute for CI)</w:t>
      </w:r>
    </w:p>
    <w:p>
      <w:pPr>
        <w:pStyle w:val="FirstParagraph"/>
      </w:pPr>
      <w:r>
        <w:t xml:space="preserve">A real team would have a CI pipeline auto-build and auto-test every push. You don’t need the automation, but you do need the discipline:</w:t>
      </w:r>
    </w:p>
    <w:p>
      <w:pPr>
        <w:pStyle w:val="SourceCode"/>
      </w:pPr>
      <w:r>
        <w:rPr>
          <w:rStyle w:val="VerbatimChar"/>
        </w:rPr>
        <w:t xml:space="preserve">Before every commit:</w:t>
      </w:r>
      <w:r>
        <w:br/>
      </w:r>
      <w:r>
        <w:rPr>
          <w:rStyle w:val="VerbatimChar"/>
        </w:rPr>
        <w:t xml:space="preserve">1. Build in Release configuration (not just Debug in the IDE)</w:t>
      </w:r>
      <w:r>
        <w:br/>
      </w:r>
      <w:r>
        <w:rPr>
          <w:rStyle w:val="VerbatimChar"/>
        </w:rPr>
        <w:t xml:space="preserve">2. Run the automated test suite for anything it covers</w:t>
      </w:r>
      <w:r>
        <w:br/>
      </w:r>
      <w:r>
        <w:rPr>
          <w:rStyle w:val="VerbatimChar"/>
        </w:rPr>
        <w:t xml:space="preserve">3. Manually walk the regression list (02_Project_Progression.md)</w:t>
      </w:r>
      <w:r>
        <w:br/>
      </w:r>
      <w:r>
        <w:rPr>
          <w:rStyle w:val="VerbatimChar"/>
        </w:rPr>
        <w:t xml:space="preserve">4. Confirm no secrets are staged (git diff --staged, eyeball it)</w:t>
      </w:r>
    </w:p>
    <w:p>
      <w:pPr>
        <w:pStyle w:val="FirstParagraph"/>
      </w:pPr>
      <w:r>
        <w:t xml:space="preserve">Keep this as a literal checklist you run, not something you trust yourself to remember under momentum.</w:t>
      </w:r>
    </w:p>
    <w:bookmarkEnd w:id="21"/>
    <w:bookmarkEnd w:id="22"/>
    <w:bookmarkStart w:id="23" w:name="repository-solution-structure"/>
    <w:p>
      <w:pPr>
        <w:pStyle w:val="Heading2"/>
      </w:pPr>
      <w:r>
        <w:t xml:space="preserve">3. Repository &amp; solution structure</w:t>
      </w:r>
    </w:p>
    <w:p>
      <w:pPr>
        <w:pStyle w:val="FirstParagraph"/>
      </w:pPr>
      <w:r>
        <w:t xml:space="preserve">Neither package defined an actual on-disk layout. Without one, every fresh ChatGPT chat improvises its own, and file locations drift phase to phase.</w:t>
      </w:r>
    </w:p>
    <w:p>
      <w:pPr>
        <w:pStyle w:val="BodyText"/>
      </w:pPr>
      <w:r>
        <w:rPr>
          <w:bCs/>
          <w:b/>
        </w:rPr>
        <w:t xml:space="preserve">Correction (superseded):</w:t>
      </w:r>
      <w:r>
        <w:t xml:space="preserve"> the folder tree immediately below was this project’s first pass at a layout, written before a dedicated engineering specification existed. The </w:t>
      </w:r>
      <w:r>
        <w:rPr>
          <w:bCs/>
          <w:b/>
        </w:rPr>
        <w:t xml:space="preserve">Windows11Launcher V2 Implementation Specification</w:t>
      </w:r>
      <w:r>
        <w:t xml:space="preserve">, §3, now defines the authoritative on-disk layout — a proper .NET solution with per-concern class library projects (</w:t>
      </w:r>
      <w:r>
        <w:rPr>
          <w:rStyle w:val="VerbatimChar"/>
        </w:rPr>
        <w:t xml:space="preserve">Launcher.Core</w:t>
      </w:r>
      <w:r>
        <w:t xml:space="preserve">, </w:t>
      </w:r>
      <w:r>
        <w:rPr>
          <w:rStyle w:val="VerbatimChar"/>
        </w:rPr>
        <w:t xml:space="preserve">Launcher.Search</w:t>
      </w:r>
      <w:r>
        <w:t xml:space="preserve">, </w:t>
      </w:r>
      <w:r>
        <w:rPr>
          <w:rStyle w:val="VerbatimChar"/>
        </w:rPr>
        <w:t xml:space="preserve">Launcher.PluginHost</w:t>
      </w:r>
      <w:r>
        <w:t xml:space="preserve">, etc.), a </w:t>
      </w:r>
      <w:r>
        <w:rPr>
          <w:rStyle w:val="VerbatimChar"/>
        </w:rPr>
        <w:t xml:space="preserve">.sln</w:t>
      </w:r>
      <w:r>
        <w:t xml:space="preserve">, and centralized package management via </w:t>
      </w:r>
      <w:r>
        <w:rPr>
          <w:rStyle w:val="VerbatimChar"/>
        </w:rPr>
        <w:t xml:space="preserve">Directory.Build.props</w:t>
      </w:r>
      <w:r>
        <w:t xml:space="preserve"> / </w:t>
      </w:r>
      <w:r>
        <w:rPr>
          <w:rStyle w:val="VerbatimChar"/>
        </w:rPr>
        <w:t xml:space="preserve">Directory.Packages.props</w:t>
      </w:r>
      <w:r>
        <w:t xml:space="preserve">. That structure is idiomatic for a real WinUI/.NET solution in a way this simpler sketch never was, and it should be followed instead. The tree below is kept here only as historical context for how the thinking evolved — do not build against it.</w:t>
      </w:r>
    </w:p>
    <w:p>
      <w:pPr>
        <w:pStyle w:val="SourceCode"/>
      </w:pPr>
      <w:r>
        <w:rPr>
          <w:rStyle w:val="VerbatimChar"/>
        </w:rPr>
        <w:t xml:space="preserve">/src</w:t>
      </w:r>
      <w:r>
        <w:br/>
      </w:r>
      <w:r>
        <w:rPr>
          <w:rStyle w:val="VerbatimChar"/>
        </w:rPr>
        <w:t xml:space="preserve">  /Core                    — lifecycle, hotkey, plugin manager, IPC host, config, logging, readiness coordinator</w:t>
      </w:r>
      <w:r>
        <w:br/>
      </w:r>
      <w:r>
        <w:rPr>
          <w:rStyle w:val="VerbatimChar"/>
        </w:rPr>
        <w:t xml:space="preserve">    /Search                — parser, prefix registry, fuzzy matcher, ranker, aggregator</w:t>
      </w:r>
      <w:r>
        <w:br/>
      </w:r>
      <w:r>
        <w:rPr>
          <w:rStyle w:val="VerbatimChar"/>
        </w:rPr>
        <w:t xml:space="preserve">    /Contracts             — Result, Action, IProvider, IPlugin, permission types (shared)</w:t>
      </w:r>
      <w:r>
        <w:br/>
      </w:r>
      <w:r>
        <w:rPr>
          <w:rStyle w:val="VerbatimChar"/>
        </w:rPr>
        <w:t xml:space="preserve">  /UI</w:t>
      </w:r>
      <w:r>
        <w:br/>
      </w:r>
      <w:r>
        <w:rPr>
          <w:rStyle w:val="VerbatimChar"/>
        </w:rPr>
        <w:t xml:space="preserve">    /ClassicBar             — the default command bar shell</w:t>
      </w:r>
      <w:r>
        <w:br/>
      </w:r>
      <w:r>
        <w:rPr>
          <w:rStyle w:val="VerbatimChar"/>
        </w:rPr>
        <w:t xml:space="preserve">    /Themes</w:t>
      </w:r>
      <w:r>
        <w:br/>
      </w:r>
      <w:r>
        <w:rPr>
          <w:rStyle w:val="VerbatimChar"/>
        </w:rPr>
        <w:t xml:space="preserve">    /Motion                 — activation visual, prefix popup, customization menu, cursor-reactive rail</w:t>
      </w:r>
      <w:r>
        <w:br/>
      </w:r>
      <w:r>
        <w:rPr>
          <w:rStyle w:val="VerbatimChar"/>
        </w:rPr>
        <w:t xml:space="preserve">  /Providers                — in-process providers (Phases 4–6, before plugin isolation)</w:t>
      </w:r>
      <w:r>
        <w:br/>
      </w:r>
      <w:r>
        <w:rPr>
          <w:rStyle w:val="VerbatimChar"/>
        </w:rPr>
        <w:t xml:space="preserve">    /Applications</w:t>
      </w:r>
      <w:r>
        <w:br/>
      </w:r>
      <w:r>
        <w:rPr>
          <w:rStyle w:val="VerbatimChar"/>
        </w:rPr>
        <w:t xml:space="preserve">    /Files</w:t>
      </w:r>
      <w:r>
        <w:br/>
      </w:r>
      <w:r>
        <w:rPr>
          <w:rStyle w:val="VerbatimChar"/>
        </w:rPr>
        <w:t xml:space="preserve">    /Calculator</w:t>
      </w:r>
      <w:r>
        <w:br/>
      </w:r>
      <w:r>
        <w:rPr>
          <w:rStyle w:val="VerbatimChar"/>
        </w:rPr>
        <w:t xml:space="preserve">    /Commands</w:t>
      </w:r>
      <w:r>
        <w:br/>
      </w:r>
      <w:r>
        <w:rPr>
          <w:rStyle w:val="VerbatimChar"/>
        </w:rPr>
        <w:t xml:space="preserve">    /Settings</w:t>
      </w:r>
      <w:r>
        <w:br/>
      </w:r>
      <w:r>
        <w:rPr>
          <w:rStyle w:val="VerbatimChar"/>
        </w:rPr>
        <w:t xml:space="preserve">  /Plugins                  — out-of-process plugins (Phase 7+), one folder per plugin</w:t>
      </w:r>
      <w:r>
        <w:br/>
      </w:r>
      <w:r>
        <w:rPr>
          <w:rStyle w:val="VerbatimChar"/>
        </w:rPr>
        <w:t xml:space="preserve">  /Integrations              — Integration Manager + external-software adapters (Everything, etc.)</w:t>
      </w:r>
      <w:r>
        <w:br/>
      </w:r>
      <w:r>
        <w:rPr>
          <w:rStyle w:val="VerbatimChar"/>
        </w:rPr>
        <w:t xml:space="preserve">  /Security                  — permission checks, risk classification, restricted privileged broker</w:t>
      </w:r>
      <w:r>
        <w:br/>
      </w:r>
      <w:r>
        <w:rPr>
          <w:rStyle w:val="VerbatimChar"/>
        </w:rPr>
        <w:t xml:space="preserve">  /Data</w:t>
      </w:r>
      <w:r>
        <w:br/>
      </w:r>
      <w:r>
        <w:rPr>
          <w:rStyle w:val="VerbatimChar"/>
        </w:rPr>
        <w:t xml:space="preserve">    /Migrations              — SQLite schema migrations, numbered sequentially (see §7)</w:t>
      </w:r>
      <w:r>
        <w:br/>
      </w:r>
      <w:r>
        <w:rPr>
          <w:rStyle w:val="VerbatimChar"/>
        </w:rPr>
        <w:t xml:space="preserve">/tests</w:t>
      </w:r>
      <w:r>
        <w:br/>
      </w:r>
      <w:r>
        <w:rPr>
          <w:rStyle w:val="VerbatimChar"/>
        </w:rPr>
        <w:t xml:space="preserve">  /Unit</w:t>
      </w:r>
      <w:r>
        <w:br/>
      </w:r>
      <w:r>
        <w:rPr>
          <w:rStyle w:val="VerbatimChar"/>
        </w:rPr>
        <w:t xml:space="preserve">  /Integration</w:t>
      </w:r>
      <w:r>
        <w:br/>
      </w:r>
      <w:r>
        <w:rPr>
          <w:rStyle w:val="VerbatimChar"/>
        </w:rPr>
        <w:t xml:space="preserve">  /UI</w:t>
      </w:r>
      <w:r>
        <w:br/>
      </w:r>
      <w:r>
        <w:rPr>
          <w:rStyle w:val="VerbatimChar"/>
        </w:rPr>
        <w:t xml:space="preserve">  /Performance</w:t>
      </w:r>
      <w:r>
        <w:br/>
      </w:r>
      <w:r>
        <w:rPr>
          <w:rStyle w:val="VerbatimChar"/>
        </w:rPr>
        <w:t xml:space="preserve">/docs                        — this documentation package lives here (00–15 + root templates)</w:t>
      </w:r>
      <w:r>
        <w:br/>
      </w:r>
      <w:r>
        <w:rPr>
          <w:rStyle w:val="VerbatimChar"/>
        </w:rPr>
        <w:t xml:space="preserve">DEPENDENCIES.md               — see §12</w:t>
      </w:r>
      <w:r>
        <w:br/>
      </w:r>
      <w:r>
        <w:rPr>
          <w:rStyle w:val="VerbatimChar"/>
        </w:rPr>
        <w:t xml:space="preserve">USER_GUIDE.md                 — see §13</w:t>
      </w:r>
      <w:r>
        <w:br/>
      </w:r>
      <w:r>
        <w:rPr>
          <w:rStyle w:val="VerbatimChar"/>
        </w:rPr>
        <w:t xml:space="preserve">.gitignore</w:t>
      </w:r>
      <w:r>
        <w:br/>
      </w:r>
      <w:r>
        <w:rPr>
          <w:rStyle w:val="VerbatimChar"/>
        </w:rPr>
        <w:t xml:space="preserve">PHASE_STATUS.md</w:t>
      </w:r>
      <w:r>
        <w:br/>
      </w:r>
      <w:r>
        <w:rPr>
          <w:rStyle w:val="VerbatimChar"/>
        </w:rPr>
        <w:t xml:space="preserve">ARCHITECTURE.md</w:t>
      </w:r>
      <w:r>
        <w:br/>
      </w:r>
      <w:r>
        <w:rPr>
          <w:rStyle w:val="VerbatimChar"/>
        </w:rPr>
        <w:t xml:space="preserve">DECISIONS.md</w:t>
      </w:r>
      <w:r>
        <w:br/>
      </w:r>
      <w:r>
        <w:rPr>
          <w:rStyle w:val="VerbatimChar"/>
        </w:rPr>
        <w:t xml:space="preserve">TESTS.md</w:t>
      </w:r>
      <w:r>
        <w:br/>
      </w:r>
      <w:r>
        <w:rPr>
          <w:rStyle w:val="VerbatimChar"/>
        </w:rPr>
        <w:t xml:space="preserve">NEXT_PHASE.md</w:t>
      </w:r>
      <w:r>
        <w:br/>
      </w:r>
      <w:r>
        <w:rPr>
          <w:rStyle w:val="VerbatimChar"/>
        </w:rPr>
        <w:t xml:space="preserve">CHANGELOG.md</w:t>
      </w:r>
      <w:r>
        <w:br/>
      </w:r>
      <w:r>
        <w:rPr>
          <w:rStyle w:val="VerbatimChar"/>
        </w:rPr>
        <w:t xml:space="preserve">PROJECT_STATE.md</w:t>
      </w:r>
    </w:p>
    <w:p>
      <w:pPr>
        <w:pStyle w:val="FirstParagraph"/>
      </w:pPr>
      <w:r>
        <w:t>Every phase conforms to this layout rather than improvising a new one. Superseded: every phase conforms to the Implementation Specification’s §3 layout instead. Restructuring that layout is an architecture change requiring a decision record, per 00_PROJECT_CONSTITUTION.docx’s Change Control section — the same rule, now pointed at the correct source of truth.</w:t>
      </w:r>
    </w:p>
    <w:bookmarkEnd w:id="23"/>
    <w:bookmarkStart w:id="24" w:name="a.-adr-clarification"/>
    <w:p>
      <w:pPr>
        <w:pStyle w:val="Heading2"/>
      </w:pPr>
      <w:r>
        <w:t xml:space="preserve">3a. ADR clarification</w:t>
      </w:r>
    </w:p>
    <w:p>
      <w:pPr>
        <w:pStyle w:val="FirstParagraph"/>
      </w:pPr>
      <w:r>
        <w:t>The Implementation Specification uses the term “ADR” (architecture decision record) in §1 and §30 without defining where one lives. There is no separate /docs/adr/ folder in this project — an ADR is an entry in DECISIONS.md (the same root template file referenced in the folder tree above and in the repository handoff files named in README.md). When the Implementation Specification or a ChatGPT chat says “record this as an ADR,” that means “add an entry to DECISIONS.md,” nothing more elaborate.</w:t>
      </w:r>
    </w:p>
    <w:bookmarkEnd w:id="24"/>
    <w:bookmarkStart w:id="26" w:name="plugin-manifest-ipc-versioning-detail"/>
    <w:p>
      <w:pPr>
        <w:pStyle w:val="Heading2"/>
      </w:pPr>
      <w:r>
        <w:t xml:space="preserve">4. Plugin manifest &amp; IPC versioning detail</w:t>
      </w:r>
    </w:p>
    <w:p>
      <w:pPr>
        <w:pStyle w:val="FirstParagraph"/>
      </w:pPr>
      <w:r>
        <w:t xml:space="preserve">V2’s Plugin Trust section says to “check version/API compatibility” without defining the fields. This is the concrete mechanism — in scope for V1, distinct from the deferred marketplace/signing work (see the scope note at the top of this file: this is about </w:t>
      </w:r>
      <w:r>
        <w:rPr>
          <w:iCs/>
          <w:i/>
        </w:rPr>
        <w:t xml:space="preserve">your own</w:t>
      </w:r>
      <w:r>
        <w:t xml:space="preserve"> plugins staying compatible with </w:t>
      </w:r>
      <w:r>
        <w:rPr>
          <w:iCs/>
          <w:i/>
        </w:rPr>
        <w:t xml:space="preserve">your own</w:t>
      </w:r>
      <w:r>
        <w:t xml:space="preserve"> Core across phases, not about trusting strangers’ plugins).</w:t>
      </w:r>
    </w:p>
    <w:p>
      <w:pPr>
        <w:pStyle w:val="SourceCode"/>
      </w:pPr>
      <w:r>
        <w:rPr>
          <w:rStyle w:val="VerbatimChar"/>
        </w:rPr>
        <w:t xml:space="preserve">{</w:t>
      </w:r>
      <w:r>
        <w:br/>
      </w:r>
      <w:r>
        <w:rPr>
          <w:rStyle w:val="VerbatimChar"/>
        </w:rPr>
        <w:t xml:space="preserve">  "id": "calculator",</w:t>
      </w:r>
      <w:r>
        <w:br/>
      </w:r>
      <w:r>
        <w:rPr>
          <w:rStyle w:val="VerbatimChar"/>
        </w:rPr>
        <w:t xml:space="preserve">  "protocolVersion": "1.0",</w:t>
      </w:r>
      <w:r>
        <w:br/>
      </w:r>
      <w:r>
        <w:rPr>
          <w:rStyle w:val="VerbatimChar"/>
        </w:rPr>
        <w:t xml:space="preserve">  "sdkVersion": "1.0",</w:t>
      </w:r>
      <w:r>
        <w:br/>
      </w:r>
      <w:r>
        <w:rPr>
          <w:rStyle w:val="VerbatimChar"/>
        </w:rPr>
        <w:t xml:space="preserve">  "pluginVersion": "1.0.0"</w:t>
      </w:r>
      <w:r>
        <w:br/>
      </w:r>
      <w:r>
        <w:rPr>
          <w:rStyle w:val="VerbatimChar"/>
        </w:rPr>
        <w:t xml:space="preserve">}</w:t>
      </w:r>
    </w:p>
    <w:p>
      <w:pPr>
        <w:numPr>
          <w:ilvl w:val="0"/>
          <w:numId w:val="1004"/>
        </w:numPr>
        <w:pStyle w:val="Compact"/>
      </w:pPr>
      <w:r>
        <w:rPr>
          <w:rStyle w:val="VerbatimChar"/>
        </w:rPr>
        <w:t xml:space="preserve">protocolVersion</w:t>
      </w:r>
      <w:r>
        <w:t xml:space="preserve"> — the IPC message-shape version. Core rejects a plugin whose protocol version it doesn’t support, safely and visibly, not by crashing.</w:t>
      </w:r>
    </w:p>
    <w:p>
      <w:pPr>
        <w:numPr>
          <w:ilvl w:val="0"/>
          <w:numId w:val="1004"/>
        </w:numPr>
        <w:pStyle w:val="Compact"/>
      </w:pPr>
      <w:r>
        <w:t xml:space="preserve">Breaking changes to the IPC message shape require a new protocol version, never an in-place change to the existing one.</w:t>
      </w:r>
    </w:p>
    <w:p>
      <w:pPr>
        <w:numPr>
          <w:ilvl w:val="0"/>
          <w:numId w:val="1004"/>
        </w:numPr>
        <w:pStyle w:val="Compact"/>
      </w:pPr>
      <w:r>
        <w:t xml:space="preserve">Plugins must never assume an undocumented field exists on a message — only the documented contract is guaranteed.</w:t>
      </w:r>
    </w:p>
    <w:bookmarkStart w:id="25" w:name="X448c23742e78436075df99780228fb0e069de5d"/>
    <w:p>
      <w:pPr>
        <w:pStyle w:val="Heading3"/>
      </w:pPr>
      <w:r>
        <w:t xml:space="preserve">4b. Plugin trust lifecycle (local-only scope)</w:t>
      </w:r>
    </w:p>
    <w:p>
      <w:pPr>
        <w:pStyle w:val="FirstParagraph"/>
      </w:pPr>
      <w:r>
        <w:t xml:space="preserve">This governs plugins </w:t>
      </w:r>
      <w:r>
        <w:rPr>
          <w:iCs/>
          <w:i/>
        </w:rPr>
        <w:t xml:space="preserve">you</w:t>
      </w:r>
      <w:r>
        <w:t xml:space="preserve"> write and run locally during development — not third-party plugin trust, which stays deferred with the rest of the marketplace/signing/sandboxing work.</w:t>
      </w:r>
    </w:p>
    <w:p>
      <w:pPr>
        <w:pStyle w:val="SourceCode"/>
      </w:pPr>
      <w:r>
        <w:rPr>
          <w:rStyle w:val="VerbatimChar"/>
        </w:rPr>
        <w:t xml:space="preserve">Discovered → Installed → Permission review → Enabled → Running</w:t>
      </w:r>
      <w:r>
        <w:br/>
      </w:r>
      <w:r>
        <w:rPr>
          <w:rStyle w:val="VerbatimChar"/>
        </w:rPr>
        <w:t xml:space="preserve">                                                  │</w:t>
      </w:r>
      <w:r>
        <w:br/>
      </w:r>
      <w:r>
        <w:rPr>
          <w:rStyle w:val="VerbatimChar"/>
        </w:rPr>
        <w:t xml:space="preserve">                                                  ├── Crashed → quarantined, not auto-restarted in a loop</w:t>
      </w:r>
      <w:r>
        <w:br/>
      </w:r>
      <w:r>
        <w:rPr>
          <w:rStyle w:val="VerbatimChar"/>
        </w:rPr>
        <w:t xml:space="preserve">                                                  ├── Hung → timed out, marked unavailable</w:t>
      </w:r>
      <w:r>
        <w:br/>
      </w:r>
      <w:r>
        <w:rPr>
          <w:rStyle w:val="VerbatimChar"/>
        </w:rPr>
        <w:t xml:space="preserve">                                                  └── Revoked → disabled, permissions withdrawn</w:t>
      </w:r>
    </w:p>
    <w:p>
      <w:pPr>
        <w:numPr>
          <w:ilvl w:val="0"/>
          <w:numId w:val="1005"/>
        </w:numPr>
        <w:pStyle w:val="Compact"/>
      </w:pPr>
      <w:r>
        <w:t xml:space="preserve">A plugin’s requested permissions are visible before it’s enabled, not discovered after the fact.</w:t>
      </w:r>
    </w:p>
    <w:p>
      <w:pPr>
        <w:numPr>
          <w:ilvl w:val="0"/>
          <w:numId w:val="1005"/>
        </w:numPr>
        <w:pStyle w:val="Compact"/>
      </w:pPr>
      <w:r>
        <w:t xml:space="preserve">A crashed plugin is quarantined rather than relaunched repeatedly.</w:t>
      </w:r>
    </w:p>
    <w:p>
      <w:pPr>
        <w:numPr>
          <w:ilvl w:val="0"/>
          <w:numId w:val="1005"/>
        </w:numPr>
        <w:pStyle w:val="Compact"/>
      </w:pPr>
      <w:r>
        <w:t>“Installed,” at this stage, means “present in the plugins directory with a valid manifest” — nothing more. Signature verification and sandbox enforcement are the deferred, post-Phase-10 upgrade to this same lifecycle, not a V1 requirement.</w:t>
      </w:r>
    </w:p>
    <w:bookmarkEnd w:id="25"/>
    <w:bookmarkEnd w:id="26"/>
    <w:bookmarkStart w:id="27" w:name="new-chat-prompt-skeleton"/>
    <w:p>
      <w:pPr>
        <w:pStyle w:val="Heading2"/>
      </w:pPr>
      <w:r>
        <w:t xml:space="preserve">5. New-chat prompt skeleton</w:t>
      </w:r>
    </w:p>
    <w:p>
      <w:pPr>
        <w:pStyle w:val="FirstParagraph"/>
      </w:pPr>
      <w:r>
        <w:t xml:space="preserve">A generic, reusable shape for opening any phase’s ChatGPT chat — fill in the brackets each time rather than writing a new structure from scratch. This follows V2’s stated Conversation Hierarchy (Master Rules → Constitution → Overview → State → Handoff → Task → Request) and the “context before task” ordering from </w:t>
      </w:r>
      <w:r>
        <w:rPr>
          <w:rStyle w:val="VerbatimChar"/>
        </w:rPr>
        <w:t xml:space="preserve">09_CHATGPT_WORKFLOW</w:t>
      </w:r>
      <w:r>
        <w:t xml:space="preserve">.</w:t>
      </w:r>
    </w:p>
    <w:p>
      <w:pPr>
        <w:pStyle w:val="SourceCode"/>
      </w:pPr>
      <w:r>
        <w:t>[Attach: 00_Project_Constitution, 04_Project_Overview, 06_Project_State,</w:t>
        <w:br/>
        <w:t xml:space="preserve"> 16_Extension_Pack, and the latest phase handoff files]</w:t>
        <w:br/>
        <w:br/>
        <w:t>You are continuing a personal Windows 11 modular launcher project.</w:t>
        <w:br/>
        <w:br/>
        <w:t>Read the attached documents before writing or changing any code.</w:t>
        <w:br/>
        <w:t>Do not assume anything not written in them.</w:t>
        <w:br/>
        <w:br/>
        <w:t>Current phase: [phase number and name]</w:t>
        <w:br/>
        <w:t>Exit gate for this phase: [copy the exact exit gate text from 01_Project_Roadmap]</w:t>
        <w:br/>
        <w:br/>
        <w:t>Task for this session: [one specific, bounded task — not "build Phase 4",</w:t>
        <w:br/>
        <w:t>but "implement the Applications provider per its contract"]</w:t>
        <w:br/>
        <w:br/>
        <w:t>Constraints for this session:</w:t>
        <w:br/>
        <w:t>- Work ONLY on the stated task. Do not implement future-phase features.</w:t>
        <w:br/>
        <w:t>- Comment all code per the standard in 16_Extension_Pack §1.</w:t>
        <w:br/>
        <w:t>- Target .NET 10, Windows App SDK 2.5.x (Stable channel), C# 14, per</w:t>
        <w:br/>
        <w:t xml:space="preserve">  00_Project_Constitution's Technology Baseline. Do not use an API</w:t>
        <w:br/>
        <w:t xml:space="preserve">  unless it's available in this pinned toolchain. If you're unsure</w:t>
        <w:br/>
        <w:t xml:space="preserve">  whether something is available at this version, say so rather than</w:t>
        <w:br/>
        <w:t xml:space="preserve">  guessing — never silently target a newer or older version instead.</w:t>
        <w:br/>
        <w:t>- Do not modify [list any files/contracts explicitly off-limits this session].</w:t>
        <w:br/>
        <w:t>- If the task requires an architecture change, stop and explain before implementing.</w:t>
        <w:br/>
        <w:br/>
        <w:t>Before you write code:</w:t>
        <w:br/>
        <w:t>1. Inspect the existing relevant code.</w:t>
        <w:br/>
        <w:t>2. Restate your understanding of the current state and constraints.</w:t>
        <w:br/>
        <w:t>3. Propose a short implementation plan.</w:t>
        <w:br/>
        <w:t>4. Identify any contracts/dependencies this touches.</w:t>
        <w:br/>
        <w:br/>
        <w:t>After implementing:</w:t>
        <w:br/>
        <w:t>- Build and run relevant tests.</w:t>
        <w:br/>
        <w:t>- Report: files changed, what was tested, what wasn't, known issues,</w:t>
        <w:br/>
        <w:t xml:space="preserve">  performance/security notes, and the exact next-phase state.</w:t>
      </w:r>
    </w:p>
    <w:p>
      <w:pPr>
        <w:pStyle w:val="FirstParagraph"/>
      </w:pPr>
      <w:r>
        <w:t xml:space="preserve">You said you’ll pull the actual filled-in versions of this yourself — this is the shape only, not a per-quest prompt library.</w:t>
      </w:r>
    </w:p>
    <w:bookmarkEnd w:id="27"/>
    <w:bookmarkStart w:id="28" w:name="database-migration-procedure"/>
    <w:p>
      <w:pPr>
        <w:pStyle w:val="Heading2"/>
      </w:pPr>
      <w:r>
        <w:t xml:space="preserve">6. Database migration procedure</w:t>
      </w:r>
    </w:p>
    <w:p>
      <w:pPr>
        <w:pStyle w:val="FirstParagraph"/>
      </w:pPr>
      <w:r>
        <w:t xml:space="preserve">V2 requires “a schema/migration plan” as a change-control trigger but doesn’t define the mechanism. This is it:</w:t>
      </w:r>
    </w:p>
    <w:p>
      <w:pPr>
        <w:pStyle w:val="SourceCode"/>
      </w:pPr>
      <w:r>
        <w:rPr>
          <w:rStyle w:val="VerbatimChar"/>
        </w:rPr>
        <w:t xml:space="preserve">Schema version (stored in the database itself)</w:t>
      </w:r>
      <w:r>
        <w:br/>
      </w:r>
      <w:r>
        <w:rPr>
          <w:rStyle w:val="VerbatimChar"/>
        </w:rPr>
        <w:t xml:space="preserve">        ↓</w:t>
      </w:r>
      <w:r>
        <w:br/>
      </w:r>
      <w:r>
        <w:rPr>
          <w:rStyle w:val="VerbatimChar"/>
        </w:rPr>
        <w:t xml:space="preserve">Migration manager runs pending migrations in order</w:t>
      </w:r>
      <w:r>
        <w:br/>
      </w:r>
      <w:r>
        <w:rPr>
          <w:rStyle w:val="VerbatimChar"/>
        </w:rPr>
        <w:t xml:space="preserve">        ↓</w:t>
      </w:r>
      <w:r>
        <w:br/>
      </w:r>
      <w:r>
        <w:rPr>
          <w:rStyle w:val="VerbatimChar"/>
        </w:rPr>
        <w:t xml:space="preserve">Backup taken before migration</w:t>
      </w:r>
      <w:r>
        <w:br/>
      </w:r>
      <w:r>
        <w:rPr>
          <w:rStyle w:val="VerbatimChar"/>
        </w:rPr>
        <w:t xml:space="preserve">        ↓</w:t>
      </w:r>
      <w:r>
        <w:br/>
      </w:r>
      <w:r>
        <w:rPr>
          <w:rStyle w:val="VerbatimChar"/>
        </w:rPr>
        <w:t xml:space="preserve">Migration applied</w:t>
      </w:r>
      <w:r>
        <w:br/>
      </w:r>
      <w:r>
        <w:rPr>
          <w:rStyle w:val="VerbatimChar"/>
        </w:rPr>
        <w:t xml:space="preserve">        ↓</w:t>
      </w:r>
      <w:r>
        <w:br/>
      </w:r>
      <w:r>
        <w:rPr>
          <w:rStyle w:val="VerbatimChar"/>
        </w:rPr>
        <w:t xml:space="preserve">Validation — confirm expected shape/row counts</w:t>
      </w:r>
      <w:r>
        <w:br/>
      </w:r>
      <w:r>
        <w:rPr>
          <w:rStyle w:val="VerbatimChar"/>
        </w:rPr>
        <w:t xml:space="preserve">        ↓</w:t>
      </w:r>
      <w:r>
        <w:br/>
      </w:r>
      <w:r>
        <w:rPr>
          <w:rStyle w:val="VerbatimChar"/>
        </w:rPr>
        <w:t xml:space="preserve">Rollback to backup if validation fails</w:t>
      </w:r>
    </w:p>
    <w:p>
      <w:pPr>
        <w:pStyle w:val="FirstParagraph"/>
      </w:pPr>
      <w:r>
        <w:t xml:space="preserve">Every schema change ships as a numbered migration file (</w:t>
      </w:r>
      <w:r>
        <w:rPr>
          <w:rStyle w:val="VerbatimChar"/>
        </w:rPr>
        <w:t xml:space="preserve">/src/Data/Migrations/</w:t>
      </w:r>
      <w:r>
        <w:t xml:space="preserve">), never as an ad-hoc change assumed by only one ChatGPT chat. A later chat working on an unrelated phase should never encounter a schema it doesn’t recognize.</w:t>
      </w:r>
    </w:p>
    <w:bookmarkEnd w:id="28"/>
    <w:bookmarkStart w:id="29" w:name="anti-drift-questions"/>
    <w:p>
      <w:pPr>
        <w:pStyle w:val="Heading2"/>
      </w:pPr>
      <w:r>
        <w:t xml:space="preserve">7. Anti-drift questions</w:t>
      </w:r>
    </w:p>
    <w:p>
      <w:pPr>
        <w:pStyle w:val="FirstParagraph"/>
      </w:pPr>
      <w:r>
        <w:t xml:space="preserve">Before ChatGPT starts editing anything, it should be able to answer all of these. If it can’t, stop and restore context before writing code — this is a faster check than reading the whole doc set cold every time.</w:t>
      </w:r>
    </w:p>
    <w:p>
      <w:pPr>
        <w:numPr>
          <w:ilvl w:val="0"/>
          <w:numId w:val="1006"/>
        </w:numPr>
        <w:pStyle w:val="Compact"/>
      </w:pPr>
      <w:r>
        <w:t xml:space="preserve">What is Core responsible for, and what is explicitly </w:t>
      </w:r>
      <w:r>
        <w:rPr>
          <w:iCs/>
          <w:i/>
        </w:rPr>
        <w:t xml:space="preserve">not</w:t>
      </w:r>
      <w:r>
        <w:t xml:space="preserve"> Core’s responsibility?</w:t>
      </w:r>
    </w:p>
    <w:p>
      <w:pPr>
        <w:numPr>
          <w:ilvl w:val="0"/>
          <w:numId w:val="1006"/>
        </w:numPr>
        <w:pStyle w:val="Compact"/>
      </w:pPr>
      <w:r>
        <w:t xml:space="preserve">Which pieces are plugins, and which are still in-process for now?</w:t>
      </w:r>
    </w:p>
    <w:p>
      <w:pPr>
        <w:numPr>
          <w:ilvl w:val="0"/>
          <w:numId w:val="1006"/>
        </w:numPr>
        <w:pStyle w:val="Compact"/>
      </w:pPr>
      <w:r>
        <w:t xml:space="preserve">How does a search query actually flow, end to end?</w:t>
      </w:r>
    </w:p>
    <w:p>
      <w:pPr>
        <w:numPr>
          <w:ilvl w:val="0"/>
          <w:numId w:val="1006"/>
        </w:numPr>
        <w:pStyle w:val="Compact"/>
      </w:pPr>
      <w:r>
        <w:t xml:space="preserve">How do permissions work, and what’s default-deny?</w:t>
      </w:r>
    </w:p>
    <w:p>
      <w:pPr>
        <w:numPr>
          <w:ilvl w:val="0"/>
          <w:numId w:val="1006"/>
        </w:numPr>
        <w:pStyle w:val="Compact"/>
      </w:pPr>
      <w:r>
        <w:t xml:space="preserve">How does the UI consume results — what does it </w:t>
      </w:r>
      <w:r>
        <w:rPr>
          <w:iCs/>
          <w:i/>
        </w:rPr>
        <w:t xml:space="preserve">not</w:t>
      </w:r>
      <w:r>
        <w:t xml:space="preserve"> know about them?</w:t>
      </w:r>
    </w:p>
    <w:p>
      <w:pPr>
        <w:numPr>
          <w:ilvl w:val="0"/>
          <w:numId w:val="1006"/>
        </w:numPr>
        <w:pStyle w:val="Compact"/>
      </w:pPr>
      <w:r>
        <w:t xml:space="preserve">What changed last phase?</w:t>
      </w:r>
    </w:p>
    <w:p>
      <w:pPr>
        <w:numPr>
          <w:ilvl w:val="0"/>
          <w:numId w:val="1006"/>
        </w:numPr>
        <w:pStyle w:val="Compact"/>
      </w:pPr>
      <w:r>
        <w:t xml:space="preserve">What must not change this phase?</w:t>
      </w:r>
    </w:p>
    <w:bookmarkEnd w:id="29"/>
    <w:bookmarkStart w:id="30" w:name="glossary"/>
    <w:p>
      <w:pPr>
        <w:pStyle w:val="Heading2"/>
      </w:pPr>
      <w:r>
        <w:t xml:space="preserve">8. Glossary</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Core</w:t>
            </w:r>
          </w:p>
        </w:tc>
        <w:tc>
          <w:tcPr/>
          <w:p>
            <w:pPr>
              <w:pStyle w:val="Compact"/>
              <w:jc w:val="left"/>
            </w:pPr>
            <w:r>
              <w:t xml:space="preserve">The small coordinator: hotkey, lifecycle, plugin manager, IPC, readiness coordinator</w:t>
            </w:r>
          </w:p>
        </w:tc>
      </w:tr>
      <w:tr>
        <w:tc>
          <w:tcPr/>
          <w:p>
            <w:pPr>
              <w:pStyle w:val="Compact"/>
              <w:jc w:val="left"/>
            </w:pPr>
            <w:r>
              <w:t xml:space="preserve">Provider</w:t>
            </w:r>
          </w:p>
        </w:tc>
        <w:tc>
          <w:tcPr/>
          <w:p>
            <w:pPr>
              <w:pStyle w:val="Compact"/>
              <w:jc w:val="left"/>
            </w:pPr>
            <w:r>
              <w:t xml:space="preserve">A source of search results, in-process (Phases 4–6) or a plugin (Phase 7+)</w:t>
            </w:r>
          </w:p>
        </w:tc>
      </w:tr>
      <w:tr>
        <w:tc>
          <w:tcPr/>
          <w:p>
            <w:pPr>
              <w:pStyle w:val="Compact"/>
              <w:jc w:val="left"/>
            </w:pPr>
            <w:r>
              <w:t xml:space="preserve">Integration</w:t>
            </w:r>
          </w:p>
        </w:tc>
        <w:tc>
          <w:tcPr/>
          <w:p>
            <w:pPr>
              <w:pStyle w:val="Compact"/>
              <w:jc w:val="left"/>
            </w:pPr>
            <w:r>
              <w:t xml:space="preserve">An external piece of software (Everything, etc.) the launcher optionally detects and uses</w:t>
            </w:r>
          </w:p>
        </w:tc>
      </w:tr>
      <w:tr>
        <w:tc>
          <w:tcPr/>
          <w:p>
            <w:pPr>
              <w:pStyle w:val="Compact"/>
              <w:jc w:val="left"/>
            </w:pPr>
            <w:r>
              <w:t xml:space="preserve">Prefix Registry</w:t>
            </w:r>
          </w:p>
        </w:tc>
        <w:tc>
          <w:tcPr/>
          <w:p>
            <w:pPr>
              <w:pStyle w:val="Compact"/>
              <w:jc w:val="left"/>
            </w:pPr>
            <w:r>
              <w:t xml:space="preserve">Data mapping long-form and symbol prefixes to one provider</w:t>
            </w:r>
          </w:p>
        </w:tc>
      </w:tr>
      <w:tr>
        <w:tc>
          <w:tcPr/>
          <w:p>
            <w:pPr>
              <w:pStyle w:val="Compact"/>
              <w:jc w:val="left"/>
            </w:pPr>
            <w:r>
              <w:t xml:space="preserve">Result</w:t>
            </w:r>
          </w:p>
        </w:tc>
        <w:tc>
          <w:tcPr/>
          <w:p>
            <w:pPr>
              <w:pStyle w:val="Compact"/>
              <w:jc w:val="left"/>
            </w:pPr>
            <w:r>
              <w:t xml:space="preserve">The common object every provider returns — title, icon, actions, payload</w:t>
            </w:r>
          </w:p>
        </w:tc>
      </w:tr>
      <w:tr>
        <w:tc>
          <w:tcPr/>
          <w:p>
            <w:pPr>
              <w:pStyle w:val="Compact"/>
              <w:jc w:val="left"/>
            </w:pPr>
            <w:r>
              <w:t xml:space="preserve">Action</w:t>
            </w:r>
          </w:p>
        </w:tc>
        <w:tc>
          <w:tcPr/>
          <w:p>
            <w:pPr>
              <w:pStyle w:val="Compact"/>
              <w:jc w:val="left"/>
            </w:pPr>
            <w:r>
              <w:t xml:space="preserve">One thing the user can do with a result (Open, Copy, Run…)</w:t>
            </w:r>
          </w:p>
        </w:tc>
      </w:tr>
      <w:tr>
        <w:tc>
          <w:tcPr/>
          <w:p>
            <w:pPr>
              <w:pStyle w:val="Compact"/>
              <w:jc w:val="left"/>
            </w:pPr>
            <w:r>
              <w:t xml:space="preserve">Motion Engine</w:t>
            </w:r>
          </w:p>
        </w:tc>
        <w:tc>
          <w:tcPr/>
          <w:p>
            <w:pPr>
              <w:pStyle w:val="Compact"/>
              <w:jc w:val="left"/>
            </w:pPr>
            <w:r>
              <w:t xml:space="preserve">The system that plays animations in reaction to UI state changes</w:t>
            </w:r>
          </w:p>
        </w:tc>
      </w:tr>
      <w:tr>
        <w:tc>
          <w:tcPr/>
          <w:p>
            <w:pPr>
              <w:pStyle w:val="Compact"/>
              <w:jc w:val="left"/>
            </w:pPr>
            <w:r>
              <w:t xml:space="preserve">Readiness Coordinator</w:t>
            </w:r>
          </w:p>
        </w:tc>
        <w:tc>
          <w:tcPr/>
          <w:p>
            <w:pPr>
              <w:pStyle w:val="Compact"/>
              <w:jc w:val="left"/>
            </w:pPr>
            <w:r>
              <w:t xml:space="preserve">Tracks critical vs. optional startup readiness; triggers the activation-to-bar morph</w:t>
            </w:r>
          </w:p>
        </w:tc>
      </w:tr>
      <w:tr>
        <w:tc>
          <w:tcPr/>
          <w:p>
            <w:pPr>
              <w:pStyle w:val="Compact"/>
              <w:jc w:val="left"/>
            </w:pPr>
            <w:r>
              <w:t xml:space="preserve">Risk level</w:t>
            </w:r>
          </w:p>
        </w:tc>
        <w:tc>
          <w:tcPr/>
          <w:p>
            <w:pPr>
              <w:pStyle w:val="Compact"/>
              <w:jc w:val="left"/>
            </w:pPr>
            <w:r>
              <w:t xml:space="preserve">Safe/Low/Medium/High/Critical classification for anything a plugin runs</w:t>
            </w:r>
          </w:p>
        </w:tc>
      </w:tr>
      <w:tr>
        <w:tc>
          <w:tcPr/>
          <w:p>
            <w:pPr>
              <w:pStyle w:val="Compact"/>
              <w:jc w:val="left"/>
            </w:pPr>
            <w:r>
              <w:t xml:space="preserve">Manifest</w:t>
            </w:r>
          </w:p>
        </w:tc>
        <w:tc>
          <w:tcPr/>
          <w:p>
            <w:pPr>
              <w:pStyle w:val="Compact"/>
              <w:jc w:val="left"/>
            </w:pPr>
            <w:r>
              <w:t xml:space="preserve">A plugin’s declared identity, capabilities, permissions, prefixes, and protocol version</w:t>
            </w:r>
          </w:p>
        </w:tc>
      </w:tr>
      <w:tr>
        <w:tc>
          <w:tcPr/>
          <w:p>
            <w:pPr>
              <w:pStyle w:val="Compact"/>
              <w:jc w:val="left"/>
            </w:pPr>
            <w:r>
              <w:t xml:space="preserve">Exit gate</w:t>
            </w:r>
          </w:p>
        </w:tc>
        <w:tc>
          <w:tcPr/>
          <w:p>
            <w:pPr>
              <w:pStyle w:val="Compact"/>
              <w:jc w:val="left"/>
            </w:pPr>
            <w:r>
              <w:t xml:space="preserve">The testable condition a phase must satisfy before the next phase starts</w:t>
            </w:r>
          </w:p>
        </w:tc>
      </w:tr>
      <w:tr>
        <w:tc>
          <w:tcPr/>
          <w:p>
            <w:pPr>
              <w:pStyle w:val="Compact"/>
              <w:jc w:val="left"/>
            </w:pPr>
            <w:r>
              <w:t xml:space="preserve">Quarantine</w:t>
            </w:r>
          </w:p>
        </w:tc>
        <w:tc>
          <w:tcPr/>
          <w:p>
            <w:pPr>
              <w:pStyle w:val="Compact"/>
              <w:jc w:val="left"/>
            </w:pPr>
            <w:r>
              <w:t xml:space="preserve">A plugin state where it’s disabled after crashing, not auto-restarted</w:t>
            </w:r>
          </w:p>
        </w:tc>
      </w:tr>
    </w:tbl>
    <w:bookmarkEnd w:id="30"/>
    <w:bookmarkStart w:id="31" w:name="Xdb174c39f9db1f307a94357ce044dcd8aa2f54e"/>
    <w:p>
      <w:pPr>
        <w:pStyle w:val="Heading2"/>
      </w:pPr>
      <w:r>
        <w:t xml:space="preserve">9. Quest detail appendix (mapped to V2’s Q00–Q11)</w:t>
      </w:r>
    </w:p>
    <w:p>
      <w:pPr>
        <w:pStyle w:val="FirstParagraph"/>
      </w:pPr>
      <w:r>
        <w:t xml:space="preserve">V2 condensed the questline to 12 broader quests with general boss rules but dropped per-quest tips, precautions, worked examples, and specific failure conditions. This restores that granularity against V2’s actual quest names, without re-splitting them back into 22.</w:t>
      </w:r>
    </w:p>
    <w:p>
      <w:pPr>
        <w:pStyle w:val="BodyText"/>
      </w:pPr>
      <w:r>
        <w:rPr>
          <w:bCs/>
          <w:b/>
        </w:rPr>
        <w:t xml:space="preserve">Q00 — Forge the Contract</w:t>
      </w:r>
      <w:r>
        <w:t xml:space="preserve"> </w:t>
      </w:r>
      <w:r>
        <w:rPr>
          <w:iCs/>
          <w:i/>
        </w:rPr>
        <w:t xml:space="preserve">Tip:</w:t>
      </w:r>
      <w:r>
        <w:t xml:space="preserve"> write contracts as data structures/interfaces, not prose — ChatGPT implements those far more consistently. </w:t>
      </w:r>
      <w:r>
        <w:rPr>
          <w:iCs/>
          <w:i/>
        </w:rPr>
        <w:t xml:space="preserve">Precaution:</w:t>
      </w:r>
      <w:r>
        <w:t xml:space="preserve"> don’t let this run past a few days; a contract that’s 90% right and written down beats a “perfect” one still being debated. </w:t>
      </w:r>
      <w:r>
        <w:rPr>
          <w:iCs/>
          <w:i/>
        </w:rPr>
        <w:t xml:space="preserve">Fails if:</w:t>
      </w:r>
      <w:r>
        <w:t xml:space="preserve"> a contract exists only in your head; two documents describe the same shape differently; a fresh ChatGPT chat can’t correctly state Core’s boundaries when asked cold.</w:t>
      </w:r>
    </w:p>
    <w:p>
      <w:pPr>
        <w:pStyle w:val="BodyText"/>
      </w:pPr>
      <w:r>
        <w:rPr>
          <w:bCs/>
          <w:b/>
        </w:rPr>
        <w:t xml:space="preserve">Q01 — Awaken the Core</w:t>
      </w:r>
      <w:r>
        <w:t xml:space="preserve"> </w:t>
      </w:r>
      <w:r>
        <w:rPr>
          <w:iCs/>
          <w:i/>
        </w:rPr>
        <w:t xml:space="preserve">Tip:</w:t>
      </w:r>
      <w:r>
        <w:t xml:space="preserve"> keep the process resident and the window hidden rather than destroying/recreating it — that’s what makes warm activation actually instant. </w:t>
      </w:r>
      <w:r>
        <w:rPr>
          <w:iCs/>
          <w:i/>
        </w:rPr>
        <w:t xml:space="preserve">Precaution:</w:t>
      </w:r>
      <w:r>
        <w:t xml:space="preserve"> resist wiring in any real feature logic here; this quest is purely lifecycle + hotkey + placement. </w:t>
      </w:r>
      <w:r>
        <w:rPr>
          <w:iCs/>
          <w:i/>
        </w:rPr>
        <w:t xml:space="preserve">Fails if:</w:t>
      </w:r>
      <w:r>
        <w:t xml:space="preserve"> the window is torn down and rebuilt on every toggle; any UI code already special-cases a feature that doesn’t exist yet.</w:t>
      </w:r>
    </w:p>
    <w:p>
      <w:pPr>
        <w:pStyle w:val="BodyText"/>
      </w:pPr>
      <w:r>
        <w:rPr>
          <w:bCs/>
          <w:b/>
        </w:rPr>
        <w:t xml:space="preserve">Q02 — Materialize the Launcher</w:t>
      </w:r>
      <w:r>
        <w:t xml:space="preserve"> </w:t>
      </w:r>
      <w:r>
        <w:rPr>
          <w:iCs/>
          <w:i/>
        </w:rPr>
        <w:t xml:space="preserve">Example:</w:t>
      </w:r>
      <w:r>
        <w:t xml:space="preserve"> cold activation shows the looping visual immediately; the moment critical readiness is true, it morphs into the real bar — AI/Web/Everything/Clipboard readiness never delays this. </w:t>
      </w:r>
      <w:r>
        <w:rPr>
          <w:iCs/>
          <w:i/>
        </w:rPr>
        <w:t xml:space="preserve">Fails if:</w:t>
      </w:r>
      <w:r>
        <w:t xml:space="preserve"> the activation loop is CPU-heavy enough to matter; the morph triggers before critical (not optional) readiness; warm activation isn’t measurably faster than cold.</w:t>
      </w:r>
    </w:p>
    <w:p>
      <w:pPr>
        <w:pStyle w:val="BodyText"/>
      </w:pPr>
      <w:r>
        <w:rPr>
          <w:bCs/>
          <w:b/>
        </w:rPr>
        <w:t xml:space="preserve">Q03 — Teach the Launcher to Speak</w:t>
      </w:r>
      <w:r>
        <w:t xml:space="preserve"> </w:t>
      </w:r>
      <w:r>
        <w:rPr>
          <w:iCs/>
          <w:i/>
        </w:rPr>
        <w:t xml:space="preserve">Example:</w:t>
      </w:r>
      <w:r>
        <w:t xml:space="preserve"> both </w:t>
      </w:r>
      <w:r>
        <w:rPr>
          <w:rStyle w:val="VerbatimChar"/>
        </w:rPr>
        <w:t xml:space="preserve">app: chr</w:t>
      </w:r>
      <w:r>
        <w:t xml:space="preserve"> and </w:t>
      </w:r>
      <w:r>
        <w:rPr>
          <w:rStyle w:val="VerbatimChar"/>
        </w:rPr>
        <w:t xml:space="preserve">/chr</w:t>
      </w:r>
      <w:r>
        <w:t xml:space="preserve"> parse to the identical </w:t>
      </w:r>
      <w:r>
        <w:rPr>
          <w:rStyle w:val="VerbatimChar"/>
        </w:rPr>
        <w:t xml:space="preserve">{ provider: "apps", query: "chr" }</w:t>
      </w:r>
      <w:r>
        <w:t xml:space="preserve">; unprefixed </w:t>
      </w:r>
      <w:r>
        <w:rPr>
          <w:rStyle w:val="VerbatimChar"/>
        </w:rPr>
        <w:t xml:space="preserve">chr</w:t>
      </w:r>
      <w:r>
        <w:t xml:space="preserve"> defaults to global search, never an error. </w:t>
      </w:r>
      <w:r>
        <w:rPr>
          <w:iCs/>
          <w:i/>
        </w:rPr>
        <w:t xml:space="preserve">Precaution:</w:t>
      </w:r>
      <w:r>
        <w:t xml:space="preserve"> store the prefix table as data the parser reads, not an if/else chain — this is what lets prefixes become user-configurable later. </w:t>
      </w:r>
      <w:r>
        <w:rPr>
          <w:iCs/>
          <w:i/>
        </w:rPr>
        <w:t xml:space="preserve">Fails if:</w:t>
      </w:r>
      <w:r>
        <w:t xml:space="preserve"> the two alias forms ever resolve differently; an unrecognized prefix throws instead of falling back to global search.</w:t>
      </w:r>
    </w:p>
    <w:p>
      <w:pPr>
        <w:pStyle w:val="BodyText"/>
      </w:pPr>
      <w:r>
        <w:rPr>
          <w:bCs/>
          <w:b/>
        </w:rPr>
        <w:t xml:space="preserve">Q04 — Build the Search Brain</w:t>
      </w:r>
      <w:r>
        <w:t xml:space="preserve"> </w:t>
      </w:r>
      <w:r>
        <w:rPr>
          <w:iCs/>
          <w:i/>
        </w:rPr>
        <w:t xml:space="preserve">Example:</w:t>
      </w:r>
      <w:r>
        <w:t xml:space="preserve"> typing </w:t>
      </w:r>
      <w:r>
        <w:rPr>
          <w:rStyle w:val="VerbatimChar"/>
        </w:rPr>
        <w:t xml:space="preserve">vsc</w:t>
      </w:r>
      <w:r>
        <w:t xml:space="preserve"> scores “Visual Studio Code” highly via acronym matching; typing </w:t>
      </w:r>
      <w:r>
        <w:rPr>
          <w:rStyle w:val="VerbatimChar"/>
        </w:rPr>
        <w:t xml:space="preserve">c</w:t>
      </w:r>
      <w:r>
        <w:t xml:space="preserve">, </w:t>
      </w:r>
      <w:r>
        <w:rPr>
          <w:rStyle w:val="VerbatimChar"/>
        </w:rPr>
        <w:t xml:space="preserve">ch</w:t>
      </w:r>
      <w:r>
        <w:t xml:space="preserve">, </w:t>
      </w:r>
      <w:r>
        <w:rPr>
          <w:rStyle w:val="VerbatimChar"/>
        </w:rPr>
        <w:t xml:space="preserve">chr</w:t>
      </w:r>
      <w:r>
        <w:t xml:space="preserve"> in quick succession only ever shows results for the last query — no stale flicker. </w:t>
      </w:r>
      <w:r>
        <w:rPr>
          <w:iCs/>
          <w:i/>
        </w:rPr>
        <w:t xml:space="preserve">Fails if (from V2’s own Stop-and-Repair list, restated as this quest’s boss):</w:t>
      </w:r>
      <w:r>
        <w:t xml:space="preserve"> search blocks the UI thread; an old query can overwrite a newer one; ranking is hardcoded into a specific provider instead of living centrally; every provider runs on every keystroke regardless of relevance.</w:t>
      </w:r>
    </w:p>
    <w:p>
      <w:pPr>
        <w:pStyle w:val="BodyText"/>
      </w:pPr>
      <w:r>
        <w:rPr>
          <w:bCs/>
          <w:b/>
        </w:rPr>
        <w:t xml:space="preserve">Q05 — Populate the World</w:t>
      </w:r>
      <w:r>
        <w:t xml:space="preserve"> </w:t>
      </w:r>
      <w:r>
        <w:rPr>
          <w:iCs/>
          <w:i/>
        </w:rPr>
        <w:t xml:space="preserve">Precaution:</w:t>
      </w:r>
      <w:r>
        <w:t xml:space="preserve"> never scan the whole system for Apps/Files — named Start Menu locations and a few named folders only. </w:t>
      </w:r>
      <w:r>
        <w:rPr>
          <w:iCs/>
          <w:i/>
        </w:rPr>
        <w:t xml:space="preserve">Example:</w:t>
      </w:r>
      <w:r>
        <w:t xml:space="preserve"> </w:t>
      </w:r>
      <w:r>
        <w:rPr>
          <w:rStyle w:val="VerbatimChar"/>
        </w:rPr>
        <w:t xml:space="preserve">=2+2*3</w:t>
      </w:r>
      <w:r>
        <w:t xml:space="preserve"> shows </w:t>
      </w:r>
      <w:r>
        <w:rPr>
          <w:rStyle w:val="VerbatimChar"/>
        </w:rPr>
        <w:t xml:space="preserve">8</w:t>
      </w:r>
      <w:r>
        <w:t xml:space="preserve">; </w:t>
      </w:r>
      <w:r>
        <w:rPr>
          <w:rStyle w:val="VerbatimChar"/>
        </w:rPr>
        <w:t xml:space="preserve">=</w:t>
      </w:r>
      <w:r>
        <w:t xml:space="preserve"> never routes to a general-purpose script evaluator, only a math library — this is the one place a shortcut becomes a real security hole. </w:t>
      </w:r>
      <w:r>
        <w:rPr>
          <w:iCs/>
          <w:i/>
        </w:rPr>
        <w:t xml:space="preserve">Fails if:</w:t>
      </w:r>
      <w:r>
        <w:t xml:space="preserve"> Calculator can evaluate arbitrary code through its expression input; a slow Files scan blocks Apps/Calculator results from appearing.</w:t>
      </w:r>
    </w:p>
    <w:p>
      <w:pPr>
        <w:pStyle w:val="BodyText"/>
      </w:pPr>
      <w:r>
        <w:rPr>
          <w:bCs/>
          <w:b/>
        </w:rPr>
        <w:t xml:space="preserve">Q06 — Give It Hands</w:t>
      </w:r>
      <w:r>
        <w:t xml:space="preserve"> </w:t>
      </w:r>
      <w:r>
        <w:rPr>
          <w:iCs/>
          <w:i/>
        </w:rPr>
        <w:t xml:space="preserve">Tip:</w:t>
      </w:r>
      <w:r>
        <w:t xml:space="preserve"> treat the first action in a result’s list as “primary” — Enter always triggers it, regardless of result type. </w:t>
      </w:r>
      <w:r>
        <w:rPr>
          <w:iCs/>
          <w:i/>
        </w:rPr>
        <w:t xml:space="preserve">Precaution:</w:t>
      </w:r>
      <w:r>
        <w:t xml:space="preserve"> the UI never special-cases “if this is an app, show these icons” — that’s a Core-principle violation (UI ≠ Functionality). </w:t>
      </w:r>
      <w:r>
        <w:rPr>
          <w:iCs/>
          <w:i/>
        </w:rPr>
        <w:t xml:space="preserve">Fails if:</w:t>
      </w:r>
      <w:r>
        <w:t xml:space="preserve"> a Medium+ risk action runs without confirmation; the action rail contains any per-provider-type rendering logic.</w:t>
      </w:r>
    </w:p>
    <w:p>
      <w:pPr>
        <w:pStyle w:val="BodyText"/>
      </w:pPr>
      <w:r>
        <w:rPr>
          <w:bCs/>
          <w:b/>
        </w:rPr>
        <w:t xml:space="preserve">Q07 — Make It Feel Alive</w:t>
      </w:r>
      <w:r>
        <w:t xml:space="preserve"> </w:t>
      </w:r>
      <w:r>
        <w:rPr>
          <w:iCs/>
          <w:i/>
        </w:rPr>
        <w:t xml:space="preserve">Rule (restated from</w:t>
      </w:r>
      <w:r>
        <w:t xml:space="preserve"> </w:t>
      </w:r>
      <w:r>
        <w:rPr>
          <w:rStyle w:val="VerbatimChar"/>
        </w:rPr>
        <w:t xml:space="preserve">14_Motion_and_Interaction_Spec</w:t>
      </w:r>
      <w:r>
        <w:rPr>
          <w:iCs/>
          <w:i/>
        </w:rPr>
        <w:t xml:space="preserve">):</w:t>
      </w:r>
      <w:r>
        <w:t xml:space="preserve"> never delay an action solely to finish an animation — launch fires immediately, feedback animates around it. </w:t>
      </w:r>
      <w:r>
        <w:rPr>
          <w:iCs/>
          <w:i/>
        </w:rPr>
        <w:t xml:space="preserve">Fails if:</w:t>
      </w:r>
      <w:r>
        <w:t xml:space="preserve"> Reduced Motion/Low Power doesn’t visibly simplify the activation loop and cursor-reactive effects; the cursor-reactive field ever shifts a hit target.</w:t>
      </w:r>
    </w:p>
    <w:p>
      <w:pPr>
        <w:pStyle w:val="BodyText"/>
      </w:pPr>
      <w:r>
        <w:t>Q08 — Add Local Powers. Workflow-engine design: workflows are stored as declarative data, never as executable code. In Phase 6, graphs are linear; conditions may only skip the current step, not branch, schedule, nest, retry, run concurrently, or evaluate arbitrary expressions. Privileged actions are unavailable until the Phase 7 broker is verified. A workflow definition contains a stable Id, Name, Version, Trigger, Parameters, ordered Steps, and an explicit failure/cancellation policy. Each step identifies the action to invoke, its input bindings, optional Conditions, and the outputs it exposes to later steps. Conditions are evaluated against the workflow context, parameters, and prior step results; they must use the launcher’s defined condition/data model and must not become an unrestricted scripting or command-evaluation surface. Before every step executes, the executor validates the step arguments and independently resolves the capabilities required by that step. Permission/capability checks happen per step at execution time, not only when the workflow is saved or started; a denied or newly-disallowed capability stops or branches according to the declared policy and is surfaced to the user. Any privileged step is routed through the restricted privileged broker and remains subject to the broker’s allowlist and independent validation. Execution exposes structured status at both workflow and step level, including Queued, Running, Waiting/Condition, Completed, Failed, Cancelled, or Denied states as applicable, plus timestamps, error codes, and safe diagnostic metadata. No workflow may silently continue after a security-relevant denial, and cancellation must propagate to active work where supported. Workflow definitions and execution metadata belong in the normal local data layer; large payloads/artifacts use the project’s file-storage rule. Precaution: clipboard binaries go on disk with a reference in SQLite — never the raw bytes into the database (see 04_Project_Overview §11 storage rule). Fails if: any local service becomes always-on/resident without a stated resource justification (per V2’s Change Control); a workflow can execute arbitrary code/commands outside declared actions; or a capability is checked only once for an entire multi-step workflow.</w:t>
      </w:r>
    </w:p>
    <w:p>
      <w:pPr>
        <w:pStyle w:val="BodyText"/>
      </w:pPr>
      <w:r>
        <w:rPr>
          <w:bCs/>
          <w:b/>
        </w:rPr>
        <w:t xml:space="preserve">Q09 — Add Power Tools</w:t>
      </w:r>
      <w:r>
        <w:t xml:space="preserve"> </w:t>
      </w:r>
      <w:r>
        <w:rPr>
          <w:iCs/>
          <w:i/>
        </w:rPr>
        <w:t xml:space="preserve">Rule:</w:t>
      </w:r>
      <w:r>
        <w:t xml:space="preserve"> no silent elevation, ever — every admin-level action is explicit, visibly marked, and routed through the restricted privileged broker. </w:t>
      </w:r>
      <w:r>
        <w:rPr>
          <w:iCs/>
          <w:i/>
        </w:rPr>
        <w:t xml:space="preserve">Fails if:</w:t>
      </w:r>
      <w:r>
        <w:t xml:space="preserve"> any code path can request admin rights without a visible user action; elevation happens as a side effect of an unrelated feature.</w:t>
      </w:r>
    </w:p>
    <w:p>
      <w:pPr>
        <w:pStyle w:val="BodyText"/>
      </w:pPr>
      <w:r>
        <w:rPr>
          <w:bCs/>
          <w:b/>
        </w:rPr>
        <w:t xml:space="preserve">Q10 — Connect the Outside World</w:t>
      </w:r>
      <w:r>
        <w:t xml:space="preserve"> </w:t>
      </w:r>
      <w:r>
        <w:rPr>
          <w:iCs/>
          <w:i/>
        </w:rPr>
        <w:t xml:space="preserve">Example:</w:t>
      </w:r>
      <w:r>
        <w:t xml:space="preserve"> the AI plugin streams a response while Apps/Files/Calculator search stay fully responsive, completely unaffected by AI latency or an outage. </w:t>
      </w:r>
      <w:r>
        <w:rPr>
          <w:iCs/>
          <w:i/>
        </w:rPr>
        <w:t xml:space="preserve">Fails if:</w:t>
      </w:r>
      <w:r>
        <w:t xml:space="preserve"> Web or AI can block or slow local search; network access is a single global toggle instead of explicit per-provider consent.</w:t>
      </w:r>
    </w:p>
    <w:p>
      <w:pPr>
        <w:pStyle w:val="BodyText"/>
      </w:pPr>
      <w:r>
        <w:t>Q11 — Harden the Platform Tip: walk 12_RELEASE_CHECKLIST.docx in full before calling this quest done — it’s the actual gate, this appendix is just motivation. Fails if: any known critical regression (per 08_Testing_Strategy’s definition) ships; import/export/reset doesn’t round-trip cleanly.</w:t>
      </w:r>
    </w:p>
    <w:bookmarkEnd w:id="31"/>
    <w:bookmarkStart w:id="32" w:name="deferred-post-v1-do-not-build-yet"/>
    <w:p>
      <w:pPr>
        <w:pStyle w:val="Heading2"/>
      </w:pPr>
      <w:r>
        <w:t xml:space="preserve">10. Deferred / Post-V1 — Do Not Build Yet</w:t>
      </w:r>
    </w:p>
    <w:p>
      <w:pPr>
        <w:pStyle w:val="FirstParagraph"/>
      </w:pPr>
      <w:r>
        <w:t xml:space="preserve">Two different kinds of “not now” collected into one explicit list, so a fresh ChatGPT chat can’t reasonably assume something is fair game just because no file told it otherwise. If a requested implementation belongs here, ChatGPT should stop and say so, rather than silently building it.</w:t>
      </w:r>
    </w:p>
    <w:p>
      <w:pPr>
        <w:pStyle w:val="BodyText"/>
      </w:pPr>
      <w:r>
        <w:rPr>
          <w:bCs/>
          <w:b/>
        </w:rPr>
        <w:t xml:space="preserve">Already named in V2 as future work (Phase 10+):</w:t>
      </w:r>
      <w:r>
        <w:t xml:space="preserve"> - Plugin marketplace — discovering/installing plugins from other people - Plugin signing — cryptographic trust for third-party plugins - Plugin sandboxing — OS-level enforcement that survives a plugin actively misbehaving, beyond today’s capability-check isolation</w:t>
      </w:r>
    </w:p>
    <w:p>
      <w:pPr>
        <w:pStyle w:val="BodyText"/>
      </w:pPr>
      <w:r>
        <w:rPr>
          <w:bCs/>
          <w:b/>
        </w:rPr>
        <w:t xml:space="preserve">Never scheduled in any phase of the roadmap — excluded by omission, now made explicit:</w:t>
      </w:r>
      <w:r>
        <w:t xml:space="preserve"> - Third-party service integrations: Calendar, Spotify, Teams, Slack, GitHub, Jira, Notion, Gmail, AWS, Docker, Kubernetes - Auto-updating - Cloud sync - A complex AI agent (multi-step autonomous AI behavior — a simple AI provider that answers a single query </w:t>
      </w:r>
      <w:r>
        <w:rPr>
          <w:iCs/>
          <w:i/>
        </w:rPr>
        <w:t xml:space="preserve">is</w:t>
      </w:r>
      <w:r>
        <w:t xml:space="preserve"> in scope, per Q10) - Multiple UI shells beyond the default Classic Command Bar (Compact/Expanded/Dashboard) - An advanced, public-facing plugin SDK (distinct from the internal plugin contract used by your own plugins, which is in scope from Phase 7 onward)</w:t>
      </w:r>
    </w:p>
    <w:p>
      <w:pPr>
        <w:pStyle w:val="BodyText"/>
      </w:pPr>
      <w:r>
        <w:rPr>
          <w:bCs/>
          <w:b/>
        </w:rPr>
        <w:t xml:space="preserve">Genuinely out of scope, not “later” at all</w:t>
      </w:r>
      <w:r>
        <w:t xml:space="preserve"> (kept here for completeness, not as a future roadmap item): - Localization / multi-language support - Formal accessibility certification (a full WCAG audit, beyond the keyboard-nav/contrast/Reduced-Motion checklist already planned) - QA device-lab-breadth compatibility testing (dozens of monitor/DPI/Windows-build combinations) - Telemetry/analytics beyond local diagnostic logs — V2’s </w:t>
      </w:r>
      <w:r>
        <w:rPr>
          <w:rStyle w:val="VerbatimChar"/>
        </w:rPr>
        <w:t xml:space="preserve">11_Data_Privacy.docx</w:t>
      </w:r>
      <w:r>
        <w:t xml:space="preserve"> already states no telemetry by default</w:t>
      </w:r>
    </w:p>
    <w:p>
      <w:pPr>
        <w:pStyle w:val="BodyText"/>
      </w:pPr>
      <w:r>
        <w:rPr>
          <w:bCs/>
          <w:b/>
        </w:rPr>
        <w:t xml:space="preserve">Rule:</w:t>
      </w:r>
      <w:r>
        <w:t xml:space="preserve"> none of the above gets built because it seemed easy mid-phase, because a library made it convenient, or because ChatGPT inferred it was implied. Reaching any of these is a deliberate, later decision — not a default.</w:t>
      </w:r>
    </w:p>
    <w:bookmarkEnd w:id="32"/>
    <w:bookmarkStart w:id="36" w:name="team-parity-additions"/>
    <w:p>
      <w:pPr>
        <w:pStyle w:val="Heading2"/>
      </w:pPr>
      <w:r>
        <w:t xml:space="preserve">11. Team-parity additions</w:t>
      </w:r>
    </w:p>
    <w:p>
      <w:pPr>
        <w:pStyle w:val="FirstParagraph"/>
      </w:pPr>
      <w:r>
        <w:t xml:space="preserve">Comparing against what a full development team would have beyond pure headcount — these three are genuine, proportionate gaps for a solo project, not team-scale infrastructure you can skip:</w:t>
      </w:r>
    </w:p>
    <w:bookmarkStart w:id="33" w:name="X4dcd16c57d107b62819d5eb6f1a9edbe1172c0c"/>
    <w:p>
      <w:pPr>
        <w:pStyle w:val="Heading3"/>
      </w:pPr>
      <w:r>
        <w:t xml:space="preserve">11a. Dependency license tracking (</w:t>
      </w:r>
      <w:r>
        <w:rPr>
          <w:rStyle w:val="VerbatimChar"/>
        </w:rPr>
        <w:t xml:space="preserve">DEPENDENCIES.md</w:t>
      </w:r>
      <w:r>
        <w:t xml:space="preserve">)</w:t>
      </w:r>
    </w:p>
    <w:p>
      <w:pPr>
        <w:pStyle w:val="FirstParagraph"/>
      </w:pPr>
      <w:r>
        <w:t xml:space="preserve">A lightweight table, updated whenever a new dependency is added (which already requires a decision record per V2’s Change Control):</w:t>
      </w:r>
    </w:p>
    <w:tbl>
      <w:tblPr>
        <w:tblStyle w:val="Table"/>
        <w:tblW w:type="pct" w:w="4877"/>
        <w:tblLook w:firstRow="1" w:lastRow="0" w:firstColumn="0" w:lastColumn="0" w:noHBand="0" w:noVBand="0" w:val="0020"/>
        <w:jc w:val="start"/>
      </w:tblPr>
      <w:tblGrid>
        <w:gridCol w:w="2053"/>
        <w:gridCol w:w="1760"/>
        <w:gridCol w:w="2151"/>
        <w:gridCol w:w="1760"/>
      </w:tblGrid>
      <w:tr>
        <w:trPr>
          <w:tblHeader w:val="true"/>
        </w:trPr>
        <w:tc>
          <w:tcPr/>
          <w:p>
            <w:pPr>
              <w:pStyle w:val="Compact"/>
              <w:jc w:val="left"/>
            </w:pPr>
            <w:r>
              <w:t xml:space="preserve">Dependency</w:t>
            </w:r>
          </w:p>
        </w:tc>
        <w:tc>
          <w:tcPr/>
          <w:p>
            <w:pPr>
              <w:pStyle w:val="Compact"/>
              <w:jc w:val="left"/>
            </w:pPr>
            <w:r>
              <w:t xml:space="preserve">Version</w:t>
            </w:r>
          </w:p>
        </w:tc>
        <w:tc>
          <w:tcPr/>
          <w:p>
            <w:pPr>
              <w:pStyle w:val="Compact"/>
              <w:jc w:val="left"/>
            </w:pPr>
            <w:r>
              <w:t xml:space="preserve">License</w:t>
            </w:r>
          </w:p>
        </w:tc>
        <w:tc>
          <w:tcPr/>
          <w:p>
            <w:pPr>
              <w:pStyle w:val="Compact"/>
              <w:jc w:val="left"/>
            </w:pPr>
            <w:r>
              <w:t xml:space="preserve">Why it’s here</w:t>
            </w:r>
          </w:p>
        </w:tc>
      </w:tr>
      <w:tr>
        <w:tc>
          <w:tcPr/>
          <w:p>
            <w:pPr>
              <w:pStyle w:val="Compact"/>
              <w:jc w:val="left"/>
            </w:pPr>
            <w:r>
              <w:rPr>
                <w:iCs/>
                <w:i/>
              </w:rPr>
              <w:t xml:space="preserve">(e.g.) MathExpressionLib</w:t>
            </w:r>
          </w:p>
        </w:tc>
        <w:tc>
          <w:tcPr/>
          <w:p>
            <w:pPr>
              <w:pStyle w:val="Compact"/>
              <w:jc w:val="left"/>
            </w:pPr>
            <w:r>
              <w:rPr>
                <w:iCs/>
                <w:i/>
              </w:rPr>
              <w:t xml:space="preserve">(pinned version)</w:t>
            </w:r>
          </w:p>
        </w:tc>
        <w:tc>
          <w:tcPr/>
          <w:p>
            <w:pPr>
              <w:pStyle w:val="Compact"/>
              <w:jc w:val="left"/>
            </w:pPr>
            <w:r>
              <w:rPr>
                <w:iCs/>
                <w:i/>
              </w:rPr>
              <w:t xml:space="preserve">(MIT/Apache/etc.)</w:t>
            </w:r>
          </w:p>
        </w:tc>
        <w:tc>
          <w:tcPr/>
          <w:p>
            <w:pPr>
              <w:pStyle w:val="Compact"/>
              <w:jc w:val="left"/>
            </w:pPr>
            <w:r>
              <w:rPr>
                <w:iCs/>
                <w:i/>
              </w:rPr>
              <w:t xml:space="preserve">(Calculator provider)</w:t>
            </w:r>
          </w:p>
        </w:tc>
      </w:tr>
    </w:tbl>
    <w:p>
      <w:pPr>
        <w:pStyle w:val="BodyText"/>
      </w:pPr>
      <w:r>
        <w:t xml:space="preserve">This protects you if the project ever leaves your machine — shared, published, or open-sourced — where an incompatible license (e.g. GPL in a closed project) becomes a real problem instead of a hypothetical one.</w:t>
      </w:r>
    </w:p>
    <w:bookmarkEnd w:id="33"/>
    <w:bookmarkStart w:id="34" w:name="X25f2426c13fd7f535e8a5a67fbbfbe2cb33d001"/>
    <w:p>
      <w:pPr>
        <w:pStyle w:val="Heading3"/>
      </w:pPr>
      <w:r>
        <w:t xml:space="preserve">11b. Application code signing (distinct from deferred plugin signing)</w:t>
      </w:r>
    </w:p>
    <w:p>
      <w:pPr>
        <w:pStyle w:val="FirstParagraph"/>
      </w:pPr>
      <w:r>
        <w:t>Not urgent, but worth planning for before Phase 10 ends: without a code-signing certificate, Windows can show an unrecognized-publisher warning. A valid signature displays a verified publisher and enables reputation to accumulate, but new signed releases can still receive SmartScreen prompts. This is about signing the launcher’s installer, unrelated to the deferred plugin-marketplace signing work. Add “obtain/apply a code-signing certificate” as a line item in 12_RELEASE_CHECKLIST.docx’s Installer Checklist.</w:t>
      </w:r>
    </w:p>
    <w:bookmarkEnd w:id="34"/>
    <w:bookmarkStart w:id="35" w:name="c.-minimal-end-user-guide-user_guide.md"/>
    <w:p>
      <w:pPr>
        <w:pStyle w:val="Heading3"/>
      </w:pPr>
      <w:r>
        <w:t xml:space="preserve">11c. Minimal end-user guide (</w:t>
      </w:r>
      <w:r>
        <w:rPr>
          <w:rStyle w:val="VerbatimChar"/>
        </w:rPr>
        <w:t xml:space="preserve">USER_GUIDE.md</w:t>
      </w:r>
      <w:r>
        <w:t xml:space="preserve">)</w:t>
      </w:r>
    </w:p>
    <w:p>
      <w:pPr>
        <w:pStyle w:val="FirstParagraph"/>
      </w:pPr>
      <w:r>
        <w:t>Everything in this entire documentation package — V2 and this extension — is written for ChatGPT and for you-as-developer. Nothing currently answers “how do I use this app” for you-as-user six months from now, once you’ve forgotten a prefix or a shortcut. A short, plain-language guide (prefixes, symbol aliases, keyboard shortcuts, how to open settings/customize) is a Phase-10 deliverable, not optional polish — add it alongside 12_RELEASE_CHECKLIST.docx’s Release Artifacts list.</w:t>
      </w:r>
    </w:p>
    <w:bookmarkEnd w:id="35"/>
    <w:bookmarkEnd w:id="36"/>
    <w:bookmarkEnd w:id="37"/>
    <w:p>
      <w:r>
        <w:t>Pre-Implementation Freeze correction: Q08 now records the intended declarative workflow-engine shape, condition handling, per-step capability checks, and execution-status model so Phase 6 implementation does not depend on an earlier draft or an undocumented assumption.</w:t>
      </w:r>
    </w:p>
    <w:p>
      <w:r>
        <w:t>V2.7 Plugin Manifest and Workflow Contract Clarifications</w:t>
      </w:r>
    </w:p>
    <w:p>
      <w:r>
        <w:t>The canonical manifest fields are Id, Name, Version, ApiVersion, ProtocolVersion, Publisher, Capabilities, EntryPoint, Providers, Commands, Settings, and MinimumLauncherVersion. Version identifies the plugin package, ApiVersion the stable plugin contract, and ProtocolVersion the IPC message shape. The historical sdkVersion and pluginVersion names are superseded by ApiVersion and Version.</w:t>
      </w:r>
    </w:p>
    <w:p>
      <w:r>
        <w:t>A Phase 6 workflow definition has Id, Name, Version, Trigger, Parameters, ordered Steps, FailurePolicy, and CancellationPolicy. A step has ActionId, typed size-bounded InputBindings, optional condition-gate, and declared OutputBindings. Conditions use only documented equality, inequality, presence, boolean, and numeric comparisons over parameters and prior safe outputs. They cannot access shell, filesystem, environment, network, reflection, or arbitrary expressions.</w:t>
      </w:r>
    </w:p>
    <w:p>
      <w:r>
        <w:t>Validation occurs when saving and immediately before every step. A security denial ends the workflow visibly and cannot silently continue. Execution records workflow and step statuses, timestamps, correlation IDs, safe error codes, and redacted diagnostics.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2026-10-01T04:30:20Z</dcterms:created>
  <dcterms:modified xsi:type="dcterms:W3CDTF">2026-10-01T04:30:20Z</dcterms:modified>
  <dc:description>Windows 11 Launcher Project Document Pack V3.0 — refreshed October 20, 2026.</dc:description>
</cp:coreProperties>
</file>

<file path=docProps/custom.xml><?xml version="1.0" encoding="utf-8"?>
<Properties xmlns="http://schemas.openxmlformats.org/officeDocument/2006/custom-properties" xmlns:vt="http://schemas.openxmlformats.org/officeDocument/2006/docPropsVTypes"/>
</file>