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sz w:val="44"/>
        </w:rPr>
        <w:t>Part 1 — Dataset Overview &amp; Methodology</w:t>
      </w:r>
    </w:p>
    <w:p>
      <w:pPr>
        <w:jc w:val="center"/>
      </w:pPr>
      <w:r>
        <w:rPr>
          <w:i/>
        </w:rPr>
        <w:t>Craigslist Cars &amp; Trucks Dataset</w:t>
      </w:r>
    </w:p>
    <w:p>
      <w:pPr>
        <w:pStyle w:val="2"/>
        <w:rPr>
          <w:color w:val="auto"/>
        </w:rPr>
      </w:pPr>
      <w:r>
        <w:rPr>
          <w:color w:val="auto"/>
        </w:rPr>
        <w:t>1. Executive Summary</w:t>
      </w:r>
    </w:p>
    <w:p>
      <w:r>
        <w:t>This report documents the first part of an Exploratory Data Analysis (EDA) of the Craigslist Cars &amp; Trucks dataset. The analysis examines the structure, quality, and characteristics of vehicle listings and establishes the methodology used for subsequent statistical and visual analysis.</w:t>
      </w:r>
    </w:p>
    <w:p>
      <w:r>
        <w:t>The original dataset contains 426,880 vehicle listings and 26 attributes. After basic data-quality cleaning, 393,985 records remained. The dataset includes numerical, categorical, textual, and geographic information.</w:t>
      </w:r>
      <w:bookmarkStart w:id="0" w:name="_GoBack"/>
      <w:bookmarkEnd w:id="0"/>
    </w:p>
    <w:p>
      <w:pPr>
        <w:pStyle w:val="2"/>
        <w:shd w:val="clear" w:fill="FFFFFF" w:themeFill="background1"/>
        <w:rPr>
          <w:color w:val="auto"/>
          <w:highlight w:val="none"/>
        </w:rPr>
      </w:pPr>
      <w:r>
        <w:rPr>
          <w:color w:val="auto"/>
          <w:highlight w:val="none"/>
        </w:rPr>
        <w:t>2. Dataset Overview</w:t>
      </w:r>
    </w:p>
    <w:tbl>
      <w:tblPr>
        <w:tblStyle w:val="36"/>
        <w:tblW w:w="9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Metric</w:t>
            </w:r>
          </w:p>
        </w:tc>
        <w:tc>
          <w:tcPr>
            <w:tcW w:w="4968" w:type="dxa"/>
          </w:tcPr>
          <w:p>
            <w:pPr>
              <w:spacing w:after="0" w:line="240" w:lineRule="auto"/>
            </w:pPr>
            <w:r>
              <w:t>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Original records</w:t>
            </w:r>
          </w:p>
        </w:tc>
        <w:tc>
          <w:tcPr>
            <w:tcW w:w="4968" w:type="dxa"/>
          </w:tcPr>
          <w:p>
            <w:pPr>
              <w:spacing w:after="0" w:line="240" w:lineRule="auto"/>
            </w:pPr>
            <w:r>
              <w:t>426,880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968" w:type="dxa"/>
          </w:tcPr>
          <w:p>
            <w:pPr>
              <w:spacing w:after="0" w:line="240" w:lineRule="auto"/>
            </w:pPr>
            <w:r>
              <w:t>Original columns</w:t>
            </w:r>
          </w:p>
        </w:tc>
        <w:tc>
          <w:tcPr>
            <w:tcW w:w="4968" w:type="dxa"/>
          </w:tcPr>
          <w:p>
            <w:pPr>
              <w:spacing w:after="0" w:line="240" w:lineRule="auto"/>
            </w:pPr>
            <w: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Cleaned records</w:t>
            </w:r>
          </w:p>
        </w:tc>
        <w:tc>
          <w:tcPr>
            <w:tcW w:w="4968" w:type="dxa"/>
          </w:tcPr>
          <w:p>
            <w:pPr>
              <w:spacing w:after="0" w:line="240" w:lineRule="auto"/>
            </w:pPr>
            <w:r>
              <w:t>393,985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Exact duplicate rows</w:t>
            </w:r>
          </w:p>
        </w:tc>
        <w:tc>
          <w:tcPr>
            <w:tcW w:w="4968" w:type="dxa"/>
          </w:tcPr>
          <w:p>
            <w:pPr>
              <w:spacing w:after="0" w:line="240" w:lineRule="auto"/>
            </w:pP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Unique model values (processed data)</w:t>
            </w:r>
          </w:p>
        </w:tc>
        <w:tc>
          <w:tcPr>
            <w:tcW w:w="4968" w:type="dxa"/>
          </w:tcPr>
          <w:p>
            <w:pPr>
              <w:spacing w:after="0" w:line="240" w:lineRule="auto"/>
            </w:pPr>
            <w:r>
              <w:t>~28,281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State categories (processed data)</w:t>
            </w:r>
          </w:p>
        </w:tc>
        <w:tc>
          <w:tcPr>
            <w:tcW w:w="4968" w:type="dxa"/>
          </w:tcPr>
          <w:p>
            <w:pPr>
              <w:spacing w:after="0" w:line="240" w:lineRule="auto"/>
            </w:pPr>
            <w:r>
              <w:t>51</w:t>
            </w:r>
          </w:p>
        </w:tc>
      </w:tr>
    </w:tbl>
    <w:p/>
    <w:p>
      <w:r>
        <w:t>The main attributes include price, vehicle year, manufacturer, model, condition, cylinders, fuel, odometer, title status, transmission, VIN, drive, size, vehicle type, paint color, region, state, latitude, longitude, description, and posting information.</w:t>
      </w:r>
    </w:p>
    <w:p>
      <w:pPr>
        <w:pStyle w:val="2"/>
        <w:rPr>
          <w:color w:val="auto"/>
        </w:rPr>
      </w:pPr>
      <w:r>
        <w:rPr>
          <w:color w:val="auto"/>
        </w:rPr>
        <w:t>3. Methodology</w:t>
      </w:r>
    </w:p>
    <w:p>
      <w:pPr>
        <w:pStyle w:val="20"/>
      </w:pPr>
      <w:r>
        <w:t>Load and inspect the raw dataset using Pandas.</w:t>
      </w:r>
    </w:p>
    <w:p>
      <w:pPr>
        <w:pStyle w:val="20"/>
      </w:pPr>
      <w:r>
        <w:t>Review dimensions, data types, summary statistics, and sample records.</w:t>
      </w:r>
    </w:p>
    <w:p>
      <w:pPr>
        <w:pStyle w:val="20"/>
      </w:pPr>
      <w:r>
        <w:t>Check for exact duplicate rows and assess missing values.</w:t>
      </w:r>
    </w:p>
    <w:p>
      <w:pPr>
        <w:pStyle w:val="20"/>
      </w:pPr>
      <w:r>
        <w:t>Standardize column names and clean categorical/text fields.</w:t>
      </w:r>
    </w:p>
    <w:p>
      <w:pPr>
        <w:pStyle w:val="20"/>
      </w:pPr>
      <w:r>
        <w:t>Convert price, year, and odometer to numeric representations.</w:t>
      </w:r>
    </w:p>
    <w:p>
      <w:pPr>
        <w:pStyle w:val="20"/>
      </w:pPr>
      <w:r>
        <w:t>Remove records with non-positive prices.</w:t>
      </w:r>
    </w:p>
    <w:p>
      <w:pPr>
        <w:pStyle w:val="20"/>
      </w:pPr>
      <w:r>
        <w:t>Treat years outside 1900–2026 as invalid and convert them to missing values.</w:t>
      </w:r>
    </w:p>
    <w:p>
      <w:pPr>
        <w:pStyle w:val="20"/>
      </w:pPr>
      <w:r>
        <w:t>Treat non-positive odometer values as invalid and convert them to missing values.</w:t>
      </w:r>
    </w:p>
    <w:p>
      <w:pPr>
        <w:pStyle w:val="20"/>
      </w:pPr>
      <w:r>
        <w:t>Engineer vehicle age, age groups, mileage groups, price groups, price per mile, and log-transformed variables.</w:t>
      </w:r>
    </w:p>
    <w:p>
      <w:pPr>
        <w:pStyle w:val="20"/>
      </w:pPr>
      <w:r>
        <w:t>Perform univariate, bivariate, multivariate, and geographic EDA.</w:t>
      </w:r>
    </w:p>
    <w:p>
      <w:pPr>
        <w:pStyle w:val="20"/>
      </w:pPr>
      <w:r>
        <w:t>Use percentile-based limits for selected visualizations so extreme observations do not dominate charts.</w:t>
      </w:r>
    </w:p>
    <w:p>
      <w:pPr>
        <w:pStyle w:val="20"/>
      </w:pPr>
      <w:r>
        <w:t>Summarize findings, assumptions, and limitations.</w:t>
      </w:r>
    </w:p>
    <w:p>
      <w:pPr>
        <w:pStyle w:val="2"/>
        <w:rPr>
          <w:color w:val="auto"/>
        </w:rPr>
      </w:pPr>
      <w:r>
        <w:rPr>
          <w:color w:val="auto"/>
        </w:rPr>
        <w:t>4. Data Quality Assessment</w:t>
      </w:r>
    </w:p>
    <w:p>
      <w:r>
        <w:t>The dataset has no exact duplicate rows, but it contains substantial missingness in several important vehicle attributes. The missingness is uneven across columns and therefore must be considered when interpreting individual analyses.</w:t>
      </w:r>
    </w:p>
    <w:tbl>
      <w:tblPr>
        <w:tblStyle w:val="36"/>
        <w:tblW w:w="99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68"/>
        <w:gridCol w:w="4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Column</w:t>
            </w:r>
          </w:p>
        </w:tc>
        <w:tc>
          <w:tcPr>
            <w:tcW w:w="4968" w:type="dxa"/>
          </w:tcPr>
          <w:p>
            <w:pPr>
              <w:spacing w:after="0" w:line="240" w:lineRule="auto"/>
            </w:pPr>
            <w:r>
              <w:t>Approx. Missing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county</w:t>
            </w:r>
          </w:p>
        </w:tc>
        <w:tc>
          <w:tcPr>
            <w:tcW w:w="4968" w:type="dxa"/>
          </w:tcPr>
          <w:p>
            <w:pPr>
              <w:spacing w:after="0" w:line="240" w:lineRule="auto"/>
            </w:pPr>
            <w: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size</w:t>
            </w:r>
          </w:p>
        </w:tc>
        <w:tc>
          <w:tcPr>
            <w:tcW w:w="4968" w:type="dxa"/>
          </w:tcPr>
          <w:p>
            <w:pPr>
              <w:spacing w:after="0" w:line="240" w:lineRule="auto"/>
            </w:pPr>
            <w:r>
              <w:t>71.77%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cylinders</w:t>
            </w:r>
          </w:p>
        </w:tc>
        <w:tc>
          <w:tcPr>
            <w:tcW w:w="4968" w:type="dxa"/>
          </w:tcPr>
          <w:p>
            <w:pPr>
              <w:spacing w:after="0" w:line="240" w:lineRule="auto"/>
            </w:pPr>
            <w:r>
              <w:t>41.62%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condition</w:t>
            </w:r>
          </w:p>
        </w:tc>
        <w:tc>
          <w:tcPr>
            <w:tcW w:w="4968" w:type="dxa"/>
          </w:tcPr>
          <w:p>
            <w:pPr>
              <w:spacing w:after="0" w:line="240" w:lineRule="auto"/>
            </w:pPr>
            <w:r>
              <w:t>40.79%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VIN</w:t>
            </w:r>
          </w:p>
        </w:tc>
        <w:tc>
          <w:tcPr>
            <w:tcW w:w="4968" w:type="dxa"/>
          </w:tcPr>
          <w:p>
            <w:pPr>
              <w:spacing w:after="0" w:line="240" w:lineRule="auto"/>
            </w:pPr>
            <w:r>
              <w:t>37.73%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drive</w:t>
            </w:r>
          </w:p>
        </w:tc>
        <w:tc>
          <w:tcPr>
            <w:tcW w:w="4968" w:type="dxa"/>
          </w:tcPr>
          <w:p>
            <w:pPr>
              <w:spacing w:after="0" w:line="240" w:lineRule="auto"/>
            </w:pPr>
            <w:r>
              <w:t>30.59%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paint_color</w:t>
            </w:r>
          </w:p>
        </w:tc>
        <w:tc>
          <w:tcPr>
            <w:tcW w:w="4968" w:type="dxa"/>
          </w:tcPr>
          <w:p>
            <w:pPr>
              <w:spacing w:after="0" w:line="240" w:lineRule="auto"/>
            </w:pPr>
            <w:r>
              <w:t>30.50%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type</w:t>
            </w:r>
          </w:p>
        </w:tc>
        <w:tc>
          <w:tcPr>
            <w:tcW w:w="4968" w:type="dxa"/>
          </w:tcPr>
          <w:p>
            <w:pPr>
              <w:spacing w:after="0" w:line="240" w:lineRule="auto"/>
            </w:pPr>
            <w:r>
              <w:t>21.75%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968" w:type="dxa"/>
          </w:tcPr>
          <w:p>
            <w:pPr>
              <w:spacing w:after="0" w:line="240" w:lineRule="auto"/>
            </w:pPr>
            <w:r>
              <w:t>manufacturer</w:t>
            </w:r>
          </w:p>
        </w:tc>
        <w:tc>
          <w:tcPr>
            <w:tcW w:w="4968" w:type="dxa"/>
          </w:tcPr>
          <w:p>
            <w:pPr>
              <w:spacing w:after="0" w:line="240" w:lineRule="auto"/>
            </w:pPr>
            <w:r>
              <w:t>4.13%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68" w:type="dxa"/>
          </w:tcPr>
          <w:p>
            <w:pPr>
              <w:spacing w:after="0" w:line="240" w:lineRule="auto"/>
            </w:pPr>
            <w:r>
              <w:t>title_status</w:t>
            </w:r>
          </w:p>
        </w:tc>
        <w:tc>
          <w:tcPr>
            <w:tcW w:w="4968" w:type="dxa"/>
          </w:tcPr>
          <w:p>
            <w:pPr>
              <w:spacing w:after="0" w:line="240" w:lineRule="auto"/>
            </w:pPr>
            <w:r>
              <w:t>1.93%</w:t>
            </w:r>
          </w:p>
        </w:tc>
      </w:tr>
    </w:tbl>
    <w:p>
      <w:pPr>
        <w:pStyle w:val="2"/>
        <w:rPr>
          <w:color w:val="auto"/>
        </w:rPr>
      </w:pPr>
      <w:r>
        <w:rPr>
          <w:color w:val="auto"/>
        </w:rPr>
        <w:t>5. Cleaning Strategy</w:t>
      </w:r>
    </w:p>
    <w:p>
      <w:r>
        <w:t>Missing values were not universally removed. Where the absence of information could itself be meaningful, missing values were retained. Rows were removed only when they violated basic analytical requirements, such as having a non-positive price.</w:t>
      </w:r>
    </w:p>
    <w:p>
      <w:r>
        <w:t>The county column contains 100% missing values and therefore provides no usable analytical information in its current form. Other geographic fields such as state, region, latitude, and longitude remain available.</w:t>
      </w:r>
    </w:p>
    <w:p>
      <w:pPr>
        <w:pStyle w:val="2"/>
        <w:rPr>
          <w:color w:val="auto"/>
        </w:rPr>
      </w:pPr>
      <w:r>
        <w:rPr>
          <w:color w:val="auto"/>
        </w:rPr>
        <w:t>6. Feature Engineering</w:t>
      </w:r>
    </w:p>
    <w:p>
      <w:pPr>
        <w:pStyle w:val="20"/>
      </w:pPr>
      <w:r>
        <w:t>Vehicle Age = 2026 − Vehicle Year.</w:t>
      </w:r>
    </w:p>
    <w:p>
      <w:pPr>
        <w:pStyle w:val="20"/>
      </w:pPr>
      <w:r>
        <w:t>Age groups: 0–3, 4–5, 6–10, 11–15, 16–20, and 20+ years.</w:t>
      </w:r>
    </w:p>
    <w:p>
      <w:pPr>
        <w:pStyle w:val="20"/>
      </w:pPr>
      <w:r>
        <w:t>Mileage groups: &lt;25K, 25K–50K, 50K–75K, 75K–100K, 100K–150K, and 150K+ miles.</w:t>
      </w:r>
    </w:p>
    <w:p>
      <w:pPr>
        <w:pStyle w:val="20"/>
      </w:pPr>
      <w:r>
        <w:t>Price groups for categorical price-level comparisons.</w:t>
      </w:r>
    </w:p>
    <w:p>
      <w:pPr>
        <w:pStyle w:val="20"/>
      </w:pPr>
      <w:r>
        <w:t>Price per Mile = Price / Odometer where odometer is positive.</w:t>
      </w:r>
    </w:p>
    <w:p>
      <w:pPr>
        <w:pStyle w:val="20"/>
      </w:pPr>
      <w:r>
        <w:t>log_price = log1p(price).</w:t>
      </w:r>
    </w:p>
    <w:p>
      <w:pPr>
        <w:pStyle w:val="20"/>
      </w:pPr>
      <w:r>
        <w:t>log_odometer = log1p(odometer).</w:t>
      </w:r>
    </w:p>
    <w:p>
      <w:pPr>
        <w:pStyle w:val="2"/>
        <w:rPr>
          <w:color w:val="auto"/>
        </w:rPr>
      </w:pPr>
      <w:r>
        <w:rPr>
          <w:color w:val="auto"/>
        </w:rPr>
        <w:t>7. Analytical Approach</w:t>
      </w:r>
    </w:p>
    <w:p>
      <w:r>
        <w:t>The analysis uses descriptive statistics and visualizations to identify distributions, relationships, patterns, and anomalies. Median values are emphasized where strong skewness makes averages misleading.</w:t>
      </w:r>
    </w:p>
    <w:p>
      <w:pPr>
        <w:pStyle w:val="2"/>
        <w:rPr>
          <w:color w:val="auto"/>
        </w:rPr>
      </w:pPr>
      <w:r>
        <w:rPr>
          <w:color w:val="auto"/>
        </w:rPr>
        <w:t>8. Scope</w:t>
      </w:r>
    </w:p>
    <w:p>
      <w:r>
        <w:t>This EDA is descriptive rather than causal. It is intended to understand the dataset and prepare it for potential future work such as price prediction, market segmentation, depreciation analysis, or anomaly detection.</w:t>
      </w:r>
    </w:p>
    <w:sectPr>
      <w:pgSz w:w="12240" w:h="15840"/>
      <w:pgMar w:top="1008" w:right="1152" w:bottom="1008"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Cambria">
    <w:altName w:val="Liberation Serif"/>
    <w:panose1 w:val="02040503050406030204"/>
    <w:charset w:val="00"/>
    <w:family w:val="auto"/>
    <w:pitch w:val="default"/>
    <w:sig w:usb0="00000000" w:usb1="00000000" w:usb2="00000000" w:usb3="00000000" w:csb0="0000019F" w:csb1="00000000"/>
  </w:font>
  <w:font w:name="ＭＳ 明朝">
    <w:altName w:val="URW Bookman"/>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Aptos">
    <w:altName w:val="URW Bookman"/>
    <w:panose1 w:val="00000000000000000000"/>
    <w:charset w:val="00"/>
    <w:family w:val="auto"/>
    <w:pitch w:val="default"/>
    <w:sig w:usb0="00000000" w:usb1="00000000" w:usb2="00000000" w:usb3="00000000" w:csb0="00000000" w:csb1="00000000"/>
  </w:font>
  <w:font w:name="ＭＳ ゴシック">
    <w:altName w:val="URW Bookman"/>
    <w:panose1 w:val="00000000000000000000"/>
    <w:charset w:val="80"/>
    <w:family w:val="modern"/>
    <w:pitch w:val="default"/>
    <w:sig w:usb0="00000000" w:usb1="00000000" w:usb2="00000010" w:usb3="00000000" w:csb0="00020000" w:csb1="00000000"/>
  </w:font>
  <w:font w:name="Symbol">
    <w:altName w:val="D050000L"/>
    <w:panose1 w:val="00000000000000000000"/>
    <w:charset w:val="02"/>
    <w:family w:val="auto"/>
    <w:pitch w:val="default"/>
    <w:sig w:usb0="00000000" w:usb1="00000000" w:usb2="00000000" w:usb3="00000000" w:csb0="80000000" w:csb1="00000000"/>
  </w:font>
  <w:font w:name="Courier">
    <w:altName w:val="Noto Serif"/>
    <w:panose1 w:val="02000500000000000000"/>
    <w:charset w:val="00"/>
    <w:family w:val="auto"/>
    <w:pitch w:val="default"/>
    <w:sig w:usb0="00000000" w:usb1="00000000" w:usb2="00000000" w:usb3="00000000" w:csb0="00000001" w:csb1="00000000"/>
  </w:font>
  <w:font w:name="ＭＳ 明朝">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E0000AFF" w:usb1="500078FF" w:usb2="00000021" w:usb3="00000000" w:csb0="600001BF" w:csb1="DFF70000"/>
  </w:font>
  <w:font w:name="DejaVa Sans">
    <w:altName w:val="URW Book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8FB0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varun-chouhan</cp:lastModifiedBy>
  <dcterms:modified xsi:type="dcterms:W3CDTF">2026-10-04T16:06:57Z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