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sz w:val="44"/>
        </w:rPr>
        <w:t>Part 2 — EDA Findings &amp; Observations</w:t>
      </w:r>
    </w:p>
    <w:p>
      <w:pPr>
        <w:jc w:val="center"/>
      </w:pPr>
      <w:r>
        <w:rPr>
          <w:i/>
        </w:rPr>
        <w:t>Craigslist Cars &amp; Trucks Dataset</w:t>
      </w:r>
    </w:p>
    <w:p>
      <w:pPr>
        <w:pStyle w:val="2"/>
        <w:rPr>
          <w:color w:val="auto"/>
        </w:rPr>
      </w:pPr>
      <w:r>
        <w:rPr>
          <w:color w:val="auto"/>
        </w:rPr>
        <w:t>1. Price Analysis</w:t>
      </w:r>
    </w:p>
    <w:p>
      <w:r>
        <w:t>Price is highly right-skewed. The original maximum price is approximately $3.74 billion, while the median price is approximately $13,950. This large difference indicates the presence of extreme observations.</w:t>
      </w:r>
    </w:p>
    <w:p>
      <w:r>
        <w:t>The 99th percentile price used for selected visualizations is approximately $68,747.48. The percentile threshold is used to improve chart readability rather than to declare all higher-priced vehicles invalid.</w:t>
      </w:r>
    </w:p>
    <w:p>
      <w:pPr>
        <w:pStyle w:val="2"/>
        <w:rPr>
          <w:color w:val="auto"/>
        </w:rPr>
      </w:pPr>
      <w:r>
        <w:rPr>
          <w:color w:val="auto"/>
        </w:rPr>
        <w:t>2. Mileage Analysis</w:t>
      </w:r>
    </w:p>
    <w:p>
      <w:r>
        <w:t>The original odometer distribution has a median of approximately 85,548 miles, a 75th percentile of approximately 133,543 miles, and a maximum of 10,000,000 miles. The extreme maximum demonstrates the need for robust visualization and outlier review.</w:t>
      </w:r>
    </w:p>
    <w:p>
      <w:pPr>
        <w:pStyle w:val="2"/>
        <w:rPr>
          <w:color w:val="auto"/>
        </w:rPr>
      </w:pPr>
      <w:r>
        <w:rPr>
          <w:color w:val="auto"/>
        </w:rPr>
        <w:t>3. Vehicle Type Analysis</w:t>
      </w:r>
    </w:p>
    <w:tbl>
      <w:tblPr>
        <w:tblStyle w:val="36"/>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4"/>
        <w:gridCol w:w="2484"/>
        <w:gridCol w:w="2484"/>
        <w:gridCol w:w="2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Vehicle Type</w:t>
            </w:r>
          </w:p>
        </w:tc>
        <w:tc>
          <w:tcPr>
            <w:tcW w:w="2484" w:type="dxa"/>
          </w:tcPr>
          <w:p>
            <w:pPr>
              <w:spacing w:after="0" w:line="240" w:lineRule="auto"/>
            </w:pPr>
            <w:r>
              <w:t>Listings</w:t>
            </w:r>
          </w:p>
        </w:tc>
        <w:tc>
          <w:tcPr>
            <w:tcW w:w="2484" w:type="dxa"/>
          </w:tcPr>
          <w:p>
            <w:pPr>
              <w:spacing w:after="0" w:line="240" w:lineRule="auto"/>
            </w:pPr>
            <w:r>
              <w:t>Median Price</w:t>
            </w:r>
          </w:p>
        </w:tc>
        <w:tc>
          <w:tcPr>
            <w:tcW w:w="2484" w:type="dxa"/>
          </w:tcPr>
          <w:p>
            <w:pPr>
              <w:spacing w:after="0" w:line="240" w:lineRule="auto"/>
            </w:pPr>
            <w:r>
              <w:t>Median Odometer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Sedan</w:t>
            </w:r>
          </w:p>
        </w:tc>
        <w:tc>
          <w:tcPr>
            <w:tcW w:w="2484" w:type="dxa"/>
          </w:tcPr>
          <w:p>
            <w:pPr>
              <w:spacing w:after="0" w:line="240" w:lineRule="auto"/>
            </w:pPr>
            <w:r>
              <w:t>80,322</w:t>
            </w:r>
          </w:p>
        </w:tc>
        <w:tc>
          <w:tcPr>
            <w:tcW w:w="2484" w:type="dxa"/>
          </w:tcPr>
          <w:p>
            <w:pPr>
              <w:spacing w:after="0" w:line="240" w:lineRule="auto"/>
            </w:pPr>
            <w:r>
              <w:t>$10,995</w:t>
            </w:r>
          </w:p>
        </w:tc>
        <w:tc>
          <w:tcPr>
            <w:tcW w:w="2484" w:type="dxa"/>
          </w:tcPr>
          <w:p>
            <w:pPr>
              <w:spacing w:after="0" w:line="240" w:lineRule="auto"/>
            </w:pPr>
            <w:r>
              <w:t>81,130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SUV</w:t>
            </w:r>
          </w:p>
        </w:tc>
        <w:tc>
          <w:tcPr>
            <w:tcW w:w="2484" w:type="dxa"/>
          </w:tcPr>
          <w:p>
            <w:pPr>
              <w:spacing w:after="0" w:line="240" w:lineRule="auto"/>
            </w:pPr>
            <w:r>
              <w:t>70,599</w:t>
            </w:r>
          </w:p>
        </w:tc>
        <w:tc>
          <w:tcPr>
            <w:tcW w:w="2484" w:type="dxa"/>
          </w:tcPr>
          <w:p>
            <w:pPr>
              <w:spacing w:after="0" w:line="240" w:lineRule="auto"/>
            </w:pPr>
            <w:r>
              <w:t>$14,900</w:t>
            </w:r>
          </w:p>
        </w:tc>
        <w:tc>
          <w:tcPr>
            <w:tcW w:w="2484" w:type="dxa"/>
          </w:tcPr>
          <w:p>
            <w:pPr>
              <w:spacing w:after="0" w:line="240" w:lineRule="auto"/>
            </w:pPr>
            <w:r>
              <w:t>95,803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Pickup</w:t>
            </w:r>
          </w:p>
        </w:tc>
        <w:tc>
          <w:tcPr>
            <w:tcW w:w="2484" w:type="dxa"/>
          </w:tcPr>
          <w:p>
            <w:pPr>
              <w:spacing w:after="0" w:line="240" w:lineRule="auto"/>
            </w:pPr>
            <w:r>
              <w:t>41,373</w:t>
            </w:r>
          </w:p>
        </w:tc>
        <w:tc>
          <w:tcPr>
            <w:tcW w:w="2484" w:type="dxa"/>
          </w:tcPr>
          <w:p>
            <w:pPr>
              <w:spacing w:after="0" w:line="240" w:lineRule="auto"/>
            </w:pPr>
            <w:r>
              <w:t>$27,999</w:t>
            </w:r>
          </w:p>
        </w:tc>
        <w:tc>
          <w:tcPr>
            <w:tcW w:w="2484" w:type="dxa"/>
          </w:tcPr>
          <w:p>
            <w:pPr>
              <w:spacing w:after="0" w:line="240" w:lineRule="auto"/>
            </w:pPr>
            <w:r>
              <w:t>69,966.5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Truck</w:t>
            </w:r>
          </w:p>
        </w:tc>
        <w:tc>
          <w:tcPr>
            <w:tcW w:w="2484" w:type="dxa"/>
          </w:tcPr>
          <w:p>
            <w:pPr>
              <w:spacing w:after="0" w:line="240" w:lineRule="auto"/>
            </w:pPr>
            <w:r>
              <w:t>30,634</w:t>
            </w:r>
          </w:p>
        </w:tc>
        <w:tc>
          <w:tcPr>
            <w:tcW w:w="2484" w:type="dxa"/>
          </w:tcPr>
          <w:p>
            <w:pPr>
              <w:spacing w:after="0" w:line="240" w:lineRule="auto"/>
            </w:pPr>
            <w:r>
              <w:t>$24,995</w:t>
            </w:r>
          </w:p>
        </w:tc>
        <w:tc>
          <w:tcPr>
            <w:tcW w:w="2484" w:type="dxa"/>
          </w:tcPr>
          <w:p>
            <w:pPr>
              <w:spacing w:after="0" w:line="240" w:lineRule="auto"/>
            </w:pPr>
            <w:r>
              <w:t>103,832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Other</w:t>
            </w:r>
          </w:p>
        </w:tc>
        <w:tc>
          <w:tcPr>
            <w:tcW w:w="2484" w:type="dxa"/>
          </w:tcPr>
          <w:p>
            <w:pPr>
              <w:spacing w:after="0" w:line="240" w:lineRule="auto"/>
            </w:pPr>
            <w:r>
              <w:t>19,873</w:t>
            </w:r>
          </w:p>
        </w:tc>
        <w:tc>
          <w:tcPr>
            <w:tcW w:w="2484" w:type="dxa"/>
          </w:tcPr>
          <w:p>
            <w:pPr>
              <w:spacing w:after="0" w:line="240" w:lineRule="auto"/>
            </w:pPr>
            <w:r>
              <w:t>$27,990</w:t>
            </w:r>
          </w:p>
        </w:tc>
        <w:tc>
          <w:tcPr>
            <w:tcW w:w="2484" w:type="dxa"/>
          </w:tcPr>
          <w:p>
            <w:pPr>
              <w:spacing w:after="0" w:line="240" w:lineRule="auto"/>
            </w:pPr>
            <w:r>
              <w:t>39,087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Coupe</w:t>
            </w:r>
          </w:p>
        </w:tc>
        <w:tc>
          <w:tcPr>
            <w:tcW w:w="2484" w:type="dxa"/>
          </w:tcPr>
          <w:p>
            <w:pPr>
              <w:spacing w:after="0" w:line="240" w:lineRule="auto"/>
            </w:pPr>
            <w:r>
              <w:t>18,214</w:t>
            </w:r>
          </w:p>
        </w:tc>
        <w:tc>
          <w:tcPr>
            <w:tcW w:w="2484" w:type="dxa"/>
          </w:tcPr>
          <w:p>
            <w:pPr>
              <w:spacing w:after="0" w:line="240" w:lineRule="auto"/>
            </w:pPr>
            <w:r>
              <w:t>$19,990</w:t>
            </w:r>
          </w:p>
        </w:tc>
        <w:tc>
          <w:tcPr>
            <w:tcW w:w="2484" w:type="dxa"/>
          </w:tcPr>
          <w:p>
            <w:pPr>
              <w:spacing w:after="0" w:line="240" w:lineRule="auto"/>
            </w:pPr>
            <w:r>
              <w:t>53,066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Hatchback</w:t>
            </w:r>
          </w:p>
        </w:tc>
        <w:tc>
          <w:tcPr>
            <w:tcW w:w="2484" w:type="dxa"/>
          </w:tcPr>
          <w:p>
            <w:pPr>
              <w:spacing w:after="0" w:line="240" w:lineRule="auto"/>
            </w:pPr>
            <w:r>
              <w:t>15,917</w:t>
            </w:r>
          </w:p>
        </w:tc>
        <w:tc>
          <w:tcPr>
            <w:tcW w:w="2484" w:type="dxa"/>
          </w:tcPr>
          <w:p>
            <w:pPr>
              <w:spacing w:after="0" w:line="240" w:lineRule="auto"/>
            </w:pPr>
            <w:r>
              <w:t>$14,590</w:t>
            </w:r>
          </w:p>
        </w:tc>
        <w:tc>
          <w:tcPr>
            <w:tcW w:w="2484" w:type="dxa"/>
          </w:tcPr>
          <w:p>
            <w:pPr>
              <w:spacing w:after="0" w:line="240" w:lineRule="auto"/>
            </w:pPr>
            <w:r>
              <w:t>54,797.5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Wagon</w:t>
            </w:r>
          </w:p>
        </w:tc>
        <w:tc>
          <w:tcPr>
            <w:tcW w:w="2484" w:type="dxa"/>
          </w:tcPr>
          <w:p>
            <w:pPr>
              <w:spacing w:after="0" w:line="240" w:lineRule="auto"/>
            </w:pPr>
            <w:r>
              <w:t>10,064</w:t>
            </w:r>
          </w:p>
        </w:tc>
        <w:tc>
          <w:tcPr>
            <w:tcW w:w="2484" w:type="dxa"/>
          </w:tcPr>
          <w:p>
            <w:pPr>
              <w:spacing w:after="0" w:line="240" w:lineRule="auto"/>
            </w:pPr>
            <w:r>
              <w:t>$12,983.50</w:t>
            </w:r>
          </w:p>
        </w:tc>
        <w:tc>
          <w:tcPr>
            <w:tcW w:w="2484" w:type="dxa"/>
          </w:tcPr>
          <w:p>
            <w:pPr>
              <w:spacing w:after="0" w:line="240" w:lineRule="auto"/>
            </w:pPr>
            <w:r>
              <w:t>91,278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Van</w:t>
            </w:r>
          </w:p>
        </w:tc>
        <w:tc>
          <w:tcPr>
            <w:tcW w:w="2484" w:type="dxa"/>
          </w:tcPr>
          <w:p>
            <w:pPr>
              <w:spacing w:after="0" w:line="240" w:lineRule="auto"/>
            </w:pPr>
            <w:r>
              <w:t>7,974</w:t>
            </w:r>
          </w:p>
        </w:tc>
        <w:tc>
          <w:tcPr>
            <w:tcW w:w="2484" w:type="dxa"/>
          </w:tcPr>
          <w:p>
            <w:pPr>
              <w:spacing w:after="0" w:line="240" w:lineRule="auto"/>
            </w:pPr>
            <w:r>
              <w:t>$16,500</w:t>
            </w:r>
          </w:p>
        </w:tc>
        <w:tc>
          <w:tcPr>
            <w:tcW w:w="2484" w:type="dxa"/>
          </w:tcPr>
          <w:p>
            <w:pPr>
              <w:spacing w:after="0" w:line="240" w:lineRule="auto"/>
            </w:pPr>
            <w:r>
              <w:t>96,982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Convertible</w:t>
            </w:r>
          </w:p>
        </w:tc>
        <w:tc>
          <w:tcPr>
            <w:tcW w:w="2484" w:type="dxa"/>
          </w:tcPr>
          <w:p>
            <w:pPr>
              <w:spacing w:after="0" w:line="240" w:lineRule="auto"/>
            </w:pPr>
            <w:r>
              <w:t>7,439</w:t>
            </w:r>
          </w:p>
        </w:tc>
        <w:tc>
          <w:tcPr>
            <w:tcW w:w="2484" w:type="dxa"/>
          </w:tcPr>
          <w:p>
            <w:pPr>
              <w:spacing w:after="0" w:line="240" w:lineRule="auto"/>
            </w:pPr>
            <w:r>
              <w:t>$15,900</w:t>
            </w:r>
          </w:p>
        </w:tc>
        <w:tc>
          <w:tcPr>
            <w:tcW w:w="2484" w:type="dxa"/>
          </w:tcPr>
          <w:p>
            <w:pPr>
              <w:spacing w:after="0" w:line="240" w:lineRule="auto"/>
            </w:pPr>
            <w:r>
              <w:t>65,000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484" w:type="dxa"/>
          </w:tcPr>
          <w:p>
            <w:pPr>
              <w:spacing w:after="0" w:line="240" w:lineRule="auto"/>
            </w:pPr>
            <w:r>
              <w:t>Mini-van</w:t>
            </w:r>
          </w:p>
        </w:tc>
        <w:tc>
          <w:tcPr>
            <w:tcW w:w="2484" w:type="dxa"/>
          </w:tcPr>
          <w:p>
            <w:pPr>
              <w:spacing w:after="0" w:line="240" w:lineRule="auto"/>
            </w:pPr>
            <w:r>
              <w:t>4,552</w:t>
            </w:r>
          </w:p>
        </w:tc>
        <w:tc>
          <w:tcPr>
            <w:tcW w:w="2484" w:type="dxa"/>
          </w:tcPr>
          <w:p>
            <w:pPr>
              <w:spacing w:after="0" w:line="240" w:lineRule="auto"/>
            </w:pPr>
            <w:r>
              <w:t>$7,400</w:t>
            </w:r>
          </w:p>
        </w:tc>
        <w:tc>
          <w:tcPr>
            <w:tcW w:w="2484" w:type="dxa"/>
          </w:tcPr>
          <w:p>
            <w:pPr>
              <w:spacing w:after="0" w:line="240" w:lineRule="auto"/>
            </w:pPr>
            <w:r>
              <w:t>129,699</w:t>
            </w:r>
          </w:p>
        </w:tc>
      </w:tr>
    </w:tbl>
    <w:p>
      <w:r>
        <w:t>Sedans and SUVs have the largest listing volumes among the major vehicle categories. Pickup and truck listings have substantially higher median prices than sedans. The pickup category has a median price of approximately $27,999 compared with approximately $10,995 for sedans.</w:t>
      </w:r>
    </w:p>
    <w:p>
      <w:pPr>
        <w:pStyle w:val="2"/>
        <w:rPr>
          <w:color w:val="auto"/>
        </w:rPr>
      </w:pPr>
      <w:r>
        <w:rPr>
          <w:color w:val="auto"/>
        </w:rPr>
        <w:t>4. Manufacturer and Model Analysis</w:t>
      </w:r>
    </w:p>
    <w:p>
      <w:r>
        <w:t>Manufacturer-level analysis compares listing count, median price, average price, median odometer, and median vehicle age. Manufacturer is an important segmentation variable because different manufacturers occupy different market segments.</w:t>
      </w:r>
    </w:p>
    <w:p>
      <w:r>
        <w:t>Model is a high-cardinality attribute with approximately 28,281 unique values in the processed data. Model-level analysis therefore requires normalization because seller-entered model names may contain spelling differences, trim variations, and inconsistent naming.</w:t>
      </w:r>
    </w:p>
    <w:p>
      <w:pPr>
        <w:pStyle w:val="2"/>
        <w:rPr>
          <w:color w:val="auto"/>
        </w:rPr>
      </w:pPr>
      <w:r>
        <w:rPr>
          <w:color w:val="auto"/>
        </w:rPr>
        <w:t>5. Fuel, Transmission and Condition</w:t>
      </w:r>
    </w:p>
    <w:p>
      <w:r>
        <w:t>The notebook analyzes fuel type, transmission, and vehicle condition. Condition has substantial missingness, approximately 38–41% depending on the processing stage, so conclusions involving condition should be understood as applying to the available subset.</w:t>
      </w:r>
    </w:p>
    <w:p>
      <w:pPr>
        <w:pStyle w:val="2"/>
        <w:rPr>
          <w:color w:val="auto"/>
        </w:rPr>
      </w:pPr>
      <w:r>
        <w:rPr>
          <w:color w:val="auto"/>
        </w:rPr>
        <w:t>6. Price vs Mileage</w:t>
      </w:r>
    </w:p>
    <w:p>
      <w:r>
        <w:t>The price-versus-odometer analysis examines whether higher mileage is associated with lower listing prices. The relationship is not expected to be purely linear because vehicle age, manufacturer, model, type, condition, fuel, transmission, and location can also influence price.</w:t>
      </w:r>
    </w:p>
    <w:p>
      <w:pPr>
        <w:pStyle w:val="2"/>
        <w:rPr>
          <w:color w:val="auto"/>
        </w:rPr>
      </w:pPr>
      <w:r>
        <w:rPr>
          <w:color w:val="auto"/>
        </w:rPr>
        <w:t>7. Price vs Vehicle Age</w:t>
      </w:r>
    </w:p>
    <w:p>
      <w:r>
        <w:t>Vehicle age is expected to be an important pricing factor because used vehicles generally depreciate over time. However, depreciation differs substantially by brand, model, condition, mileage, type, and market demand.</w:t>
      </w:r>
    </w:p>
    <w:p>
      <w:pPr>
        <w:pStyle w:val="2"/>
        <w:rPr>
          <w:color w:val="auto"/>
        </w:rPr>
      </w:pPr>
      <w:r>
        <w:rPr>
          <w:color w:val="auto"/>
        </w:rPr>
        <w:t>8. Price per Mile and Log Transformations</w:t>
      </w:r>
    </w:p>
    <w:p>
      <w:r>
        <w:t>Price per mile was created as an exploratory normalized metric. It should not be interpreted as a literal depreciation rate because very low-mileage vehicles can produce very high values.</w:t>
      </w:r>
    </w:p>
    <w:p>
      <w:r>
        <w:t xml:space="preserve">Log transformations of price and odometer were created to reduce skewness and make </w:t>
      </w:r>
      <w:bookmarkStart w:id="0" w:name="_GoBack"/>
      <w:bookmarkEnd w:id="0"/>
      <w:r>
        <w:t>relationships easier to inspect, particularly for potential regression or machine-learning applications.</w:t>
      </w:r>
    </w:p>
    <w:p>
      <w:pPr>
        <w:pStyle w:val="2"/>
        <w:rPr>
          <w:color w:val="auto"/>
        </w:rPr>
      </w:pPr>
      <w:r>
        <w:rPr>
          <w:color w:val="auto"/>
        </w:rPr>
        <w:t>9. Geographic Analysis</w:t>
      </w:r>
    </w:p>
    <w:p>
      <w:r>
        <w:t>The dataset contains region, state, latitude, and longitude information. State-level analysis can reveal geographic differences in listing volume and pricing. However, listing volume should not be interpreted as vehicle sales volume.</w:t>
      </w:r>
    </w:p>
    <w:p>
      <w:pPr>
        <w:pStyle w:val="2"/>
        <w:rPr>
          <w:color w:val="auto"/>
        </w:rPr>
      </w:pPr>
      <w:r>
        <w:rPr>
          <w:color w:val="auto"/>
        </w:rPr>
        <w:t>10. Correlation Analysis</w:t>
      </w:r>
    </w:p>
    <w:p>
      <w:r>
        <w:t>A correlation heatmap is used to inspect relationships among numerical variables including price, year, odometer, vehicle age, price per mile, log price, log odometer, latitude, and longitude. Correlation indicates association and does not establish causation.</w:t>
      </w:r>
    </w:p>
    <w:p>
      <w:pPr>
        <w:pStyle w:val="2"/>
        <w:rPr>
          <w:color w:val="auto"/>
        </w:rPr>
      </w:pPr>
      <w:r>
        <w:rPr>
          <w:color w:val="auto"/>
        </w:rPr>
        <w:t>11. Key Findings</w:t>
      </w:r>
    </w:p>
    <w:p>
      <w:pPr>
        <w:pStyle w:val="20"/>
      </w:pPr>
      <w:r>
        <w:t>The dataset is large enough to support meaningful exploratory and machine-learning analysis, but data quality varies considerably by attribute.</w:t>
      </w:r>
    </w:p>
    <w:p>
      <w:pPr>
        <w:pStyle w:val="20"/>
      </w:pPr>
      <w:r>
        <w:t>Price is strongly right-skewed and contains extreme outliers, making median price more reliable than mean price for many comparisons.</w:t>
      </w:r>
    </w:p>
    <w:p>
      <w:pPr>
        <w:pStyle w:val="20"/>
      </w:pPr>
      <w:r>
        <w:t>Mileage also contains extreme observations and requires outlier-aware visualization.</w:t>
      </w:r>
    </w:p>
    <w:p>
      <w:pPr>
        <w:pStyle w:val="20"/>
      </w:pPr>
      <w:r>
        <w:t>Sedans and SUVs represent large portions of the listings, while pickups and trucks have higher median prices.</w:t>
      </w:r>
    </w:p>
    <w:p>
      <w:pPr>
        <w:pStyle w:val="20"/>
      </w:pPr>
      <w:r>
        <w:t>Vehicle age and mileage are important dimensions for understanding used-vehicle pricing.</w:t>
      </w:r>
    </w:p>
    <w:p>
      <w:pPr>
        <w:pStyle w:val="20"/>
      </w:pPr>
      <w:r>
        <w:t>Condition, cylinders, drive, size, VIN, and paint color have substantial missingness.</w:t>
      </w:r>
    </w:p>
    <w:p>
      <w:pPr>
        <w:pStyle w:val="20"/>
      </w:pPr>
      <w:r>
        <w:t>Geographic information provides another useful dimension for market segmentation.</w:t>
      </w:r>
    </w:p>
    <w:p>
      <w:pPr>
        <w:pStyle w:val="20"/>
      </w:pPr>
      <w:r>
        <w:t>Model is high-cardinality and requires normalization before use in a robust predictive model.</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Liberation 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Aptos">
    <w:altName w:val="URW Bookman"/>
    <w:panose1 w:val="00000000000000000000"/>
    <w:charset w:val="00"/>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altName w:val="D050000L"/>
    <w:panose1 w:val="00000000000000000000"/>
    <w:charset w:val="02"/>
    <w:family w:val="auto"/>
    <w:pitch w:val="default"/>
    <w:sig w:usb0="00000000" w:usb1="00000000" w:usb2="00000000" w:usb3="00000000" w:csb0="80000000" w:csb1="00000000"/>
  </w:font>
  <w:font w:name="Courier">
    <w:altName w:val="Noto Serif"/>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E0000AFF" w:usb1="500078FF" w:usb2="0000002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9CED9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varun-chouhan</cp:lastModifiedBy>
  <dcterms:modified xsi:type="dcterms:W3CDTF">2026-10-04T16:08:02Z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