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sz w:val="44"/>
        </w:rPr>
        <w:t>Part 3 — Assumptions, Limitations &amp; Conclusion</w:t>
      </w:r>
    </w:p>
    <w:p>
      <w:pPr>
        <w:jc w:val="center"/>
      </w:pPr>
      <w:r>
        <w:rPr>
          <w:i/>
        </w:rPr>
        <w:t>Craigslist Cars &amp; Trucks Dataset</w:t>
      </w:r>
    </w:p>
    <w:p>
      <w:pPr>
        <w:pStyle w:val="2"/>
        <w:rPr>
          <w:color w:val="auto"/>
        </w:rPr>
      </w:pPr>
      <w:r>
        <w:rPr>
          <w:color w:val="auto"/>
        </w:rPr>
        <w:t>1. Assumptions</w:t>
      </w:r>
      <w:bookmarkStart w:id="0" w:name="_GoBack"/>
      <w:bookmarkEnd w:id="0"/>
    </w:p>
    <w:p>
      <w:pPr>
        <w:pStyle w:val="3"/>
        <w:rPr>
          <w:color w:val="auto"/>
        </w:rPr>
      </w:pPr>
      <w:r>
        <w:rPr>
          <w:color w:val="auto"/>
        </w:rPr>
        <w:t>Listing price assumption</w:t>
      </w:r>
    </w:p>
    <w:p>
      <w:r>
        <w:t>The price field is treated as the advertised Craigslist listing price, not the final transaction price.</w:t>
      </w:r>
    </w:p>
    <w:p>
      <w:pPr>
        <w:pStyle w:val="3"/>
        <w:rPr>
          <w:color w:val="auto"/>
        </w:rPr>
      </w:pPr>
      <w:r>
        <w:rPr>
          <w:color w:val="auto"/>
        </w:rPr>
        <w:t>Missing-value assumption</w:t>
      </w:r>
    </w:p>
    <w:p>
      <w:r>
        <w:t>Missing values indicate unavailable information. Missing condition does not mean poor condition, and missing VIN does not mean an invalid vehicle.</w:t>
      </w:r>
    </w:p>
    <w:p>
      <w:pPr>
        <w:pStyle w:val="3"/>
        <w:rPr>
          <w:color w:val="auto"/>
        </w:rPr>
      </w:pPr>
      <w:r>
        <w:rPr>
          <w:color w:val="auto"/>
        </w:rPr>
        <w:t>Outlier assumption</w:t>
      </w:r>
    </w:p>
    <w:p>
      <w:r>
        <w:t>Extreme observations are investigated rather than automatically deleted. They may represent legitimate luxury, specialty, commercial, collector, or erroneous listings.</w:t>
      </w:r>
    </w:p>
    <w:p>
      <w:pPr>
        <w:pStyle w:val="3"/>
        <w:rPr>
          <w:color w:val="auto"/>
        </w:rPr>
      </w:pPr>
      <w:r>
        <w:rPr>
          <w:color w:val="auto"/>
        </w:rPr>
        <w:t>Positive-price assumption</w:t>
      </w:r>
    </w:p>
    <w:p>
      <w:r>
        <w:t>Records with price &lt;= 0 are unsuitable for normal price analysis and are removed.</w:t>
      </w:r>
    </w:p>
    <w:p>
      <w:pPr>
        <w:pStyle w:val="3"/>
        <w:rPr>
          <w:color w:val="auto"/>
        </w:rPr>
      </w:pPr>
      <w:r>
        <w:rPr>
          <w:color w:val="auto"/>
        </w:rPr>
        <w:t>Valid-year assumption</w:t>
      </w:r>
    </w:p>
    <w:p>
      <w:r>
        <w:t>Vehicle years outside 1900–2026 are treated as invalid and converted to missing values.</w:t>
      </w:r>
    </w:p>
    <w:p>
      <w:pPr>
        <w:pStyle w:val="3"/>
        <w:rPr>
          <w:color w:val="auto"/>
        </w:rPr>
      </w:pPr>
      <w:r>
        <w:rPr>
          <w:color w:val="auto"/>
        </w:rPr>
        <w:t>Mileage assumption</w:t>
      </w:r>
    </w:p>
    <w:p>
      <w:r>
        <w:t>Non-positive odometer values are treated as invalid.</w:t>
      </w:r>
    </w:p>
    <w:p>
      <w:pPr>
        <w:pStyle w:val="3"/>
        <w:rPr>
          <w:color w:val="auto"/>
        </w:rPr>
      </w:pPr>
      <w:r>
        <w:rPr>
          <w:color w:val="auto"/>
        </w:rPr>
        <w:t>Reference-year assumption</w:t>
      </w:r>
    </w:p>
    <w:p>
      <w:r>
        <w:t>Vehicle age is calculated relative to 2026, which is convenient for the current analysis but does not necessarily represent vehicle age when the historical listing was posted.</w:t>
      </w:r>
    </w:p>
    <w:p>
      <w:pPr>
        <w:pStyle w:val="3"/>
        <w:rPr>
          <w:color w:val="auto"/>
        </w:rPr>
      </w:pPr>
      <w:r>
        <w:rPr>
          <w:color w:val="auto"/>
        </w:rPr>
        <w:t>Visualization-filter assumption</w:t>
      </w:r>
    </w:p>
    <w:p>
      <w:r>
        <w:t>99th-percentile filtering is primarily used to improve visualization readability and does not imply that observations beyond the threshold are automatically invalid.</w:t>
      </w:r>
    </w:p>
    <w:p>
      <w:pPr>
        <w:pStyle w:val="3"/>
        <w:rPr>
          <w:color w:val="auto"/>
        </w:rPr>
      </w:pPr>
      <w:r>
        <w:rPr>
          <w:color w:val="auto"/>
        </w:rPr>
        <w:t>Correlation assumption</w:t>
      </w:r>
    </w:p>
    <w:p>
      <w:r>
        <w:t>Correlation is interpreted as association and not as evidence of causation.</w:t>
      </w:r>
    </w:p>
    <w:p>
      <w:pPr>
        <w:pStyle w:val="3"/>
        <w:rPr>
          <w:color w:val="auto"/>
        </w:rPr>
      </w:pPr>
      <w:r>
        <w:rPr>
          <w:color w:val="auto"/>
        </w:rPr>
        <w:t>Listing-market assumption</w:t>
      </w:r>
    </w:p>
    <w:p>
      <w:r>
        <w:t>A Craigslist listing is not equivalent to a completed vehicle sale.</w:t>
      </w:r>
    </w:p>
    <w:p>
      <w:pPr>
        <w:pStyle w:val="2"/>
        <w:rPr>
          <w:color w:val="auto"/>
        </w:rPr>
      </w:pPr>
      <w:r>
        <w:rPr>
          <w:color w:val="auto"/>
        </w:rPr>
        <w:t>2. Important Observations</w:t>
      </w:r>
    </w:p>
    <w:p>
      <w:pPr>
        <w:pStyle w:val="20"/>
      </w:pPr>
      <w:r>
        <w:t>The county field is completely missing and cannot contribute meaningful analysis.</w:t>
      </w:r>
    </w:p>
    <w:p>
      <w:pPr>
        <w:pStyle w:val="20"/>
      </w:pPr>
      <w:r>
        <w:t>The dataset contains extreme price observations, including a maximum around $3.74 billion.</w:t>
      </w:r>
    </w:p>
    <w:p>
      <w:pPr>
        <w:pStyle w:val="20"/>
      </w:pPr>
      <w:r>
        <w:t>Some vehicle categories have large differences between mean and median price, showing strong influence from outliers.</w:t>
      </w:r>
    </w:p>
    <w:p>
      <w:pPr>
        <w:pStyle w:val="20"/>
      </w:pPr>
      <w:r>
        <w:t>Missingness may itself contain information about seller behavior and listing quality.</w:t>
      </w:r>
    </w:p>
    <w:p>
      <w:pPr>
        <w:pStyle w:val="20"/>
      </w:pPr>
      <w:r>
        <w:t>Seller-entered attributes such as model, manufacturer, description, and condition may contain inconsistent naming or subjective information.</w:t>
      </w:r>
    </w:p>
    <w:p>
      <w:pPr>
        <w:pStyle w:val="20"/>
      </w:pPr>
      <w:r>
        <w:t>Using 2026 as the reference year for vehicle age creates a temporal mismatch for historical listings; posting year would be preferable for historical depreciation analysis.</w:t>
      </w:r>
    </w:p>
    <w:p>
      <w:pPr>
        <w:pStyle w:val="2"/>
        <w:rPr>
          <w:color w:val="auto"/>
        </w:rPr>
      </w:pPr>
      <w:r>
        <w:rPr>
          <w:color w:val="auto"/>
        </w:rPr>
        <w:t>3. Limitations</w:t>
      </w:r>
    </w:p>
    <w:p>
      <w:pPr>
        <w:pStyle w:val="20"/>
      </w:pPr>
      <w:r>
        <w:t>The dataset contains advertised prices rather than verified transaction prices.</w:t>
      </w:r>
    </w:p>
    <w:p>
      <w:pPr>
        <w:pStyle w:val="20"/>
      </w:pPr>
      <w:r>
        <w:t>Important variables have substantial missingness.</w:t>
      </w:r>
    </w:p>
    <w:p>
      <w:pPr>
        <w:pStyle w:val="20"/>
      </w:pPr>
      <w:r>
        <w:t>Some numerical fields contain extreme or potentially erroneous values.</w:t>
      </w:r>
    </w:p>
    <w:p>
      <w:pPr>
        <w:pStyle w:val="20"/>
      </w:pPr>
      <w:r>
        <w:t>Craigslist listing activity varies by region and may not represent the entire U.S. used-vehicle market.</w:t>
      </w:r>
    </w:p>
    <w:p>
      <w:pPr>
        <w:pStyle w:val="20"/>
      </w:pPr>
      <w:r>
        <w:t>Seller-entered information can be inconsistent or subjective.</w:t>
      </w:r>
    </w:p>
    <w:p>
      <w:pPr>
        <w:pStyle w:val="20"/>
      </w:pPr>
      <w:r>
        <w:t>The historical age calculation can be improved by using the posting date.</w:t>
      </w:r>
    </w:p>
    <w:p>
      <w:pPr>
        <w:pStyle w:val="20"/>
      </w:pPr>
      <w:r>
        <w:t>EDA identifies patterns and associations but does not establish causal relationships.</w:t>
      </w:r>
    </w:p>
    <w:p>
      <w:pPr>
        <w:pStyle w:val="20"/>
      </w:pPr>
      <w:r>
        <w:t>The dataset represents a particular market snapshot rather than a continuously observed sales market.</w:t>
      </w:r>
    </w:p>
    <w:p>
      <w:pPr>
        <w:pStyle w:val="2"/>
        <w:rPr>
          <w:color w:val="auto"/>
        </w:rPr>
      </w:pPr>
      <w:r>
        <w:rPr>
          <w:color w:val="auto"/>
        </w:rPr>
        <w:t>4. Recommendations for Further Analysis</w:t>
      </w:r>
    </w:p>
    <w:p>
      <w:pPr>
        <w:pStyle w:val="20"/>
      </w:pPr>
      <w:r>
        <w:t>Calculate vehicle age using posting year minus vehicle year.</w:t>
      </w:r>
    </w:p>
    <w:p>
      <w:pPr>
        <w:pStyle w:val="20"/>
      </w:pPr>
      <w:r>
        <w:t>Develop robust rules for detecting suspicious price and mileage combinations.</w:t>
      </w:r>
    </w:p>
    <w:p>
      <w:pPr>
        <w:pStyle w:val="20"/>
      </w:pPr>
      <w:r>
        <w:t>Normalize manufacturer, model, and trim names.</w:t>
      </w:r>
    </w:p>
    <w:p>
      <w:pPr>
        <w:pStyle w:val="20"/>
      </w:pPr>
      <w:r>
        <w:t>Perform state- and region-level price analysis.</w:t>
      </w:r>
    </w:p>
    <w:p>
      <w:pPr>
        <w:pStyle w:val="20"/>
      </w:pPr>
      <w:r>
        <w:t>Estimate depreciation by age, mileage, manufacturer, and model.</w:t>
      </w:r>
    </w:p>
    <w:p>
      <w:pPr>
        <w:pStyle w:val="20"/>
      </w:pPr>
      <w:r>
        <w:t>Use description text for NLP-based feature extraction.</w:t>
      </w:r>
    </w:p>
    <w:p>
      <w:pPr>
        <w:pStyle w:val="20"/>
      </w:pPr>
      <w:r>
        <w:t>Build price prediction models using Random Forest, XGBoost, LightGBM, CatBoost, or regression baselines.</w:t>
      </w:r>
    </w:p>
    <w:p>
      <w:pPr>
        <w:pStyle w:val="20"/>
      </w:pPr>
      <w:r>
        <w:t>Investigate anomaly detection for potentially incorrect listings.</w:t>
      </w:r>
    </w:p>
    <w:p>
      <w:pPr>
        <w:pStyle w:val="2"/>
        <w:rPr>
          <w:color w:val="auto"/>
        </w:rPr>
      </w:pPr>
      <w:r>
        <w:rPr>
          <w:color w:val="auto"/>
        </w:rPr>
        <w:t>5. Conclusion</w:t>
      </w:r>
    </w:p>
    <w:p>
      <w:r>
        <w:t>The Craigslist Cars &amp; Trucks dataset provides a large and diverse collection of vehicle listings suitable for exploratory analysis and future machine-learning work. The EDA demonstrates that data quality is a central consideration: although the dataset contains 426,880 listings, several important fields have substantial missingness and both price and mileage contain extreme observations.</w:t>
      </w:r>
    </w:p>
    <w:p>
      <w:r>
        <w:t>Vehicle type, age, mileage, manufacturer, model, condition, and geographic location provide useful dimensions for understanding listing prices. Pickup and truck listings have considerably higher median prices than sedans in the analyzed data, while the strong skew in prices makes median-based comparisons more reliable than mean-based comparisons.</w:t>
      </w:r>
    </w:p>
    <w:p>
      <w:r>
        <w:t>A key methodological lesson is that outlier handling should be separated from visualization choices. Extreme values should not automatically be deleted merely because they make charts harder to interpret. Similarly, missing information should not automatically be assigned a semantic meaning.</w:t>
      </w:r>
    </w:p>
    <w:p>
      <w:r>
        <w:t>Overall, the EDA establishes a strong foundation for future vehicle-price prediction, depreciation analysis, market segmentation, and anomaly detection. The most valuable improvements would be historical vehicle-age calculation, stronger outlier validation, model-name normalization, geographic analysis, and systematic treatment of missing data.</w:t>
      </w:r>
    </w:p>
    <w:p>
      <w:pPr>
        <w:pStyle w:val="2"/>
        <w:rPr>
          <w:color w:val="auto"/>
        </w:rPr>
      </w:pPr>
      <w:r>
        <w:rPr>
          <w:color w:val="auto"/>
        </w:rPr>
        <w:t>6. Final Assessment</w:t>
      </w:r>
    </w:p>
    <w:p>
      <w:r>
        <w:t>The analysis is appropriate as a descriptive EDA and demonstrates a structured approach to data cleaning, feature engineering, visualization, and interpretation. Future predictive modeling should build on these findings while applying stricter validation and domain-specific feature engineering.</w:t>
      </w:r>
    </w:p>
    <w:sectPr>
      <w:pgSz w:w="12240" w:h="15840"/>
      <w:pgMar w:top="1008" w:right="1152" w:bottom="1008"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Cambria">
    <w:altName w:val="Liberation Serif"/>
    <w:panose1 w:val="02040503050406030204"/>
    <w:charset w:val="00"/>
    <w:family w:val="auto"/>
    <w:pitch w:val="default"/>
    <w:sig w:usb0="00000000" w:usb1="00000000" w:usb2="00000000" w:usb3="00000000" w:csb0="0000019F" w:csb1="00000000"/>
  </w:font>
  <w:font w:name="ＭＳ 明朝">
    <w:altName w:val="URW Bookman"/>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Aptos">
    <w:altName w:val="URW Bookman"/>
    <w:panose1 w:val="00000000000000000000"/>
    <w:charset w:val="00"/>
    <w:family w:val="auto"/>
    <w:pitch w:val="default"/>
    <w:sig w:usb0="00000000" w:usb1="00000000" w:usb2="00000000" w:usb3="00000000" w:csb0="00000000" w:csb1="00000000"/>
  </w:font>
  <w:font w:name="ＭＳ ゴシック">
    <w:altName w:val="URW Bookman"/>
    <w:panose1 w:val="00000000000000000000"/>
    <w:charset w:val="80"/>
    <w:family w:val="modern"/>
    <w:pitch w:val="default"/>
    <w:sig w:usb0="00000000" w:usb1="00000000" w:usb2="00000010" w:usb3="00000000" w:csb0="00020000" w:csb1="00000000"/>
  </w:font>
  <w:font w:name="Symbol">
    <w:altName w:val="D050000L"/>
    <w:panose1 w:val="00000000000000000000"/>
    <w:charset w:val="02"/>
    <w:family w:val="auto"/>
    <w:pitch w:val="default"/>
    <w:sig w:usb0="00000000" w:usb1="00000000" w:usb2="00000000" w:usb3="00000000" w:csb0="80000000" w:csb1="00000000"/>
  </w:font>
  <w:font w:name="Courier">
    <w:altName w:val="Noto Serif"/>
    <w:panose1 w:val="02000500000000000000"/>
    <w:charset w:val="00"/>
    <w:family w:val="auto"/>
    <w:pitch w:val="default"/>
    <w:sig w:usb0="00000000" w:usb1="00000000" w:usb2="00000000" w:usb3="00000000" w:csb0="00000001" w:csb1="00000000"/>
  </w:font>
  <w:font w:name="ＭＳ 明朝">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 w:name="DejaVa Sans">
    <w:altName w:val="URW Bookman"/>
    <w:panose1 w:val="00000000000000000000"/>
    <w:charset w:val="00"/>
    <w:family w:val="auto"/>
    <w:pitch w:val="default"/>
    <w:sig w:usb0="00000000" w:usb1="00000000" w:usb2="00000000" w:usb3="00000000" w:csb0="00000000" w:csb1="00000000"/>
  </w:font>
  <w:font w:name="Liberation Serif">
    <w:panose1 w:val="02020603050405020304"/>
    <w:charset w:val="00"/>
    <w:family w:val="auto"/>
    <w:pitch w:val="default"/>
    <w:sig w:usb0="E0000AFF" w:usb1="500078FF" w:usb2="0000002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BF09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Layout w:type="fixed"/>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varun-chouhan</cp:lastModifiedBy>
  <dcterms:modified xsi:type="dcterms:W3CDTF">2026-10-04T16:08:49Z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