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0"/>
        </w:rPr>
        <w:t>HR &amp; PEOPLE ANALYTICS</w:t>
      </w:r>
    </w:p>
    <w:p>
      <w:pPr>
        <w:jc w:val="center"/>
      </w:pPr>
      <w:r>
        <w:rPr>
          <w:b/>
          <w:sz w:val="32"/>
        </w:rPr>
        <w:t>Business Insights &amp; Recommendations</w:t>
      </w:r>
    </w:p>
    <w:p>
      <w:pPr>
        <w:jc w:val="center"/>
      </w:pPr>
      <w:r>
        <w:rPr>
          <w:i/>
          <w:color w:val="646464"/>
          <w:sz w:val="20"/>
        </w:rPr>
        <w:t>Power BI Dashboard Analysis</w:t>
      </w:r>
    </w:p>
    <w:p/>
    <w:p>
      <w:pPr>
        <w:pStyle w:val="Heading1"/>
      </w:pPr>
      <w:r>
        <w:t>1. Executive Summary</w:t>
      </w:r>
    </w:p>
    <w:p>
      <w:r>
        <w:t>This document summarizes key observations from the HR &amp; People Analytics Power BI dashboard. The report covers workforce status, department-level distribution, recorded compensation, performance, employee engagement, training outcomes, recruitment demand, and succession planning. The findings are descriptive and are intended to guide further investigation and HR decision-making rather than establish causation.</w:t>
      </w:r>
    </w:p>
    <w:p>
      <w:pPr>
        <w:pStyle w:val="Heading1"/>
      </w:pPr>
      <w:r>
        <w:t>2. Key Dashboard Findings</w:t>
      </w:r>
    </w:p>
    <w:p>
      <w:pPr>
        <w:pStyle w:val="Heading2"/>
      </w:pPr>
      <w:r>
        <w:t>Workforce status</w:t>
      </w:r>
    </w:p>
    <w:p>
      <w:r>
        <w:t>The dataset contains 5,000 employee records: 4,295 active employees and 705 terminated employees. Terminated records represent 14.1% of the employee master dataset. This is a share of records, not necessarily an annual attrition rate; a defined reporting period and appropriate attrition methodology would be needed for that.</w:t>
      </w:r>
    </w:p>
    <w:p>
      <w:pPr>
        <w:pStyle w:val="Heading2"/>
      </w:pPr>
      <w:r>
        <w:t>Department workforce distribution</w:t>
      </w:r>
    </w:p>
    <w:p>
      <w:r>
        <w:t>Production has 584 employee records, while Research and Development has 517. These counts provide a starting point for comparing workforce distribution across departments and reviewing staffing requirements.</w:t>
      </w:r>
    </w:p>
    <w:p>
      <w:pPr>
        <w:pStyle w:val="Heading2"/>
      </w:pPr>
      <w:r>
        <w:t>Recorded compensation</w:t>
      </w:r>
    </w:p>
    <w:p>
      <w:r>
        <w:t>Sales has an average recorded salary of approximately ₹1.26 lakh, while HR has an average recorded salary of approximately ₹71,063. This difference should be interpreted alongside job roles, levels, tenure, and other relevant factors.</w:t>
      </w:r>
    </w:p>
    <w:p>
      <w:pPr>
        <w:pStyle w:val="Heading2"/>
      </w:pPr>
      <w:r>
        <w:t>Performance ratings</w:t>
      </w:r>
    </w:p>
    <w:p>
      <w:r>
        <w:t>HR has the highest average performance rating at approximately 3.53, while Logistics has the lowest at approximately 3.45. The difference is small, so additional context would be needed before treating it as a meaningful performance gap.</w:t>
      </w:r>
    </w:p>
    <w:p>
      <w:pPr>
        <w:pStyle w:val="Heading2"/>
      </w:pPr>
      <w:r>
        <w:t>Employee engagement</w:t>
      </w:r>
    </w:p>
    <w:p>
      <w:r>
        <w:t>Marketing has the highest average engagement score at approximately 3.51, while Logistics has the lowest at approximately 3.45. These averages can help identify areas for follow-up but do not, by themselves, explain why scores differ.</w:t>
      </w:r>
    </w:p>
    <w:p>
      <w:pPr>
        <w:pStyle w:val="Heading2"/>
      </w:pPr>
      <w:r>
        <w:t>Training outcomes</w:t>
      </w:r>
    </w:p>
    <w:p>
      <w:r>
        <w:t>The represented training records show a 100% completion rate and an average training score of 88. Completion and assessment scores are useful indicators, but they do not independently demonstrate long-term training effectiveness.</w:t>
      </w:r>
    </w:p>
    <w:p>
      <w:pPr>
        <w:pStyle w:val="Heading2"/>
      </w:pPr>
      <w:r>
        <w:t>Recruitment demand</w:t>
      </w:r>
    </w:p>
    <w:p>
      <w:r>
        <w:t>The dataset contains 1,415 open positions, including 352 in Sales. Reviewing vacancies by department and business priority can help HR understand where recruitment demand is concentrated.</w:t>
      </w:r>
    </w:p>
    <w:p>
      <w:pPr>
        <w:pStyle w:val="Heading2"/>
      </w:pPr>
      <w:r>
        <w:t>Succession planning</w:t>
      </w:r>
    </w:p>
    <w:p>
      <w:r>
        <w:t>The dashboard records 1,234 employees in primary succession planning and 1,415 total succession plans. These counts can support a review of succession planning coverage; they do not independently establish candidate readiness.</w:t>
      </w:r>
    </w:p>
    <w:p>
      <w:pPr>
        <w:pStyle w:val="Heading1"/>
      </w:pPr>
      <w:r>
        <w:t>3. Important Trends and Patterns</w:t>
      </w:r>
    </w:p>
    <w:p>
      <w:pPr>
        <w:pStyle w:val="ListBullet"/>
      </w:pPr>
      <w:r>
        <w:t>Workforce status is a useful executive-level starting point, but employee exits should be analyzed over a clearly defined time period to calculate an interpretable attrition rate.</w:t>
      </w:r>
    </w:p>
    <w:p>
      <w:pPr>
        <w:pStyle w:val="ListBullet"/>
      </w:pPr>
      <w:r>
        <w:t>Department averages differ across compensation, performance, and engagement. These comparisons are descriptive and should be investigated with relevant context before conclusions are drawn.</w:t>
      </w:r>
    </w:p>
    <w:p>
      <w:pPr>
        <w:pStyle w:val="ListBullet"/>
      </w:pPr>
      <w:r>
        <w:t>Sales is notable in both recorded average salary and open-position volume. Further analysis could examine job mix, vacancy age, hiring priority, and the relationship between staffing needs and business operations.</w:t>
      </w:r>
    </w:p>
    <w:p>
      <w:pPr>
        <w:pStyle w:val="ListBullet"/>
      </w:pPr>
      <w:r>
        <w:t>The recorded training completion rate is 100%, with an average score of 88. Additional outcome measures would help determine whether training translates into improved job performance.</w:t>
      </w:r>
    </w:p>
    <w:p>
      <w:pPr>
        <w:pStyle w:val="ListBullet"/>
      </w:pPr>
      <w:r>
        <w:t>Succession planning counts indicate activity in this area, but coverage of critical roles and readiness of nominated candidates would provide a more decision-useful view.</w:t>
      </w:r>
    </w:p>
    <w:p>
      <w:pPr>
        <w:pStyle w:val="Heading1"/>
      </w:pPr>
      <w:r>
        <w:t>4. Highest and Lowest Observed Categories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Measure</w:t>
            </w:r>
          </w:p>
        </w:tc>
        <w:tc>
          <w:tcPr>
            <w:tcW w:type="dxa" w:w="3312"/>
          </w:tcPr>
          <w:p>
            <w:r>
              <w:t>Highest observed</w:t>
            </w:r>
          </w:p>
        </w:tc>
        <w:tc>
          <w:tcPr>
            <w:tcW w:type="dxa" w:w="3312"/>
          </w:tcPr>
          <w:p>
            <w:r>
              <w:t>Lowest observed</w:t>
            </w:r>
          </w:p>
        </w:tc>
      </w:tr>
      <w:tr>
        <w:tc>
          <w:tcPr>
            <w:tcW w:type="dxa" w:w="3312"/>
          </w:tcPr>
          <w:p>
            <w:r>
              <w:t>Average performance rating</w:t>
            </w:r>
          </w:p>
        </w:tc>
        <w:tc>
          <w:tcPr>
            <w:tcW w:type="dxa" w:w="3312"/>
          </w:tcPr>
          <w:p>
            <w:r>
              <w:t>HR — approximately 3.53</w:t>
            </w:r>
          </w:p>
        </w:tc>
        <w:tc>
          <w:tcPr>
            <w:tcW w:type="dxa" w:w="3312"/>
          </w:tcPr>
          <w:p>
            <w:r>
              <w:t>Logistics — approximately 3.45</w:t>
            </w:r>
          </w:p>
        </w:tc>
      </w:tr>
      <w:tr>
        <w:tc>
          <w:tcPr>
            <w:tcW w:type="dxa" w:w="3312"/>
          </w:tcPr>
          <w:p>
            <w:r>
              <w:t>Average engagement score</w:t>
            </w:r>
          </w:p>
        </w:tc>
        <w:tc>
          <w:tcPr>
            <w:tcW w:type="dxa" w:w="3312"/>
          </w:tcPr>
          <w:p>
            <w:r>
              <w:t>Marketing — approximately 3.51</w:t>
            </w:r>
          </w:p>
        </w:tc>
        <w:tc>
          <w:tcPr>
            <w:tcW w:type="dxa" w:w="3312"/>
          </w:tcPr>
          <w:p>
            <w:r>
              <w:t>Logistics — approximately 3.45</w:t>
            </w:r>
          </w:p>
        </w:tc>
      </w:tr>
      <w:tr>
        <w:tc>
          <w:tcPr>
            <w:tcW w:type="dxa" w:w="3312"/>
          </w:tcPr>
          <w:p>
            <w:r>
              <w:t>Recorded average salary</w:t>
            </w:r>
          </w:p>
        </w:tc>
        <w:tc>
          <w:tcPr>
            <w:tcW w:type="dxa" w:w="3312"/>
          </w:tcPr>
          <w:p>
            <w:r>
              <w:t>Sales — approximately ₹1.26 lakh</w:t>
            </w:r>
          </w:p>
        </w:tc>
        <w:tc>
          <w:tcPr>
            <w:tcW w:type="dxa" w:w="3312"/>
          </w:tcPr>
          <w:p>
            <w:r>
              <w:t>HR — approximately ₹71,063</w:t>
            </w:r>
          </w:p>
        </w:tc>
      </w:tr>
      <w:tr>
        <w:tc>
          <w:tcPr>
            <w:tcW w:type="dxa" w:w="3312"/>
          </w:tcPr>
          <w:p>
            <w:r>
              <w:t>Open positions</w:t>
            </w:r>
          </w:p>
        </w:tc>
        <w:tc>
          <w:tcPr>
            <w:tcW w:type="dxa" w:w="3312"/>
          </w:tcPr>
          <w:p>
            <w:r>
              <w:t>Sales — 352 positions</w:t>
            </w:r>
          </w:p>
        </w:tc>
        <w:tc>
          <w:tcPr>
            <w:tcW w:type="dxa" w:w="3312"/>
          </w:tcPr>
          <w:p>
            <w:r>
              <w:t>Department-level lowest not specified in the available summary</w:t>
            </w:r>
          </w:p>
        </w:tc>
      </w:tr>
    </w:tbl>
    <w:p>
      <w:r>
        <w:t>Note: The available project summary does not provide the full department-by-department values for every measure. No unsupported lowest category is assigned where the value is not available.</w:t>
      </w:r>
    </w:p>
    <w:p>
      <w:pPr>
        <w:pStyle w:val="Heading1"/>
      </w:pPr>
      <w:r>
        <w:t>5. Business Recommendations</w:t>
      </w:r>
    </w:p>
    <w:p>
      <w:pPr>
        <w:pStyle w:val="Heading2"/>
      </w:pPr>
      <w:r>
        <w:t>Investigate employee exits</w:t>
      </w:r>
    </w:p>
    <w:p>
      <w:r>
        <w:t>Break down terminated records by department, role, tenure, and other available attributes. Define the reporting period and use a consistent formula before reporting an attrition rate.</w:t>
      </w:r>
    </w:p>
    <w:p>
      <w:pPr>
        <w:pStyle w:val="Heading2"/>
      </w:pPr>
      <w:r>
        <w:t>Review compensation differences</w:t>
      </w:r>
    </w:p>
    <w:p>
      <w:r>
        <w:t>Compare employees in similar roles and job levels, accounting for experience and responsibilities. Use the analysis to identify potential inconsistencies for further review rather than assuming that department averages alone indicate inequity.</w:t>
      </w:r>
    </w:p>
    <w:p>
      <w:pPr>
        <w:pStyle w:val="Heading2"/>
      </w:pPr>
      <w:r>
        <w:t>Follow up on engagement</w:t>
      </w:r>
    </w:p>
    <w:p>
      <w:r>
        <w:t>Review employee feedback, working conditions, and management practices in departments with comparatively lower engagement scores. Prioritize interventions where additional evidence identifies a clear issue.</w:t>
      </w:r>
    </w:p>
    <w:p>
      <w:pPr>
        <w:pStyle w:val="Heading2"/>
      </w:pPr>
      <w:r>
        <w:t>Evaluate training effectiveness</w:t>
      </w:r>
    </w:p>
    <w:p>
      <w:r>
        <w:t>Supplement completion and assessment scores with post-training performance, skills application, and employee feedback. This would help assess whether training supports workplace outcomes.</w:t>
      </w:r>
    </w:p>
    <w:p>
      <w:pPr>
        <w:pStyle w:val="Heading2"/>
      </w:pPr>
      <w:r>
        <w:t>Prioritize recruitment demand</w:t>
      </w:r>
    </w:p>
    <w:p>
      <w:r>
        <w:t>Review open positions by business priority, vacancy age, role criticality, and recruitment stage. Use these factors alongside vacancy counts to sequence hiring activities.</w:t>
      </w:r>
    </w:p>
    <w:p>
      <w:pPr>
        <w:pStyle w:val="Heading2"/>
      </w:pPr>
      <w:r>
        <w:t>Strengthen succession planning</w:t>
      </w:r>
    </w:p>
    <w:p>
      <w:r>
        <w:t>Validate succession plans for critical roles, including candidate readiness, development needs, and backup coverage. Distinguish the number of plans from the number of roles adequately covered.</w:t>
      </w:r>
    </w:p>
    <w:p>
      <w:pPr>
        <w:pStyle w:val="Heading1"/>
      </w:pPr>
      <w:r>
        <w:t>6. Limitations and Interpretation Notes</w:t>
      </w:r>
    </w:p>
    <w:p>
      <w:pPr>
        <w:pStyle w:val="ListBullet"/>
      </w:pPr>
      <w:r>
        <w:t>The 14.1% terminated-record share is not automatically an annual attrition rate.</w:t>
      </w:r>
    </w:p>
    <w:p>
      <w:pPr>
        <w:pStyle w:val="ListBullet"/>
      </w:pPr>
      <w:r>
        <w:t>Department-level averages are descriptive and do not establish causation.</w:t>
      </w:r>
    </w:p>
    <w:p>
      <w:pPr>
        <w:pStyle w:val="ListBullet"/>
      </w:pPr>
      <w:r>
        <w:t>Salary comparisons may be influenced by differences in roles, seniority, tenure, and responsibilities.</w:t>
      </w:r>
    </w:p>
    <w:p>
      <w:pPr>
        <w:pStyle w:val="ListBullet"/>
      </w:pPr>
      <w:r>
        <w:t>A recorded 100% training completion rate may reflect the records represented in the dataset rather than all training activity in the organization.</w:t>
      </w:r>
    </w:p>
    <w:p>
      <w:pPr>
        <w:pStyle w:val="ListBullet"/>
      </w:pPr>
      <w:r>
        <w:t>Open-position counts alone do not show recruitment delays, time-to-fill, or hiring effectiveness.</w:t>
      </w:r>
    </w:p>
    <w:p>
      <w:pPr>
        <w:pStyle w:val="ListBullet"/>
      </w:pPr>
      <w:r>
        <w:t>Succession-plan counts alone do not establish candidate readiness or complete coverage of critical roles.</w:t>
      </w:r>
    </w:p>
    <w:p>
      <w:pPr>
        <w:pStyle w:val="Heading1"/>
      </w:pPr>
      <w:r>
        <w:t>7. Conclusion</w:t>
      </w:r>
    </w:p>
    <w:p>
      <w:r>
        <w:t>The HR &amp; People Analytics dashboard provides a structured view of workforce status, departmental distribution, compensation, performance, engagement, training, recruitment, and succession planning. Its value lies in making HR indicators easier to compare and in highlighting questions for further investigation. Applying consistent metric definitions and adding time-based or role-level context would strengthen the analysis and support more reliable decisions.</w:t>
      </w:r>
    </w:p>
    <w:p>
      <w:pPr>
        <w:pStyle w:val="Heading1"/>
      </w:pPr>
      <w:r>
        <w:t>Project Tools</w:t>
      </w:r>
    </w:p>
    <w:p>
      <w:r>
        <w:t>Power BI Desktop • Python • Git • GitHub</w:t>
      </w:r>
    </w:p>
    <w:p/>
    <w:p>
      <w:pPr>
        <w:jc w:val="center"/>
      </w:pPr>
      <w:r>
        <w:rPr>
          <w:b/>
          <w:color w:val="1F4E79"/>
        </w:rPr>
        <w:t>Prepared by Varun Joshi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