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70" w:name="Xe377a5536ecda259a8eb339daf3216829fb3288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Computational screening of sustainable low-emissivity PVD coatings on soda-lime float glass</w:t>
      </w:r>
    </w:p>
    <w:p>
      <w:pPr>
        <w:pStyle w:val="FirstParagraph"/>
      </w:pPr>
      <w:r>
        <w:rPr>
          <w:bCs/>
          <w:b/>
        </w:rPr>
        <w:t xml:space="preserve">Technical report</w:t>
      </w:r>
      <w:r>
        <w:t xml:space="preserve"> </w:t>
      </w:r>
      <w:r>
        <w:t xml:space="preserve">Saint-Gobain Research India</w:t>
      </w:r>
      <w:r>
        <w:t xml:space="preserve"> </w:t>
      </w:r>
      <w:r>
        <w:t xml:space="preserve">Author: Varun Mandy, Research Intern</w:t>
      </w:r>
      <w:r>
        <w:t xml:space="preserve"> </w:t>
      </w:r>
      <w:r>
        <w:t xml:space="preserve">Framework:</w:t>
      </w:r>
      <w:r>
        <w:t xml:space="preserve"> </w:t>
      </w:r>
      <w:r>
        <w:rPr>
          <w:rStyle w:val="VerbatimChar"/>
        </w:rPr>
        <w:t xml:space="preserve">pvdlowe</w:t>
      </w:r>
      <w:r>
        <w:t xml:space="preserve"> </w:t>
      </w:r>
      <w:r>
        <w:t xml:space="preserve">v0.1.0 — https://github.com/VarunMandy/pvdlowe</w:t>
      </w:r>
    </w:p>
    <w:p>
      <w:r>
        <w:pict>
          <v:rect style="width:0;height:1.5pt" o:hralign="center" o:hrstd="t" o:hr="t"/>
        </w:pict>
      </w:r>
    </w:p>
    <w:bookmarkStart w:id="20" w:name="abstract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Abstract</w:t>
      </w:r>
    </w:p>
    <w:p>
      <w:pPr>
        <w:pStyle w:val="FirstParagraph"/>
      </w:pPr>
      <w:r>
        <w:t xml:space="preserve">A computational framework was developed to execute the screening workflow set</w:t>
      </w:r>
      <w:r>
        <w:t xml:space="preserve"> </w:t>
      </w:r>
      <w:r>
        <w:t xml:space="preserve">out in the project brief</w:t>
      </w:r>
      <w:r>
        <w:t xml:space="preserve"> </w:t>
      </w:r>
      <w:r>
        <w:rPr>
          <w:iCs/>
          <w:i/>
        </w:rPr>
        <w:t xml:space="preserve">PVD_Usecase.docx</w:t>
      </w:r>
      <w:r>
        <w:t xml:space="preserve">: element screening, thermodynamic</w:t>
      </w:r>
      <w:r>
        <w:t xml:space="preserve"> </w:t>
      </w:r>
      <w:r>
        <w:t xml:space="preserve">stability, optical multilayer modelling, design of experiments and</w:t>
      </w:r>
      <w:r>
        <w:t xml:space="preserve"> </w:t>
      </w:r>
      <w:r>
        <w:t xml:space="preserve">multi-objective ranking, for cost-effective low-emissivity coatings deposited by</w:t>
      </w:r>
      <w:r>
        <w:t xml:space="preserve"> </w:t>
      </w:r>
      <w:r>
        <w:t xml:space="preserve">argon magnetron sputtering.</w:t>
      </w:r>
    </w:p>
    <w:p>
      <w:pPr>
        <w:pStyle w:val="BodyText"/>
      </w:pPr>
      <w:r>
        <w:t xml:space="preserve">Applying the framework to the brief produced three classes of result. First, the</w:t>
      </w:r>
      <w:r>
        <w:t xml:space="preserve"> </w:t>
      </w:r>
      <w:r>
        <w:t xml:space="preserve">proposed multi-objective weighting was found to contain four defects, one of</w:t>
      </w:r>
      <w:r>
        <w:t xml:space="preserve"> </w:t>
      </w:r>
      <w:r>
        <w:t xml:space="preserve">which allowed a thickness optimiser to return a design consuming 29%</w:t>
      </w:r>
      <w:r>
        <w:t xml:space="preserve"> </w:t>
      </w:r>
      <w:r>
        <w:rPr>
          <w:iCs/>
          <w:i/>
        </w:rPr>
        <w:t xml:space="preserve">more</w:t>
      </w:r>
      <w:r>
        <w:t xml:space="preserve"> </w:t>
      </w:r>
      <w:r>
        <w:t xml:space="preserve">silver than the incumbent while scoring 100/100. Second, two of the brief’s</w:t>
      </w:r>
      <w:r>
        <w:t xml:space="preserve"> </w:t>
      </w:r>
      <w:r>
        <w:t xml:space="preserve">literature citations could not be matched to any locatable source, and one</w:t>
      </w:r>
      <w:r>
        <w:t xml:space="preserve"> </w:t>
      </w:r>
      <w:r>
        <w:t xml:space="preserve">pivotal measurement was found inconsistent with a model-independent</w:t>
      </w:r>
      <w:r>
        <w:t xml:space="preserve"> </w:t>
      </w:r>
      <w:r>
        <w:t xml:space="preserve">electrodynamic limit. Thermodynamic screening of all fifteen nominated chemical systems confirmed that</w:t>
      </w:r>
      <w:r>
        <w:t xml:space="preserve"> </w:t>
      </w:r>
      <w:r>
        <w:t xml:space="preserve">Ag–Cu possesses no stable ordered compound, supporting the brief’s suspicion of</w:t>
      </w:r>
      <w:r>
        <w:t xml:space="preserve"> </w:t>
      </w:r>
      <w:r>
        <w:t xml:space="preserve">phase separation with first-principles evidence. Third, the design-space search</w:t>
      </w:r>
      <w:r>
        <w:t xml:space="preserve"> </w:t>
      </w:r>
      <w:r>
        <w:t xml:space="preserve">identified a material class</w:t>
      </w:r>
      <w:r>
        <w:t xml:space="preserve"> </w:t>
      </w:r>
      <w:r>
        <w:t xml:space="preserve">and a stack architecture outside the brief’s framing, both of which outperform</w:t>
      </w:r>
      <w:r>
        <w:t xml:space="preserve"> </w:t>
      </w:r>
      <w:r>
        <w:t xml:space="preserve">the proposed candidates: silicon nitride dielectrics improve visible</w:t>
      </w:r>
      <w:r>
        <w:t xml:space="preserve"> </w:t>
      </w:r>
      <w:r>
        <w:t xml:space="preserve">transmittance by up to nine percentage points over AZO, and the composition</w:t>
      </w:r>
      <w:r>
        <w:t xml:space="preserve"> </w:t>
      </w:r>
      <w:r>
        <w:t xml:space="preserve">optimum lies at 5–15 at.% Ag rather than the proposed 70%.</w:t>
      </w:r>
    </w:p>
    <w:p>
      <w:pPr>
        <w:pStyle w:val="BodyText"/>
      </w:pPr>
      <w:r>
        <w:rPr>
          <w:bCs/>
          <w:b/>
        </w:rPr>
        <w:t xml:space="preserve">No films were deposited.</w:t>
      </w:r>
      <w:r>
        <w:t xml:space="preserve"> </w:t>
      </w:r>
      <w:r>
        <w:t xml:space="preserve">All performance figures are model outputs. The</w:t>
      </w:r>
      <w:r>
        <w:t xml:space="preserve"> </w:t>
      </w:r>
      <w:r>
        <w:t xml:space="preserve">framework’s own validation identifies its largest error — an approximately</w:t>
      </w:r>
      <w:r>
        <w:t xml:space="preserve"> </w:t>
      </w:r>
      <w:r>
        <w:t xml:space="preserve">eightfold under-prediction of sputtered copper sheet resistance — in the</w:t>
      </w:r>
      <w:r>
        <w:t xml:space="preserve"> </w:t>
      </w:r>
      <w:r>
        <w:t xml:space="preserve">material on which most leading candidates depend. A specified experiment</w:t>
      </w:r>
      <w:r>
        <w:t xml:space="preserve"> </w:t>
      </w:r>
      <w:r>
        <w:t xml:space="preserve">resolving this, with pre-registered decision rules and an automated analysis</w:t>
      </w:r>
      <w:r>
        <w:t xml:space="preserve"> </w:t>
      </w:r>
      <w:r>
        <w:t xml:space="preserve">path, is delivered with the framework.</w:t>
      </w:r>
    </w:p>
    <w:p>
      <w:r>
        <w:pict>
          <v:rect style="width:0;height:1.5pt" o:hralign="center" o:hrstd="t" o:hr="t"/>
        </w:pict>
      </w:r>
    </w:p>
    <w:bookmarkEnd w:id="20"/>
    <w:bookmarkStart w:id="24" w:name="scope-and-deliverables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1. Scope and deliverables</w:t>
      </w:r>
    </w:p>
    <w:bookmarkStart w:id="21" w:name="what-was-asked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t xml:space="preserve">1.1 What was asked</w:t>
      </w:r>
    </w:p>
    <w:p>
      <w:pPr>
        <w:pStyle w:val="FirstParagraph"/>
      </w:pPr>
      <w:r>
        <w:t xml:space="preserve">The brief proposed a materials-by-design programme for transparent</w:t>
      </w:r>
      <w:r>
        <w:t xml:space="preserve"> </w:t>
      </w:r>
      <w:r>
        <w:t xml:space="preserve">low-emissivity coatings on float glass, centred on a dielectric/metal/dielectric</w:t>
      </w:r>
      <w:r>
        <w:t xml:space="preserve"> </w:t>
      </w:r>
      <w:r>
        <w:t xml:space="preserve">architecture (AZO/metal/AZO) and asking how much silver could be removed while</w:t>
      </w:r>
      <w:r>
        <w:t xml:space="preserve"> </w:t>
      </w:r>
      <w:r>
        <w:t xml:space="preserve">retaining visible transmittance, sheet resistance and far-infrared reflectance.</w:t>
      </w:r>
    </w:p>
    <w:bookmarkEnd w:id="21"/>
    <w:bookmarkStart w:id="22" w:name="what-was-delivered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t xml:space="preserve">1.2 What was delivered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Computational framework implementing the brief’s §21 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— 12,000 lines, 86 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Element and compound screening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Optical multilayer model (transfer matrix, EN 410 / 673 / 12898)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Complete, validated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Thin-film transport model coupled to optics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Complete,</w:t>
            </w:r>
            <w:r>
              <w:t xml:space="preserve"> </w:t>
            </w:r>
            <w:r>
              <w:rPr>
                <w:bCs/>
                <w:b/>
              </w:rPr>
              <w:t xml:space="preserve">uncalibrated — requires §6 experiment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Multi-objective scoring with provenance grading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Design of experiments generator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DFT input generation (VASP)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Complete,</w:t>
            </w:r>
            <w:r>
              <w:t xml:space="preserve"> </w:t>
            </w:r>
            <w:r>
              <w:rPr>
                <w:bCs/>
                <w:b/>
              </w:rPr>
              <w:t xml:space="preserve">not executed — requires VASP licence and HPC allocation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Materials Project integration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Complete and executed</w:t>
            </w:r>
            <w:r>
              <w:t xml:space="preserve"> </w:t>
            </w:r>
            <w:r>
              <w:t xml:space="preserve">— 15/15 systems retrieved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Candidate ranking, 36 architectures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Complete,</w:t>
            </w:r>
            <w:r>
              <w:t xml:space="preserve"> </w:t>
            </w:r>
            <w:r>
              <w:rPr>
                <w:bCs/>
                <w:b/>
              </w:rPr>
              <w:t xml:space="preserve">model outputs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Experimental protocol with pre-registered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Complete,</w:t>
            </w:r>
            <w:r>
              <w:t xml:space="preserve"> </w:t>
            </w:r>
            <w:r>
              <w:rPr>
                <w:bCs/>
                <w:b/>
              </w:rPr>
              <w:t xml:space="preserve">not executed — requires tool 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Illuminant sensitivity quantified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(§7.3)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Manufacturability constraints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Triple-metal architecture 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— negative result (§5.4)</w:t>
            </w:r>
          </w:p>
        </w:tc>
      </w:tr>
    </w:tbl>
    <w:p>
      <w:pPr>
        <w:pStyle w:val="BodyText"/>
      </w:pPr>
      <w:r>
        <w:t xml:space="preserve">Repository, documentation, results and protocols are version-controlled and</w:t>
      </w:r>
      <w:r>
        <w:t xml:space="preserve"> </w:t>
      </w:r>
      <w:r>
        <w:t xml:space="preserve">archived to</w:t>
      </w:r>
      <w:r>
        <w:t xml:space="preserve"> </w:t>
      </w:r>
      <w:r>
        <w:rPr>
          <w:rStyle w:val="VerbatimChar"/>
        </w:rPr>
        <w:t xml:space="preserve">gs://sg-llamole-pvdlowe/pvdlowe/source/</w:t>
      </w:r>
      <w:r>
        <w:t xml:space="preserve">.</w:t>
      </w:r>
    </w:p>
    <w:bookmarkEnd w:id="22"/>
    <w:bookmarkStart w:id="23" w:name="what-was-not-done-and-why"/>
    <w:p>
      <w:pPr>
        <w:pStyle w:val="Heading3"/>
      </w:pPr>
      <w:r>
        <w:rPr>
          <w:rStyle w:val="SectionNumber"/>
        </w:rPr>
        <w:t xml:space="preserve">1.2.3</w:t>
      </w:r>
      <w:r>
        <w:tab/>
      </w:r>
      <w:r>
        <w:t xml:space="preserve">1.3 What was not done, and why</w:t>
      </w:r>
    </w:p>
    <w:p>
      <w:pPr>
        <w:pStyle w:val="FirstParagraph"/>
      </w:pPr>
      <w:r>
        <w:t xml:space="preserve">No depositions were performed. The author did not have sputter tool access</w:t>
      </w:r>
      <w:r>
        <w:t xml:space="preserve"> </w:t>
      </w:r>
      <w:r>
        <w:t xml:space="preserve">during the internship period. The experimental work is therefore specified</w:t>
      </w:r>
      <w:r>
        <w:t xml:space="preserve"> </w:t>
      </w:r>
      <w:r>
        <w:t xml:space="preserve">rather than executed, and the protocol in §6 is written as a handover document</w:t>
      </w:r>
      <w:r>
        <w:t xml:space="preserve"> </w:t>
      </w:r>
      <w:r>
        <w:t xml:space="preserve">that a colleague with tool access can run without further input.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the-framework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2. The framework</w:t>
      </w:r>
    </w:p>
    <w:bookmarkStart w:id="25" w:name="physical-model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t xml:space="preserve">2.1 Physical model</w:t>
      </w:r>
    </w:p>
    <w:p>
      <w:pPr>
        <w:pStyle w:val="FirstParagraph"/>
      </w:pPr>
      <w:r>
        <w:rPr>
          <w:bCs/>
          <w:b/>
        </w:rPr>
        <w:t xml:space="preserve">Optics.</w:t>
      </w:r>
      <w:r>
        <w:t xml:space="preserve"> </w:t>
      </w:r>
      <w:r>
        <w:t xml:space="preserve">A vectorised transfer-matrix solver handles arbitrary layer counts,</w:t>
      </w:r>
      <w:r>
        <w:t xml:space="preserve"> </w:t>
      </w:r>
      <w:r>
        <w:t xml:space="preserve">complex refractive indices, both polarisations and oblique incidence. Thick</w:t>
      </w:r>
      <w:r>
        <w:t xml:space="preserve"> </w:t>
      </w:r>
      <w:r>
        <w:t xml:space="preserve">glass is treated incoherently. Verified against exact Fresnel reflectance for a</w:t>
      </w:r>
      <w:r>
        <w:t xml:space="preserve"> </w:t>
      </w:r>
      <w:r>
        <w:t xml:space="preserve">bare interface, exact null for a quarter-wave antireflection layer, and energy</w:t>
      </w:r>
      <w:r>
        <w:t xml:space="preserve"> </w:t>
      </w:r>
      <w:r>
        <w:t xml:space="preserve">conservation to 10⁻¹⁰ on absorbing stacks.</w:t>
      </w:r>
    </w:p>
    <w:p>
      <w:pPr>
        <w:pStyle w:val="BodyText"/>
      </w:pPr>
      <w:r>
        <w:rPr>
          <w:bCs/>
          <w:b/>
        </w:rPr>
        <w:t xml:space="preserve">Optical constants.</w:t>
      </w:r>
      <w:r>
        <w:t xml:space="preserve"> </w:t>
      </w:r>
      <w:r>
        <w:t xml:space="preserve">Metals use the Lorentz–Drude parameterisation of Rakić et</w:t>
      </w:r>
      <w:r>
        <w:t xml:space="preserve"> </w:t>
      </w:r>
      <w:r>
        <w:t xml:space="preserve">al. (1998), with one deliberate departure: the free-electron damping is</w:t>
      </w:r>
      <w:r>
        <w:t xml:space="preserve"> </w:t>
      </w:r>
      <w:r>
        <w:t xml:space="preserve">re-anchored to DC resistivity rather than taken from the published optical fit.</w:t>
      </w:r>
      <w:r>
        <w:t xml:space="preserve"> </w:t>
      </w:r>
      <w:r>
        <w:t xml:space="preserve">Rakić’s fitted Γ₀ for silver implies ρ ≈ 4.4 µΩ·cm against a true 1.587, because</w:t>
      </w:r>
      <w:r>
        <w:t xml:space="preserve"> </w:t>
      </w:r>
      <w:r>
        <w:t xml:space="preserve">in the visible the Drude term trades off against interband oscillators. Using</w:t>
      </w:r>
      <w:r>
        <w:t xml:space="preserve"> </w:t>
      </w:r>
      <w:r>
        <w:t xml:space="preserve">the published value and then applying a thin-film size-effect multiplier</w:t>
      </w:r>
      <w:r>
        <w:t xml:space="preserve"> </w:t>
      </w:r>
      <w:r>
        <w:t xml:space="preserve">double-counts the same scattering, and inflated modelled emissivity roughly</w:t>
      </w:r>
      <w:r>
        <w:t xml:space="preserve"> </w:t>
      </w:r>
      <w:r>
        <w:t xml:space="preserve">threefold in an early build.</w:t>
      </w:r>
    </w:p>
    <w:p>
      <w:pPr>
        <w:pStyle w:val="BodyText"/>
      </w:pPr>
      <w:r>
        <w:rPr>
          <w:bCs/>
          <w:b/>
        </w:rPr>
        <w:t xml:space="preserve">Transport.</w:t>
      </w:r>
      <w:r>
        <w:t xml:space="preserve"> </w:t>
      </w:r>
      <w:r>
        <w:t xml:space="preserve">Full Fuchs–Sondheimer integral for surface scattering,</w:t>
      </w:r>
      <w:r>
        <w:t xml:space="preserve"> </w:t>
      </w:r>
      <w:r>
        <w:t xml:space="preserve">Mayadas–Shatzkes for grain boundaries, and a percolation model below a critical</w:t>
      </w:r>
      <w:r>
        <w:t xml:space="preserve"> </w:t>
      </w:r>
      <w:r>
        <w:t xml:space="preserve">thickness. Critically, the resulting resistivity ratio</w:t>
      </w:r>
      <w:r>
        <w:t xml:space="preserve"> </w:t>
      </w:r>
      <w:r>
        <w:rPr>
          <w:bCs/>
          <w:b/>
        </w:rPr>
        <w:t xml:space="preserve">feeds back into the</w:t>
      </w:r>
      <w:r>
        <w:rPr>
          <w:bCs/>
          <w:b/>
        </w:rPr>
        <w:t xml:space="preserve"> </w:t>
      </w:r>
      <w:r>
        <w:rPr>
          <w:bCs/>
          <w:b/>
        </w:rPr>
        <w:t xml:space="preserve">Drude damping</w:t>
      </w:r>
      <w:r>
        <w:t xml:space="preserve">: a film too thin to conduct is automatically a film that</w:t>
      </w:r>
      <w:r>
        <w:t xml:space="preserve"> </w:t>
      </w:r>
      <w:r>
        <w:t xml:space="preserve">reflects poorly. Without this coupling, optimising for transmittance drives the</w:t>
      </w:r>
      <w:r>
        <w:t xml:space="preserve"> </w:t>
      </w:r>
      <w:r>
        <w:t xml:space="preserve">metal thickness to zero and reports an excellent coating.</w:t>
      </w:r>
    </w:p>
    <w:p>
      <w:pPr>
        <w:pStyle w:val="BodyText"/>
      </w:pPr>
      <w:r>
        <w:rPr>
          <w:bCs/>
          <w:b/>
        </w:rPr>
        <w:t xml:space="preserve">Standards integration.</w:t>
      </w:r>
      <w:r>
        <w:t xml:space="preserve"> </w:t>
      </w:r>
      <w:r>
        <w:t xml:space="preserve">EN 410 / ISO 9050 for visible and solar</w:t>
      </w:r>
      <w:r>
        <w:t xml:space="preserve"> </w:t>
      </w:r>
      <w:r>
        <w:t xml:space="preserve">transmittance; EN 12898 for normal emissivity, weighted by a 283 K Planck</w:t>
      </w:r>
      <w:r>
        <w:t xml:space="preserve"> </w:t>
      </w:r>
      <w:r>
        <w:t xml:space="preserve">radiance; EN 673 for the hemispherical correction and centre-pane U-value,</w:t>
      </w:r>
      <w:r>
        <w:t xml:space="preserve"> </w:t>
      </w:r>
      <w:r>
        <w:t xml:space="preserve">cross-checked against direct angular integration.</w:t>
      </w:r>
    </w:p>
    <w:bookmarkEnd w:id="25"/>
    <w:bookmarkStart w:id="26" w:name="provenance-grading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t xml:space="preserve">2.2 Provenance grading</w:t>
      </w:r>
    </w:p>
    <w:p>
      <w:pPr>
        <w:pStyle w:val="FirstParagraph"/>
      </w:pPr>
      <w:r>
        <w:t xml:space="preserve">Every physical quantity carries an evidence grade — MEASURED, LITERATURE,</w:t>
      </w:r>
      <w:r>
        <w:t xml:space="preserve"> </w:t>
      </w:r>
      <w:r>
        <w:t xml:space="preserve">LITERATURE_UNVERIFIED, MP_API, DFT_OWN, MODEL, CALIBRATED, ESTIMATE, HYPOTHESIS</w:t>
      </w:r>
      <w:r>
        <w:t xml:space="preserve"> </w:t>
      </w:r>
      <w:r>
        <w:t xml:space="preserve">— and a guard function refuses to admit HYPOTHESIS-grade values into headline</w:t>
      </w:r>
      <w:r>
        <w:t xml:space="preserve"> </w:t>
      </w:r>
      <w:r>
        <w:t xml:space="preserve">tables without explicit opt-in.</w:t>
      </w:r>
    </w:p>
    <w:p>
      <w:pPr>
        <w:pStyle w:val="BodyText"/>
      </w:pPr>
      <w:r>
        <w:t xml:space="preserve">This implements the brief’s own caution (</w:t>
      </w:r>
      <w:r>
        <w:t xml:space="preserve">“</w:t>
      </w:r>
      <w:r>
        <w:t xml:space="preserve">I would not yet put numerical DFT</w:t>
      </w:r>
      <w:r>
        <w:t xml:space="preserve"> </w:t>
      </w:r>
      <w:r>
        <w:t xml:space="preserve">values for Ag₇₀Cu₂₉Ti₁ into a thesis as if they were established facts</w:t>
      </w:r>
      <w:r>
        <w:t xml:space="preserve">”</w:t>
      </w:r>
      <w:r>
        <w:t xml:space="preserve">) as a</w:t>
      </w:r>
      <w:r>
        <w:t xml:space="preserve"> </w:t>
      </w:r>
      <w:r>
        <w:t xml:space="preserve">type constraint rather than a footnote, so the distinction survives contact</w:t>
      </w:r>
      <w:r>
        <w:t xml:space="preserve"> </w:t>
      </w:r>
      <w:r>
        <w:t xml:space="preserve">with a spreadsheet.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4" w:name="X14edfaa57d9876a39683543495df727bfd5e1e5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3. Method audit: the multi-objective weighting</w:t>
      </w:r>
    </w:p>
    <w:p>
      <w:pPr>
        <w:pStyle w:val="FirstParagraph"/>
      </w:pPr>
      <w:r>
        <w:t xml:space="preserve">The brief’s §14 specifies criteria and weights for ranking candidates. Encoding</w:t>
      </w:r>
      <w:r>
        <w:t xml:space="preserve"> </w:t>
      </w:r>
      <w:r>
        <w:t xml:space="preserve">that table literally produced a scoring function that did not measure the</w:t>
      </w:r>
      <w:r>
        <w:t xml:space="preserve"> </w:t>
      </w:r>
      <w:r>
        <w:t xml:space="preserve">project’s stated objective. Four issues were identified by the framework’s own</w:t>
      </w:r>
      <w:r>
        <w:t xml:space="preserve"> </w:t>
      </w:r>
      <w:r>
        <w:t xml:space="preserve">diagnostics (</w:t>
      </w:r>
      <w:r>
        <w:rPr>
          <w:rStyle w:val="VerbatimChar"/>
        </w:rPr>
        <w:t xml:space="preserve">pvdlowe check-weights</w:t>
      </w:r>
      <w:r>
        <w:t xml:space="preserve">). All are documented decisions in</w:t>
      </w:r>
      <w:r>
        <w:t xml:space="preserve"> </w:t>
      </w:r>
      <w:r>
        <w:rPr>
          <w:rStyle w:val="VerbatimChar"/>
        </w:rPr>
        <w:t xml:space="preserve">data/targets.yaml</w:t>
      </w:r>
      <w:r>
        <w:t xml:space="preserve">; none is a silent change.</w:t>
      </w:r>
    </w:p>
    <w:bookmarkStart w:id="28" w:name="silver-consumption-carried-zero-weight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t xml:space="preserve">3.1 Silver consumption carried zero weight</w:t>
      </w:r>
    </w:p>
    <w:p>
      <w:pPr>
        <w:pStyle w:val="FirstParagraph"/>
      </w:pPr>
      <w:r>
        <w:t xml:space="preserve">The §14 table contains no line for silver consumption, although §17 and §20 both</w:t>
      </w:r>
      <w:r>
        <w:t xml:space="preserve"> </w:t>
      </w:r>
      <w:r>
        <w:t xml:space="preserve">name minimising it as an objective. In the literal encoding, silver mass was</w:t>
      </w:r>
      <w:r>
        <w:t xml:space="preserve"> </w:t>
      </w:r>
      <w:r>
        <w:t xml:space="preserve">computed, displayed, and reported as the limiting criterion, but contributed</w:t>
      </w:r>
      <w:r>
        <w:t xml:space="preserve"> </w:t>
      </w:r>
      <w:r>
        <w:t xml:space="preserve">nothing to the score.</w:t>
      </w:r>
    </w:p>
    <w:p>
      <w:pPr>
        <w:pStyle w:val="BodyText"/>
      </w:pPr>
      <w:r>
        <w:t xml:space="preserve">The thickness optimiser exploited this immediately, returning a 12.84 nm design</w:t>
      </w:r>
      <w:r>
        <w:t xml:space="preserve"> </w:t>
      </w:r>
      <w:r>
        <w:t xml:space="preserve">using</w:t>
      </w:r>
      <w:r>
        <w:t xml:space="preserve"> </w:t>
      </w:r>
      <w:r>
        <w:rPr>
          <w:bCs/>
          <w:b/>
        </w:rPr>
        <w:t xml:space="preserve">0.135 g/m² of silver — 29% more than the incumbent benchmark — at a</w:t>
      </w:r>
      <w:r>
        <w:rPr>
          <w:bCs/>
          <w:b/>
        </w:rPr>
        <w:t xml:space="preserve"> </w:t>
      </w:r>
      <w:r>
        <w:rPr>
          <w:bCs/>
          <w:b/>
        </w:rPr>
        <w:t xml:space="preserve">score of 100/100.</w:t>
      </w:r>
    </w:p>
    <w:p>
      <w:pPr>
        <w:pStyle w:val="BodyText"/>
      </w:pPr>
      <w:r>
        <w:rPr>
          <w:iCs/>
          <w:i/>
        </w:rPr>
        <w:t xml:space="preserve">Correction applied:</w:t>
      </w:r>
      <w:r>
        <w:t xml:space="preserve"> </w:t>
      </w:r>
      <w:r>
        <w:t xml:space="preserve">weight 0.15.</w:t>
      </w:r>
    </w:p>
    <w:bookmarkEnd w:id="28"/>
    <w:bookmarkStart w:id="29" w:name="X6ca9429b9f82ddb9cf0ee6f6e24ea6e09385471"/>
    <w:p>
      <w:pPr>
        <w:pStyle w:val="Heading3"/>
      </w:pPr>
      <w:r>
        <w:rPr>
          <w:rStyle w:val="SectionNumber"/>
        </w:rPr>
        <w:t xml:space="preserve">1.4.2</w:t>
      </w:r>
      <w:r>
        <w:tab/>
      </w:r>
      <w:r>
        <w:t xml:space="preserve">3.2 Emissivity and sheet resistance double-count one property</w:t>
      </w:r>
    </w:p>
    <w:p>
      <w:pPr>
        <w:pStyle w:val="FirstParagraph"/>
      </w:pPr>
      <w:r>
        <w:t xml:space="preserve">Across the candidate set these correlate at</w:t>
      </w:r>
      <w:r>
        <w:t xml:space="preserve"> </w:t>
      </w:r>
      <w:r>
        <w:rPr>
          <w:bCs/>
          <w:b/>
        </w:rPr>
        <w:t xml:space="preserve">r = 0.996</w:t>
      </w:r>
      <w:r>
        <w:t xml:space="preserve">, because both are the</w:t>
      </w:r>
      <w:r>
        <w:t xml:space="preserve"> </w:t>
      </w:r>
      <w:r>
        <w:t xml:space="preserve">free-carrier response of the same metal layer. The §14 weights of 0.25 and 0.15</w:t>
      </w:r>
      <w:r>
        <w:t xml:space="preserve"> </w:t>
      </w:r>
      <w:r>
        <w:t xml:space="preserve">therefore place 0.40 of the total on a single physical quantity.</w:t>
      </w:r>
    </w:p>
    <w:p>
      <w:pPr>
        <w:pStyle w:val="BodyText"/>
      </w:pPr>
      <w:r>
        <w:rPr>
          <w:iCs/>
          <w:i/>
        </w:rPr>
        <w:t xml:space="preserve">Correction applied:</w:t>
      </w:r>
      <w:r>
        <w:t xml:space="preserve"> </w:t>
      </w:r>
      <w:r>
        <w:t xml:space="preserve">sheet resistance weighted 0.0 and reported as a</w:t>
      </w:r>
      <w:r>
        <w:t xml:space="preserve"> </w:t>
      </w:r>
      <w:r>
        <w:t xml:space="preserve">constraint. This should be reversed (with emissivity reduced to 0.15) if the</w:t>
      </w:r>
      <w:r>
        <w:t xml:space="preserve"> </w:t>
      </w:r>
      <w:r>
        <w:t xml:space="preserve">coating is also required to function as a transparent electrode, where sheet</w:t>
      </w:r>
      <w:r>
        <w:t xml:space="preserve"> </w:t>
      </w:r>
      <w:r>
        <w:t xml:space="preserve">resistance is an independent objective.</w:t>
      </w:r>
    </w:p>
    <w:p>
      <w:pPr>
        <w:pStyle w:val="BodyText"/>
      </w:pPr>
      <w:r>
        <w:t xml:space="preserve">The same diagnostic flags cost against supply risk (r = 0.993) and silver mass</w:t>
      </w:r>
      <w:r>
        <w:t xml:space="preserve"> </w:t>
      </w:r>
      <w:r>
        <w:t xml:space="preserve">against cost (r = 1.000 — silver dominates metal cost so completely that they</w:t>
      </w:r>
      <w:r>
        <w:t xml:space="preserve"> </w:t>
      </w:r>
      <w:r>
        <w:t xml:space="preserve">are the same quantity in different units).</w:t>
      </w:r>
    </w:p>
    <w:bookmarkEnd w:id="29"/>
    <w:bookmarkStart w:id="30" w:name="X064fee5c0edb2caed8c0098018ab985319456c0"/>
    <w:p>
      <w:pPr>
        <w:pStyle w:val="Heading3"/>
      </w:pPr>
      <w:r>
        <w:rPr>
          <w:rStyle w:val="SectionNumber"/>
        </w:rPr>
        <w:t xml:space="preserve">1.4.3</w:t>
      </w:r>
      <w:r>
        <w:tab/>
      </w:r>
      <w:r>
        <w:t xml:space="preserve">3.3 Targets set at the specification minimum, causing saturation</w:t>
      </w:r>
    </w:p>
    <w:p>
      <w:pPr>
        <w:pStyle w:val="FirstParagraph"/>
      </w:pPr>
      <w:r>
        <w:t xml:space="preserve">Derringer–Suich desirability saturates at 1.0 once a target is reached. Setting</w:t>
      </w:r>
      <w:r>
        <w:t xml:space="preserve"> </w:t>
      </w:r>
      <w:r>
        <w:t xml:space="preserve">the visible-transmittance target to 0.80 — the brief’s</w:t>
      </w:r>
      <w:r>
        <w:t xml:space="preserve"> </w:t>
      </w:r>
      <w:r>
        <w:rPr>
          <w:iCs/>
          <w:i/>
        </w:rPr>
        <w:t xml:space="preserve">floor of acceptability</w:t>
      </w:r>
      <w:r>
        <w:t xml:space="preserve"> </w:t>
      </w:r>
      <w:r>
        <w:t xml:space="preserve">— made the criterion flat exactly where candidates differ.</w:t>
      </w:r>
    </w:p>
    <w:p>
      <w:pPr>
        <w:pStyle w:val="BodyText"/>
      </w:pPr>
      <w:r>
        <w:t xml:space="preserve">The consequence was measurable: across 181 oxide-thickness combinations clearing</w:t>
      </w:r>
      <w:r>
        <w:t xml:space="preserve"> </w:t>
      </w:r>
      <w:r>
        <w:t xml:space="preserve">T_vis = 0.80, transmittance spanned 0.800 to 0.881 while the</w:t>
      </w:r>
      <w:r>
        <w:t xml:space="preserve"> </w:t>
      </w:r>
      <w:r>
        <w:rPr>
          <w:bCs/>
          <w:b/>
        </w:rPr>
        <w:t xml:space="preserve">score decreased</w:t>
      </w:r>
      <w:r>
        <w:t xml:space="preserve"> </w:t>
      </w:r>
      <w:r>
        <w:t xml:space="preserve">from 74.99 to 73.30. The optimiser satisficed at the specification floor and</w:t>
      </w:r>
      <w:r>
        <w:t xml:space="preserve"> </w:t>
      </w:r>
      <w:r>
        <w:t xml:space="preserve">drove the top oxide to 15 nm, a thickness that would not survive handling.</w:t>
      </w:r>
    </w:p>
    <w:p>
      <w:pPr>
        <w:pStyle w:val="BodyText"/>
      </w:pPr>
      <w:r>
        <w:rPr>
          <w:iCs/>
          <w:i/>
        </w:rPr>
        <w:t xml:space="preserve">Correction applied:</w:t>
      </w:r>
      <w:r>
        <w:t xml:space="preserve"> </w:t>
      </w:r>
      <w:r>
        <w:t xml:space="preserve">targets set as aspirations (T_vis 0.90, ε_h 0.02).</w:t>
      </w:r>
      <w:r>
        <w:t xml:space="preserve"> </w:t>
      </w:r>
      <w:r>
        <w:t xml:space="preserve">Re-optimising then returned AZO 25 / Ag 10 / AZO 35 nm at T_vis 0.880 — eight</w:t>
      </w:r>
      <w:r>
        <w:t xml:space="preserve"> </w:t>
      </w:r>
      <w:r>
        <w:t xml:space="preserve">points better on identical silver.</w:t>
      </w:r>
    </w:p>
    <w:p>
      <w:pPr>
        <w:pStyle w:val="BodyText"/>
      </w:pPr>
      <w:r>
        <w:rPr>
          <w:iCs/>
          <w:i/>
        </w:rPr>
        <w:t xml:space="preserve">General principle:</w:t>
      </w:r>
      <w:r>
        <w:t xml:space="preserve"> </w:t>
      </w:r>
      <w:r>
        <w:t xml:space="preserve">a desirability target should be an aspiration, not a</w:t>
      </w:r>
      <w:r>
        <w:t xml:space="preserve"> </w:t>
      </w:r>
      <w:r>
        <w:t xml:space="preserve">specification minimum.</w:t>
      </w:r>
    </w:p>
    <w:bookmarkEnd w:id="30"/>
    <w:bookmarkStart w:id="31" w:name="X81d644d08809a2935797bdf8693cce855487ce7"/>
    <w:p>
      <w:pPr>
        <w:pStyle w:val="Heading3"/>
      </w:pPr>
      <w:r>
        <w:rPr>
          <w:rStyle w:val="SectionNumber"/>
        </w:rPr>
        <w:t xml:space="preserve">1.4.4</w:t>
      </w:r>
      <w:r>
        <w:tab/>
      </w:r>
      <w:r>
        <w:t xml:space="preserve">3.4 The supply-risk band could not discriminate</w:t>
      </w:r>
    </w:p>
    <w:p>
      <w:pPr>
        <w:pStyle w:val="FirstParagraph"/>
      </w:pPr>
      <w:r>
        <w:t xml:space="preserve">With floor 8.0 against candidate values of 4.5–7.5, all silver-bearing</w:t>
      </w:r>
      <w:r>
        <w:t xml:space="preserve"> </w:t>
      </w:r>
      <w:r>
        <w:t xml:space="preserve">compositions scored 0.1–0.28 and supply risk was reported as limiting for 12 of</w:t>
      </w:r>
      <w:r>
        <w:t xml:space="preserve"> </w:t>
      </w:r>
      <w:r>
        <w:t xml:space="preserve">14 candidates.</w:t>
      </w:r>
    </w:p>
    <w:p>
      <w:pPr>
        <w:pStyle w:val="BodyText"/>
      </w:pPr>
      <w:r>
        <w:rPr>
          <w:iCs/>
          <w:i/>
        </w:rPr>
        <w:t xml:space="preserve">Correction applied:</w:t>
      </w:r>
      <w:r>
        <w:t xml:space="preserve"> </w:t>
      </w:r>
      <w:r>
        <w:t xml:space="preserve">floor 9.5, target 4.0 — still zeroing indium-bearing ITO,</w:t>
      </w:r>
      <w:r>
        <w:t xml:space="preserve"> </w:t>
      </w:r>
      <w:r>
        <w:t xml:space="preserve">which is the criterion’s purpose.</w:t>
      </w:r>
    </w:p>
    <w:bookmarkEnd w:id="31"/>
    <w:bookmarkStart w:id="32" w:name="aggregation"/>
    <w:p>
      <w:pPr>
        <w:pStyle w:val="Heading3"/>
      </w:pPr>
      <w:r>
        <w:rPr>
          <w:rStyle w:val="SectionNumber"/>
        </w:rPr>
        <w:t xml:space="preserve">1.4.5</w:t>
      </w:r>
      <w:r>
        <w:tab/>
      </w:r>
      <w:r>
        <w:t xml:space="preserve">3.5 Aggregation</w:t>
      </w:r>
    </w:p>
    <w:p>
      <w:pPr>
        <w:pStyle w:val="FirstParagraph"/>
      </w:pPr>
      <w:r>
        <w:t xml:space="preserve">The brief states its weighting should prevent a candidate</w:t>
      </w:r>
      <w:r>
        <w:t xml:space="preserve"> </w:t>
      </w:r>
      <w:r>
        <w:t xml:space="preserve">“</w:t>
      </w:r>
      <w:r>
        <w:t xml:space="preserve">winning simply</w:t>
      </w:r>
      <w:r>
        <w:t xml:space="preserve"> </w:t>
      </w:r>
      <w:r>
        <w:t xml:space="preserve">because it has excellent conductivity while being unacceptable optically</w:t>
      </w:r>
      <w:r>
        <w:t xml:space="preserve">”</w:t>
      </w:r>
      <w:r>
        <w:t xml:space="preserve">. A</w:t>
      </w:r>
      <w:r>
        <w:t xml:space="preserve"> </w:t>
      </w:r>
      <w:r>
        <w:t xml:space="preserve">weighted arithmetic sum does not achieve this — a candidate scoring zero on one</w:t>
      </w:r>
      <w:r>
        <w:t xml:space="preserve"> </w:t>
      </w:r>
      <w:r>
        <w:t xml:space="preserve">criterion forfeits only that criterion’s weight. A geometric mean does.</w:t>
      </w:r>
    </w:p>
    <w:p>
      <w:pPr>
        <w:pStyle w:val="BodyText"/>
      </w:pPr>
      <w:r>
        <w:t xml:space="preserve">Under the corrected weighting the pure-silver benchmark ranks 4th under</w:t>
      </w:r>
      <w:r>
        <w:t xml:space="preserve"> </w:t>
      </w:r>
      <w:r>
        <w:t xml:space="preserve">arithmetic aggregation and 7th under geometric; pure copper ranks 1st and 2nd</w:t>
      </w:r>
      <w:r>
        <w:t xml:space="preserve"> </w:t>
      </w:r>
      <w:r>
        <w:t xml:space="preserve">respectively. These are precisely the two candidates the brief is concerned with</w:t>
      </w:r>
      <w:r>
        <w:t xml:space="preserve"> </w:t>
      </w:r>
      <w:r>
        <w:t xml:space="preserve">comparing. The framework defaults to geometric and reports both.</w:t>
      </w:r>
    </w:p>
    <w:bookmarkEnd w:id="32"/>
    <w:bookmarkStart w:id="33" w:name="note-on-interpreting-the-diagnostics"/>
    <w:p>
      <w:pPr>
        <w:pStyle w:val="Heading3"/>
      </w:pPr>
      <w:r>
        <w:rPr>
          <w:rStyle w:val="SectionNumber"/>
        </w:rPr>
        <w:t xml:space="preserve">1.4.6</w:t>
      </w:r>
      <w:r>
        <w:tab/>
      </w:r>
      <w:r>
        <w:t xml:space="preserve">3.6 Note on interpreting the diagnostics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limiting_criterion</w:t>
      </w:r>
      <w:r>
        <w:t xml:space="preserve"> </w:t>
      </w:r>
      <w:r>
        <w:t xml:space="preserve">field is</w:t>
      </w:r>
      <w:r>
        <w:t xml:space="preserve"> </w:t>
      </w:r>
      <w:r>
        <w:rPr>
          <w:rStyle w:val="VerbatimChar"/>
        </w:rPr>
        <w:t xml:space="preserve">argmin(desirability)</w:t>
      </w:r>
      <w:r>
        <w:t xml:space="preserve"> </w:t>
      </w:r>
      <w:r>
        <w:t xml:space="preserve">— where a candidate is</w:t>
      </w:r>
      <w:r>
        <w:t xml:space="preserve"> </w:t>
      </w:r>
      <w:r>
        <w:t xml:space="preserve">weakest, not what drives the ordering. Under geometric aggregation, whichever</w:t>
      </w:r>
      <w:r>
        <w:t xml:space="preserve"> </w:t>
      </w:r>
      <w:r>
        <w:t xml:space="preserve">criterion sits nearest its floor is reported as limiting for every candidate.</w:t>
      </w:r>
      <w:r>
        <w:t xml:space="preserve"> </w:t>
      </w:r>
      <w:r>
        <w:t xml:space="preserve">The appropriate test of whether weights are doing work is the weight-sensitivity</w:t>
      </w:r>
      <w:r>
        <w:t xml:space="preserve"> </w:t>
      </w:r>
      <w:r>
        <w:t xml:space="preserve">analysis: before these corrections, one candidate won 97.5% of randomised</w:t>
      </w:r>
      <w:r>
        <w:t xml:space="preserve"> </w:t>
      </w:r>
      <w:r>
        <w:t xml:space="preserve">weightings with a rank standard deviation of 0.16, which indicates the weights</w:t>
      </w:r>
      <w:r>
        <w:t xml:space="preserve"> </w:t>
      </w:r>
      <w:r>
        <w:t xml:space="preserve">had no effect rather than that the result was robust.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0" w:name="evidence-audit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4. Evidence audit</w:t>
      </w:r>
    </w:p>
    <w:p>
      <w:pPr>
        <w:pStyle w:val="FirstParagraph"/>
      </w:pPr>
      <w:r>
        <w:t xml:space="preserve">Eight literature benchmarks were transcribed from the brief. All eight sources</w:t>
      </w:r>
      <w:r>
        <w:t xml:space="preserve"> </w:t>
      </w:r>
      <w:r>
        <w:t xml:space="preserve">have now been located; none has been read in full text.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Fully verified (full text read, measurement basis confirmed)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Partial (source identified, figures confirmed against abstract)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Disputed (located sources do not contain the quoted figures)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 located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bookmarkStart w:id="35" w:name="two-citations-could-not-be-supported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t xml:space="preserve">4.1 Two citations could not be supported</w:t>
      </w:r>
    </w:p>
    <w:p>
      <w:pPr>
        <w:pStyle w:val="FirstParagraph"/>
      </w:pPr>
      <w:r>
        <w:t xml:space="preserve">The figures</w:t>
      </w:r>
      <w:r>
        <w:t xml:space="preserve"> </w:t>
      </w:r>
      <w:r>
        <w:rPr>
          <w:bCs/>
          <w:b/>
        </w:rPr>
        <w:t xml:space="preserve">85.4% T_vis / 3.21 Ω/sq / 97% FIR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78.7% T_vis / 2.7 Ω/sq</w:t>
      </w:r>
      <w:r>
        <w:t xml:space="preserve"> </w:t>
      </w:r>
      <w:r>
        <w:t xml:space="preserve">appear in neither located AZO/Ag/AZO study. A companion PET-substrate paper</w:t>
      </w:r>
      <w:r>
        <w:t xml:space="preserve"> </w:t>
      </w:r>
      <w:r>
        <w:t xml:space="preserve">reports 78.5% with 91% FIR at 10 nm Ag — close to one, but a different substrate</w:t>
      </w:r>
      <w:r>
        <w:t xml:space="preserve"> </w:t>
      </w:r>
      <w:r>
        <w:t xml:space="preserve">and a different figure.</w:t>
      </w:r>
    </w:p>
    <w:p>
      <w:pPr>
        <w:pStyle w:val="BodyText"/>
      </w:pPr>
      <w:r>
        <w:rPr>
          <w:bCs/>
          <w:b/>
        </w:rPr>
        <w:t xml:space="preserve">Recommendation: these two entries should not be cited</w:t>
      </w:r>
      <w:r>
        <w:t xml:space="preserve"> </w:t>
      </w:r>
      <w:r>
        <w:t xml:space="preserve">pending</w:t>
      </w:r>
      <w:r>
        <w:t xml:space="preserve"> </w:t>
      </w:r>
      <w:r>
        <w:t xml:space="preserve">identification of their source. Both are flagged</w:t>
      </w:r>
      <w:r>
        <w:t xml:space="preserve"> </w:t>
      </w:r>
      <w:r>
        <w:rPr>
          <w:rStyle w:val="VerbatimChar"/>
        </w:rPr>
        <w:t xml:space="preserve">disputed</w:t>
      </w:r>
      <w:r>
        <w:t xml:space="preserve"> </w:t>
      </w:r>
      <w:r>
        <w:t xml:space="preserve">in the framework.</w:t>
      </w:r>
    </w:p>
    <w:p>
      <w:pPr>
        <w:pStyle w:val="BodyText"/>
      </w:pPr>
      <w:r>
        <w:t xml:space="preserve">A corollary worth recording: these two entries are the model’s three closest</w:t>
      </w:r>
      <w:r>
        <w:t xml:space="preserve"> </w:t>
      </w:r>
      <w:r>
        <w:t xml:space="preserve">agreements (0.3%, 1.0%, 1.2% relative error). Excluding them, the median</w:t>
      </w:r>
      <w:r>
        <w:t xml:space="preserve"> </w:t>
      </w:r>
      <w:r>
        <w:t xml:space="preserve">validation error rises from 14.7% to 30.6%. The framework’s apparent accuracy</w:t>
      </w:r>
      <w:r>
        <w:t xml:space="preserve"> </w:t>
      </w:r>
      <w:r>
        <w:t xml:space="preserve">rested partly on figures that cannot be traced.</w:t>
      </w:r>
    </w:p>
    <w:bookmarkEnd w:id="35"/>
    <w:bookmarkStart w:id="36" w:name="X613e0367bf76bcccf63bdc402cf5bcdeec1d76b"/>
    <w:p>
      <w:pPr>
        <w:pStyle w:val="Heading3"/>
      </w:pPr>
      <w:r>
        <w:rPr>
          <w:rStyle w:val="SectionNumber"/>
        </w:rPr>
        <w:t xml:space="preserve">1.5.2</w:t>
      </w:r>
      <w:r>
        <w:tab/>
      </w:r>
      <w:r>
        <w:t xml:space="preserve">4.2 A pivotal measurement is physically inconsistent</w:t>
      </w:r>
    </w:p>
    <w:p>
      <w:pPr>
        <w:pStyle w:val="FirstParagraph"/>
      </w:pPr>
      <w:r>
        <w:rPr>
          <w:iCs/>
          <w:i/>
        </w:rPr>
        <w:t xml:space="preserve">Applied Surface Science</w:t>
      </w:r>
      <w:r>
        <w:t xml:space="preserve"> </w:t>
      </w:r>
      <w:r>
        <w:rPr>
          <w:bCs/>
          <w:b/>
        </w:rPr>
        <w:t xml:space="preserve">578</w:t>
      </w:r>
      <w:r>
        <w:t xml:space="preserve"> </w:t>
      </w:r>
      <w:r>
        <w:t xml:space="preserve">(2022) 152051 reports AZO(40)/Cu/AZO(40) with</w:t>
      </w:r>
      <w:r>
        <w:t xml:space="preserve"> </w:t>
      </w:r>
      <w:r>
        <w:t xml:space="preserve">T_vis 87.7%, R_s 9.96 Ω/sq and ε 0.055. The brief’s §16 concludes from this that</w:t>
      </w:r>
      <w:r>
        <w:t xml:space="preserve"> </w:t>
      </w:r>
      <w:r>
        <w:t xml:space="preserve">a silver-free stack may already meet a low-emissivity target — a conclusion that</w:t>
      </w:r>
      <w:r>
        <w:t xml:space="preserve"> </w:t>
      </w:r>
      <w:r>
        <w:t xml:space="preserve">reframes the entire programme.</w:t>
      </w:r>
    </w:p>
    <w:p>
      <w:pPr>
        <w:pStyle w:val="BodyText"/>
      </w:pPr>
      <w:r>
        <w:t xml:space="preserve">The transcription is accurate and the abstract attributes all three values to</w:t>
      </w:r>
      <w:r>
        <w:t xml:space="preserve"> </w:t>
      </w:r>
      <w:r>
        <w:t xml:space="preserve">one sample. However, for a conducting sheet thin compared with the wavelength,</w:t>
      </w:r>
      <w:r>
        <w:t xml:space="preserve"> </w:t>
      </w:r>
      <w:r>
        <w:t xml:space="preserve">far-infrared reflectance is fixed by sheet resistance alone:</w:t>
      </w:r>
    </w:p>
    <w:p>
      <w:pPr>
        <w:pStyle w:val="SourceCode"/>
      </w:pPr>
      <w:r>
        <w:rPr>
          <w:rStyle w:val="VerbatimChar"/>
        </w:rPr>
        <w:t xml:space="preserve">r = (n₁ − n₂ − Z₀/R_s) / (n₁ + n₂ + Z₀/R_s),    ε = 1 − r²</w:t>
      </w:r>
    </w:p>
    <w:p>
      <w:pPr>
        <w:pStyle w:val="FirstParagraph"/>
      </w:pPr>
      <w:r>
        <w:t xml:space="preserve">with Z₀ = 376.73 Ω. No fitted parameter enters. At 9.96 Ω/sq this gives</w:t>
      </w:r>
      <w:r>
        <w:t xml:space="preserve"> </w:t>
      </w:r>
      <w:r>
        <w:rPr>
          <w:bCs/>
          <w:b/>
        </w:rPr>
        <w:t xml:space="preserve">ε ≥ 0.096</w:t>
      </w:r>
      <w:r>
        <w:t xml:space="preserve">; the reported 0.055 would require approximately 5.5 Ω/sq.</w:t>
      </w:r>
    </w:p>
    <w:p>
      <w:pPr>
        <w:pStyle w:val="BodyText"/>
      </w:pPr>
      <w:r>
        <w:t xml:space="preserve">Four candidate explanations were tested and eliminated: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Explanation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Outcome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Values from different samples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Abstract attributes all three to one sample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Transcription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 against published abstract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Far-IR glass index assumption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 is 0.091–0.097 across n = 1.5 to 4.0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Band-limited emissometer (8–14 µm)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Reads 5–8% higher, not lower — moves it the wrong way</w:t>
            </w:r>
          </w:p>
        </w:tc>
      </w:tr>
    </w:tbl>
    <w:p>
      <w:pPr>
        <w:pStyle w:val="BodyText"/>
      </w:pPr>
      <w:r>
        <w:t xml:space="preserve">The band-emissometer hypothesis was the most plausible and was tested by</w:t>
      </w:r>
      <w:r>
        <w:t xml:space="preserve"> </w:t>
      </w:r>
      <w:r>
        <w:t xml:space="preserve">implementing band-limited emissivity in the framework. For a Drude metal,</w:t>
      </w:r>
      <w:r>
        <w:t xml:space="preserve"> </w:t>
      </w:r>
      <w:r>
        <w:t xml:space="preserve">reflectance is nearly flat across 5–14 µm and the 283 K Planck weighting already</w:t>
      </w:r>
      <w:r>
        <w:t xml:space="preserve"> </w:t>
      </w:r>
      <w:r>
        <w:t xml:space="preserve">peaks near 10 µm, so restricting the band removes the 5–8 µm region where these</w:t>
      </w:r>
      <w:r>
        <w:t xml:space="preserve"> </w:t>
      </w:r>
      <w:r>
        <w:t xml:space="preserve">stacks reflect slightly less well. Correcting for measurement basis therefore</w:t>
      </w:r>
      <w:r>
        <w:t xml:space="preserve"> </w:t>
      </w:r>
      <w:r>
        <w:rPr>
          <w:iCs/>
          <w:i/>
        </w:rPr>
        <w:t xml:space="preserve">worsens</w:t>
      </w:r>
      <w:r>
        <w:t xml:space="preserve"> </w:t>
      </w:r>
      <w:r>
        <w:t xml:space="preserve">the discrepancy, from 0.58 to 0.53 of the limit.</w:t>
      </w:r>
    </w:p>
    <w:p>
      <w:pPr>
        <w:pStyle w:val="BodyText"/>
      </w:pPr>
      <w:r>
        <w:t xml:space="preserve">The same group reports ε = 0.045 at 8.10 Ω/sq and ε = 0.050 at comparable sheet</w:t>
      </w:r>
      <w:r>
        <w:t xml:space="preserve"> </w:t>
      </w:r>
      <w:r>
        <w:t xml:space="preserve">resistance. Three measurements at a consistent 0.57–0.63 of the electrodynamic</w:t>
      </w:r>
      <w:r>
        <w:t xml:space="preserve"> </w:t>
      </w:r>
      <w:r>
        <w:t xml:space="preserve">limit indicates a systematic effect rather than an isolated error.</w:t>
      </w:r>
    </w:p>
    <w:p>
      <w:pPr>
        <w:pStyle w:val="BodyText"/>
      </w:pPr>
      <w:r>
        <w:rPr>
          <w:bCs/>
          <w:b/>
        </w:rPr>
        <w:t xml:space="preserve">Untested:</w:t>
      </w:r>
      <w:r>
        <w:t xml:space="preserve"> </w:t>
      </w:r>
      <w:r>
        <w:t xml:space="preserve">hemispherical versus normal basis (which would also raise the</w:t>
      </w:r>
      <w:r>
        <w:t xml:space="preserve"> </w:t>
      </w:r>
      <w:r>
        <w:t xml:space="preserve">reading), instrument calibration, or the two quantities being measured on</w:t>
      </w:r>
      <w:r>
        <w:t xml:space="preserve"> </w:t>
      </w:r>
      <w:r>
        <w:t xml:space="preserve">different areas of one nominal sample.</w:t>
      </w:r>
    </w:p>
    <w:p>
      <w:pPr>
        <w:pStyle w:val="BodyText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obtain the full text and establish the measurement basis</w:t>
      </w:r>
      <w:r>
        <w:t xml:space="preserve"> </w:t>
      </w:r>
      <w:r>
        <w:t xml:space="preserve">before §16’s conclusion is used. This is the single highest-value literature</w:t>
      </w:r>
      <w:r>
        <w:t xml:space="preserve"> </w:t>
      </w:r>
      <w:r>
        <w:t xml:space="preserve">action outstanding.</w:t>
      </w:r>
    </w:p>
    <w:bookmarkEnd w:id="36"/>
    <w:bookmarkStart w:id="37" w:name="Xbb4e1dcbfda69af3089493b10e3d0df9328215d"/>
    <w:p>
      <w:pPr>
        <w:pStyle w:val="Heading3"/>
      </w:pPr>
      <w:r>
        <w:rPr>
          <w:rStyle w:val="SectionNumber"/>
        </w:rPr>
        <w:t xml:space="preserve">1.5.3</w:t>
      </w:r>
      <w:r>
        <w:tab/>
      </w:r>
      <w:r>
        <w:t xml:space="preserve">4.3 A reported thin-film resistivity that cannot be correct</w:t>
      </w:r>
    </w:p>
    <w:p>
      <w:pPr>
        <w:pStyle w:val="FirstParagraph"/>
      </w:pPr>
      <w:r>
        <w:t xml:space="preserve">A 2025 study reports ~10 nm films of Ag at 1.59 µΩ·cm, Ag–Cu at 2.97 and Cu at</w:t>
      </w:r>
      <w:r>
        <w:t xml:space="preserve"> </w:t>
      </w:r>
      <w:r>
        <w:t xml:space="preserve">20.5, deposited under identical conditions.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 bulk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Ag, 10 nm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1.59 µΩ·cm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4.44 µΩ·cm (2.79×)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Cu, 10 nm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20.5 µΩ·cm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12.2×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7.11 µΩ·cm (4.23×)</w:t>
            </w:r>
          </w:p>
        </w:tc>
      </w:tr>
    </w:tbl>
    <w:p>
      <w:pPr>
        <w:pStyle w:val="BodyText"/>
      </w:pPr>
      <w:r>
        <w:t xml:space="preserve">Silver’s electron mean free path is 53 nm; a 10 nm film cannot reach bulk</w:t>
      </w:r>
      <w:r>
        <w:t xml:space="preserve"> </w:t>
      </w:r>
      <w:r>
        <w:t xml:space="preserve">resistivity, and Fuchs–Sondheimer alone forces a ratio above approximately 2.</w:t>
      </w:r>
      <w:r>
        <w:t xml:space="preserve"> </w:t>
      </w:r>
      <w:r>
        <w:t xml:space="preserve">The stated thickness uncertainty (±2.5 nm) does not resolve this: the upper</w:t>
      </w:r>
      <w:r>
        <w:t xml:space="preserve"> </w:t>
      </w:r>
      <w:r>
        <w:t xml:space="preserve">bound is still 1.25× bulk. Under identical deposition, the copper film shows a</w:t>
      </w:r>
      <w:r>
        <w:t xml:space="preserve"> </w:t>
      </w:r>
      <w:r>
        <w:t xml:space="preserve">strong size effect and the silver film shows none.</w:t>
      </w:r>
    </w:p>
    <w:p>
      <w:pPr>
        <w:pStyle w:val="BodyText"/>
      </w:pPr>
      <w:r>
        <w:rPr>
          <w:bCs/>
          <w:b/>
        </w:rPr>
        <w:t xml:space="preserve">Consequence for the brief.</w:t>
      </w:r>
      <w:r>
        <w:t xml:space="preserve"> </w:t>
      </w:r>
      <w:r>
        <w:t xml:space="preserve">§7 argues that amorphous Ag–Cu retains unusually</w:t>
      </w:r>
      <w:r>
        <w:t xml:space="preserve"> </w:t>
      </w:r>
      <w:r>
        <w:t xml:space="preserve">good conductivity by comparing 2.97 against 1.59. If the silver baseline is not</w:t>
      </w:r>
      <w:r>
        <w:t xml:space="preserve"> </w:t>
      </w:r>
      <w:r>
        <w:t xml:space="preserve">like-for-like, the comparison should be made against the copper value (20.5),</w:t>
      </w:r>
      <w:r>
        <w:t xml:space="preserve"> </w:t>
      </w:r>
      <w:r>
        <w:t xml:space="preserve">against which the alloy appears sevenfold better — the argument survives in</w:t>
      </w:r>
      <w:r>
        <w:t xml:space="preserve"> </w:t>
      </w:r>
      <w:r>
        <w:t xml:space="preserve">stronger form.</w:t>
      </w:r>
    </w:p>
    <w:bookmarkEnd w:id="37"/>
    <w:bookmarkStart w:id="38" w:name="three-factual-corrections"/>
    <w:p>
      <w:pPr>
        <w:pStyle w:val="Heading3"/>
      </w:pPr>
      <w:r>
        <w:rPr>
          <w:rStyle w:val="SectionNumber"/>
        </w:rPr>
        <w:t xml:space="preserve">1.5.4</w:t>
      </w:r>
      <w:r>
        <w:tab/>
      </w:r>
      <w:r>
        <w:t xml:space="preserve">4.4 Three factual corrections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Deposition methods differ across the benchmark set.</w:t>
      </w:r>
      <w:r>
        <w:t xml:space="preserve"> </w:t>
      </w:r>
      <w:r>
        <w:t xml:space="preserve">The AZO/Ag/AZO</w:t>
      </w:r>
      <w:r>
        <w:t xml:space="preserve"> </w:t>
      </w:r>
      <w:r>
        <w:t xml:space="preserve">trilayers used RF magnetron sputtering (§3 implies DC); the AZO single-layer</w:t>
      </w:r>
      <w:r>
        <w:t xml:space="preserve"> </w:t>
      </w:r>
      <w:r>
        <w:t xml:space="preserve">study used medium-frequency sputtering. Film density and resistivity do not</w:t>
      </w:r>
      <w:r>
        <w:t xml:space="preserve"> </w:t>
      </w:r>
      <w:r>
        <w:t xml:space="preserve">transfer between techniques and these sources should not be pooled.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AZO visible transmittance is 81.4%, not 82.4%.</w:t>
      </w:r>
      <w:r>
        <w:t xml:space="preserve"> </w:t>
      </w:r>
      <w:r>
        <w:t xml:space="preserve">Resistivity</w:t>
      </w:r>
      <w:r>
        <w:t xml:space="preserve"> </w:t>
      </w:r>
      <w:r>
        <w:t xml:space="preserve">2.6 × 10⁻³ Ω·cm, hardness 11.4 GPa and reduced modulus 98 GPa are confirmed.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§7’s resistivity table mixes measurement conventions</w:t>
      </w:r>
      <w:r>
        <w:t xml:space="preserve">, per §4.3 above.</w:t>
      </w:r>
    </w:p>
    <w:bookmarkEnd w:id="38"/>
    <w:bookmarkStart w:id="39" w:name="what-verification-confirmed"/>
    <w:p>
      <w:pPr>
        <w:pStyle w:val="Heading3"/>
      </w:pPr>
      <w:r>
        <w:rPr>
          <w:rStyle w:val="SectionNumber"/>
        </w:rPr>
        <w:t xml:space="preserve">1.5.5</w:t>
      </w:r>
      <w:r>
        <w:tab/>
      </w:r>
      <w:r>
        <w:t xml:space="preserve">4.5 What verification confirmed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iCs/>
          <w:i/>
        </w:rPr>
        <w:t xml:space="preserve">Ceramics International</w:t>
      </w:r>
      <w:r>
        <w:t xml:space="preserve"> </w:t>
      </w:r>
      <w:r>
        <w:t xml:space="preserve">study states that far-infrared reflectance was</w:t>
      </w:r>
      <w:r>
        <w:t xml:space="preserve"> </w:t>
      </w:r>
      <w:r>
        <w:t xml:space="preserve">measured by FTIR spectroscopy and sheet resistance by four-point probe — a</w:t>
      </w:r>
      <w:r>
        <w:t xml:space="preserve"> </w:t>
      </w:r>
      <w:r>
        <w:t xml:space="preserve">spectroscopic reflectance directly comparable with the framework’s convention,</w:t>
      </w:r>
      <w:r>
        <w:t xml:space="preserve"> </w:t>
      </w:r>
      <w:r>
        <w:t xml:space="preserve">with no emissometer ambiguity. This is consistent with the model reproducing</w:t>
      </w:r>
      <w:r>
        <w:t xml:space="preserve"> </w:t>
      </w:r>
      <w:r>
        <w:t xml:space="preserve">that benchmark to 0.4%, its closest agreement against a traceable source.</w:t>
      </w:r>
    </w:p>
    <w:p>
      <w:pPr>
        <w:pStyle w:val="BodyText"/>
      </w:pPr>
      <w:r>
        <w:t xml:space="preserve">It also independently supports the percolation anchor: silver continuity at</w:t>
      </w:r>
      <w:r>
        <w:t xml:space="preserve"> </w:t>
      </w:r>
      <w:r>
        <w:t xml:space="preserve">10 nm is confirmed by XRD (200 and 220 reflections), which is structural</w:t>
      </w:r>
      <w:r>
        <w:t xml:space="preserve"> </w:t>
      </w:r>
      <w:r>
        <w:t xml:space="preserve">evidence rather than an inference from a resistivity discontinuity.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51" w:name="design-space-results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5. Design-space results</w:t>
      </w:r>
    </w:p>
    <w:p>
      <w:pPr>
        <w:pStyle w:val="FirstParagraph"/>
      </w:pPr>
      <w:r>
        <w:t xml:space="preserve">Thirty-six candidate architectures were evaluated; 58 metal systems screened; a</w:t>
      </w:r>
      <w:r>
        <w:t xml:space="preserve"> </w:t>
      </w:r>
      <w:r>
        <w:t xml:space="preserve">168-point composition series run across two microstructure models, two</w:t>
      </w:r>
      <w:r>
        <w:t xml:space="preserve"> </w:t>
      </w:r>
      <w:r>
        <w:t xml:space="preserve">dielectrics and two climate profiles.</w:t>
      </w:r>
    </w:p>
    <w:bookmarkStart w:id="41" w:name="Xacff72eb134d27fd1ba5204f66c3aa381a3805e"/>
    <w:p>
      <w:pPr>
        <w:pStyle w:val="Heading3"/>
      </w:pPr>
      <w:r>
        <w:rPr>
          <w:rStyle w:val="SectionNumber"/>
        </w:rPr>
        <w:t xml:space="preserve">1.6.1</w:t>
      </w:r>
      <w:r>
        <w:tab/>
      </w:r>
      <w:r>
        <w:t xml:space="preserve">5.1 The composition optimum lies at 5–15 at.% Ag</w:t>
      </w:r>
    </w:p>
    <w:p>
      <w:pPr>
        <w:pStyle w:val="FirstParagraph"/>
      </w:pPr>
      <w:r>
        <w:t xml:space="preserve">Eight composition curves were generated with stack geometry re-optimised at</w:t>
      </w:r>
      <w:r>
        <w:t xml:space="preserve"> </w:t>
      </w:r>
      <w:r>
        <w:t xml:space="preserve">every composition (Ag 0–100% in 5% steps).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Dielectric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Optimum 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Plateau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Segregated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Si₃N₄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89.3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0.00–0.20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Solid 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Si₃N₄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Segregated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0.05–0.40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Solid 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0.00–0.05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Cooling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0.00–0.15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Cooling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Si₃N₄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0.00–0.10</w:t>
            </w:r>
          </w:p>
        </w:tc>
      </w:tr>
    </w:tbl>
    <w:p>
      <w:pPr>
        <w:pStyle w:val="BodyText"/>
      </w:pPr>
      <w:r>
        <w:t xml:space="preserve">Every curve peaks between 0 and 10 at.% Ag. The brief’s Ag₇₀Cu₃₀ priority</w:t>
      </w:r>
      <w:r>
        <w:t xml:space="preserve"> </w:t>
      </w:r>
      <w:r>
        <w:t xml:space="preserve">composition is outperformed in all eight combinations.</w:t>
      </w:r>
    </w:p>
    <w:p>
      <w:pPr>
        <w:pStyle w:val="BodyText"/>
      </w:pPr>
      <w:r>
        <w:rPr>
          <w:bCs/>
          <w:b/>
        </w:rPr>
        <w:t xml:space="preserve">This is a sustainability result, not a performance one.</w:t>
      </w:r>
      <w:r>
        <w:t xml:space="preserve"> </w:t>
      </w:r>
      <w:r>
        <w:t xml:space="preserve">Emissivity and sheet</w:t>
      </w:r>
      <w:r>
        <w:t xml:space="preserve"> </w:t>
      </w:r>
      <w:r>
        <w:t xml:space="preserve">resistance continue improving to 50 at.% Ag (0.0386 and 2.59 Ω/sq, the best in</w:t>
      </w:r>
      <w:r>
        <w:t xml:space="preserve"> </w:t>
      </w:r>
      <w:r>
        <w:t xml:space="preserve">the series). The score declines because silver mass carries weight. The trade is</w:t>
      </w:r>
      <w:r>
        <w:t xml:space="preserve"> </w:t>
      </w:r>
      <w:r>
        <w:t xml:space="preserve">approximately 0.005 in emissivity for an 87% reduction in silver, and it is the</w:t>
      </w:r>
      <w:r>
        <w:t xml:space="preserve"> </w:t>
      </w:r>
      <w:r>
        <w:t xml:space="preserve">correct trade only under the premise that silver consumption matters.</w:t>
      </w:r>
    </w:p>
    <w:p>
      <w:pPr>
        <w:pStyle w:val="BodyText"/>
      </w:pPr>
      <w:r>
        <w:rPr>
          <w:bCs/>
          <w:b/>
        </w:rPr>
        <w:t xml:space="preserve">Plateau width is more relevant to process capability than peak position.</w:t>
      </w:r>
      <w:r>
        <w:t xml:space="preserve"> </w:t>
      </w:r>
      <w:r>
        <w:t xml:space="preserve">The</w:t>
      </w:r>
      <w:r>
        <w:t xml:space="preserve"> </w:t>
      </w:r>
      <w:r>
        <w:t xml:space="preserve">segregated/AZO curve is flat from 5 to 40 at.% Ag — a wide composition tolerance.</w:t>
      </w:r>
      <w:r>
        <w:t xml:space="preserve"> </w:t>
      </w:r>
      <w:r>
        <w:t xml:space="preserve">Solid-solution curves are sharp (0–5%).</w:t>
      </w:r>
    </w:p>
    <w:p>
      <w:pPr>
        <w:pStyle w:val="BodyText"/>
      </w:pPr>
      <w:r>
        <w:rPr>
          <w:bCs/>
          <w:b/>
        </w:rPr>
        <w:t xml:space="preserve">The unresolved microstructure question loses importance in the dilute regime.</w:t>
      </w:r>
      <w:r>
        <w:t xml:space="preserve"> </w:t>
      </w:r>
      <w:r>
        <w:t xml:space="preserve">At Ag₇₀Cu₃₀ the two hypotheses differ by 9–14 points; at Ag₅Cu₉₅ by 2.5. Designing</w:t>
      </w:r>
      <w:r>
        <w:t xml:space="preserve"> </w:t>
      </w:r>
      <w:r>
        <w:t xml:space="preserve">at 5–15 at.% Ag makes the programme robust to a question that is currently</w:t>
      </w:r>
      <w:r>
        <w:t xml:space="preserve"> </w:t>
      </w:r>
      <w:r>
        <w:t xml:space="preserve">unsettled, rather than dependent on it.</w:t>
      </w:r>
    </w:p>
    <w:bookmarkEnd w:id="41"/>
    <w:bookmarkStart w:id="42" w:name="Xb621838094ceb514de135f1103cc1b92f3ad1e6"/>
    <w:p>
      <w:pPr>
        <w:pStyle w:val="Heading3"/>
      </w:pPr>
      <w:r>
        <w:rPr>
          <w:rStyle w:val="SectionNumber"/>
        </w:rPr>
        <w:t xml:space="preserve">1.6.2</w:t>
      </w:r>
      <w:r>
        <w:tab/>
      </w:r>
      <w:r>
        <w:t xml:space="preserve">5.2 Silicon nitride outperforms AZO on visible transmittance</w:t>
      </w:r>
    </w:p>
    <w:p>
      <w:pPr>
        <w:pStyle w:val="FirstParagraph"/>
      </w:pPr>
      <w:r>
        <w:t xml:space="preserve">An initial screen of 58 metal systems at fixed AZO thickness found that</w:t>
      </w:r>
      <w:r>
        <w:t xml:space="preserve"> </w:t>
      </w:r>
      <w:r>
        <w:rPr>
          <w:bCs/>
          <w:b/>
        </w:rPr>
        <w:t xml:space="preserve">only</w:t>
      </w:r>
      <w:r>
        <w:rPr>
          <w:bCs/>
          <w:b/>
        </w:rPr>
        <w:t xml:space="preserve"> </w:t>
      </w:r>
      <w:r>
        <w:rPr>
          <w:bCs/>
          <w:b/>
        </w:rPr>
        <w:t xml:space="preserve">pure silver met the full specification</w:t>
      </w:r>
      <w:r>
        <w:t xml:space="preserve">; copper failed on transmittance alone</w:t>
      </w:r>
      <w:r>
        <w:t xml:space="preserve"> </w:t>
      </w:r>
      <w:r>
        <w:t xml:space="preserve">(0.752 against 0.80). Allowing the dielectric to vary changed this: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SnO₂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TiO₂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Si₃N₄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0.845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Cu₉₀Zn₁₀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0.836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Ag₇₀Cu₃₀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0.835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0.912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0.923</w:t>
            </w:r>
          </w:p>
        </w:tc>
      </w:tr>
    </w:tbl>
    <w:p>
      <w:pPr>
        <w:pStyle w:val="BodyText"/>
      </w:pPr>
      <w:r>
        <w:t xml:space="preserve">Silicon nitride gains</w:t>
      </w:r>
      <w:r>
        <w:t xml:space="preserve"> </w:t>
      </w:r>
      <w:r>
        <w:rPr>
          <w:bCs/>
          <w:b/>
        </w:rPr>
        <w:t xml:space="preserve">nine percentage points of visible transmittance on</w:t>
      </w:r>
      <w:r>
        <w:rPr>
          <w:bCs/>
          <w:b/>
        </w:rPr>
        <w:t xml:space="preserve"> </w:t>
      </w:r>
      <w:r>
        <w:rPr>
          <w:bCs/>
          <w:b/>
        </w:rPr>
        <w:t xml:space="preserve">copper</w:t>
      </w:r>
      <w:r>
        <w:t xml:space="preserve"> </w:t>
      </w:r>
      <w:r>
        <w:t xml:space="preserve">— the margin that was disqualifying it. All metals improve, indicating</w:t>
      </w:r>
      <w:r>
        <w:t xml:space="preserve"> </w:t>
      </w:r>
      <w:r>
        <w:t xml:space="preserve">a dielectric property rather than a copper-specific effect.</w:t>
      </w:r>
    </w:p>
    <w:p>
      <w:pPr>
        <w:pStyle w:val="BodyText"/>
      </w:pPr>
      <w:r>
        <w:t xml:space="preserve">Notably,</w:t>
      </w:r>
      <w:r>
        <w:t xml:space="preserve"> </w:t>
      </w:r>
      <w:r>
        <w:rPr>
          <w:bCs/>
          <w:b/>
        </w:rPr>
        <w:t xml:space="preserve">the highest-index material does not win</w:t>
      </w:r>
      <w:r>
        <w:t xml:space="preserve">: TiO₂ (n = 2.45)</w:t>
      </w:r>
      <w:r>
        <w:t xml:space="preserve"> </w:t>
      </w:r>
      <w:r>
        <w:t xml:space="preserve">underperforms SnO₂ (n = 2.00). Antireflection around a metal layer is an</w:t>
      </w:r>
      <w:r>
        <w:t xml:space="preserve"> </w:t>
      </w:r>
      <w:r>
        <w:t xml:space="preserve">index-</w:t>
      </w:r>
      <w:r>
        <w:rPr>
          <w:iCs/>
          <w:i/>
        </w:rPr>
        <w:t xml:space="preserve">matching</w:t>
      </w:r>
      <w:r>
        <w:t xml:space="preserve"> </w:t>
      </w:r>
      <w:r>
        <w:t xml:space="preserve">problem, not an index-</w:t>
      </w:r>
      <w:r>
        <w:rPr>
          <w:iCs/>
          <w:i/>
        </w:rPr>
        <w:t xml:space="preserve">maximisation</w:t>
      </w:r>
      <w:r>
        <w:t xml:space="preserve"> </w:t>
      </w:r>
      <w:r>
        <w:t xml:space="preserve">problem.</w:t>
      </w:r>
    </w:p>
    <w:p>
      <w:pPr>
        <w:pStyle w:val="BodyText"/>
      </w:pPr>
      <w:r>
        <w:rPr>
          <w:bCs/>
          <w:b/>
        </w:rPr>
        <w:t xml:space="preserve">Why this was outside the brief’s framing.</w:t>
      </w:r>
      <w:r>
        <w:t xml:space="preserve"> </w:t>
      </w:r>
      <w:r>
        <w:t xml:space="preserve">The brief’s screening began from</w:t>
      </w:r>
      <w:r>
        <w:t xml:space="preserve"> </w:t>
      </w:r>
      <w:r>
        <w:t xml:space="preserve">the periodic table and the Materials Project, both of which surface oxides.</w:t>
      </w:r>
      <w:r>
        <w:t xml:space="preserve"> </w:t>
      </w:r>
      <w:r>
        <w:t xml:space="preserve">Nitrides fall outside that search structure. Silicon nitride is nonetheless the</w:t>
      </w:r>
      <w:r>
        <w:t xml:space="preserve"> </w:t>
      </w:r>
      <w:r>
        <w:t xml:space="preserve">industry-standard Low-E dielectric — dense, an effective diffusion barrier, and</w:t>
      </w:r>
      <w:r>
        <w:t xml:space="preserve"> </w:t>
      </w:r>
      <w:r>
        <w:t xml:space="preserve">durable through tempering — and it blocks the oxygen ingress that is copper’s</w:t>
      </w:r>
      <w:r>
        <w:t xml:space="preserve"> </w:t>
      </w:r>
      <w:r>
        <w:t xml:space="preserve">dominant degradation pathway, which is precisely why the Cu/Si₃N₄ pairing is</w:t>
      </w:r>
      <w:r>
        <w:t xml:space="preserve"> </w:t>
      </w:r>
      <w:r>
        <w:t xml:space="preserve">attractive and why it does not appear in the AZO literature.</w:t>
      </w:r>
    </w:p>
    <w:p>
      <w:pPr>
        <w:pStyle w:val="BodyText"/>
      </w:pPr>
      <w:r>
        <w:rPr>
          <w:bCs/>
          <w:b/>
        </w:rPr>
        <w:t xml:space="preserve">Lattice absorption was checked and found negligible.</w:t>
      </w:r>
      <w:r>
        <w:t xml:space="preserve"> </w:t>
      </w:r>
      <w:r>
        <w:t xml:space="preserve">Si₃N₄ absorbs near</w:t>
      </w:r>
      <w:r>
        <w:t xml:space="preserve"> </w:t>
      </w:r>
      <w:r>
        <w:t xml:space="preserve">11.7 µm, within the thermal band, so far-infrared phonon oscillators were added</w:t>
      </w:r>
      <w:r>
        <w:t xml:space="preserve"> </w:t>
      </w:r>
      <w:r>
        <w:t xml:space="preserve">to the model. The penalty on the copper stack is +0.0007 in emissivity (1.7%</w:t>
      </w:r>
      <w:r>
        <w:t xml:space="preserve"> </w:t>
      </w:r>
      <w:r>
        <w:t xml:space="preserve">relative), because at 10 µm the copper layer reflects approximately 96% of the</w:t>
      </w:r>
      <w:r>
        <w:t xml:space="preserve"> </w:t>
      </w:r>
      <w:r>
        <w:t xml:space="preserve">incident field and little reaches the nitride.</w:t>
      </w:r>
    </w:p>
    <w:bookmarkEnd w:id="42"/>
    <w:bookmarkStart w:id="43" w:name="climate-reverses-the-ranking"/>
    <w:p>
      <w:pPr>
        <w:pStyle w:val="Heading3"/>
      </w:pPr>
      <w:r>
        <w:rPr>
          <w:rStyle w:val="SectionNumber"/>
        </w:rPr>
        <w:t xml:space="preserve">1.6.3</w:t>
      </w:r>
      <w:r>
        <w:tab/>
      </w:r>
      <w:r>
        <w:t xml:space="preserve">5.3 Climate reverses the ranking</w:t>
      </w:r>
    </w:p>
    <w:p>
      <w:pPr>
        <w:pStyle w:val="FirstParagraph"/>
      </w:pPr>
      <w:r>
        <w:t xml:space="preserve">The brief does not specify a climate, and</w:t>
      </w:r>
      <w:r>
        <w:t xml:space="preserve"> </w:t>
      </w:r>
      <w:r>
        <w:rPr>
          <w:rStyle w:val="VerbatimChar"/>
        </w:rPr>
        <w:t xml:space="preserve">targets.yaml</w:t>
      </w:r>
      <w:r>
        <w:t xml:space="preserve"> </w:t>
      </w:r>
      <w:r>
        <w:t xml:space="preserve">as derived from it does</w:t>
      </w:r>
      <w:r>
        <w:t xml:space="preserve"> </w:t>
      </w:r>
      <w:r>
        <w:t xml:space="preserve">not constrain solar heat gain. That omission encodes a heating-dominated</w:t>
      </w:r>
      <w:r>
        <w:t xml:space="preserve"> </w:t>
      </w:r>
      <w:r>
        <w:t xml:space="preserve">assumption. Adding the EN 410 / ISO 9050 metrics:</w:t>
      </w:r>
    </w:p>
    <w:p>
      <w:pPr>
        <w:pStyle w:val="SourceCode"/>
      </w:pPr>
      <w:r>
        <w:rPr>
          <w:rStyle w:val="VerbatimChar"/>
        </w:rPr>
        <w:t xml:space="preserve">g = T_sol + N·A_sol      (N = 0.36 for a coating on surface 2)</w:t>
      </w:r>
      <w:r>
        <w:br/>
      </w:r>
      <w:r>
        <w:rPr>
          <w:rStyle w:val="VerbatimChar"/>
        </w:rPr>
        <w:t xml:space="preserve">LSG = T_vis / 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Candidate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LSG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Si₃N₄/Ag₁₀Cu₉₀/Si₃N₄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89.3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Si₃N₄/Cu/Si₃N₄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AZO/Cu/AZO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65.4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AZO/Ag/AZO (benchmark)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1.35</w:t>
            </w:r>
          </w:p>
        </w:tc>
      </w:tr>
    </w:tbl>
    <w:p>
      <w:pPr>
        <w:pStyle w:val="BodyText"/>
      </w:pPr>
      <w:r>
        <w:t xml:space="preserve">The mechanism is physical, not a scoring artifact.</w:t>
      </w:r>
      <w:r>
        <w:t xml:space="preserve"> </w:t>
      </w:r>
      <w:r>
        <w:rPr>
          <w:bCs/>
          <w:b/>
        </w:rPr>
        <w:t xml:space="preserve">AZO is a transparent</w:t>
      </w:r>
      <w:r>
        <w:rPr>
          <w:bCs/>
          <w:b/>
        </w:rPr>
        <w:t xml:space="preserve"> </w:t>
      </w:r>
      <w:r>
        <w:rPr>
          <w:bCs/>
          <w:b/>
        </w:rPr>
        <w:t xml:space="preserve">conductive oxide</w:t>
      </w:r>
      <w:r>
        <w:t xml:space="preserve">: its free carriers give a screened plasma wavelength at</w:t>
      </w:r>
      <w:r>
        <w:t xml:space="preserve"> </w:t>
      </w:r>
      <w:r>
        <w:t xml:space="preserve">1.25 µm, inside the solar band. Si₃N₄ is a passive insulator, transparent</w:t>
      </w:r>
      <w:r>
        <w:t xml:space="preserve"> </w:t>
      </w:r>
      <w:r>
        <w:t xml:space="preserve">throughout.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λ (nm)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Transmittance, AZO stack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Transmittance, Si₃N₄ stack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0.099</w:t>
            </w:r>
          </w:p>
        </w:tc>
      </w:tr>
    </w:tbl>
    <w:p>
      <w:pPr>
        <w:pStyle w:val="BodyText"/>
      </w:pPr>
      <w:r>
        <w:t xml:space="preserve">Same 11 nm copper layer in both.</w:t>
      </w:r>
      <w:r>
        <w:t xml:space="preserve"> </w:t>
      </w:r>
      <w:r>
        <w:rPr>
          <w:bCs/>
          <w:b/>
        </w:rPr>
        <w:t xml:space="preserve">The conductive oxide performs solar-control</w:t>
      </w:r>
      <w:r>
        <w:rPr>
          <w:bCs/>
          <w:b/>
        </w:rPr>
        <w:t xml:space="preserve"> </w:t>
      </w:r>
      <w:r>
        <w:rPr>
          <w:bCs/>
          <w:b/>
        </w:rPr>
        <w:t xml:space="preserve">work that a passive nitride cannot.</w:t>
      </w:r>
      <w:r>
        <w:t xml:space="preserve"> </w:t>
      </w:r>
      <w:r>
        <w:t xml:space="preserve">§5.2 read AZO’s near-infrared absorption</w:t>
      </w:r>
      <w:r>
        <w:t xml:space="preserve"> </w:t>
      </w:r>
      <w:r>
        <w:t xml:space="preserve">purely as a transmittance penalty; a substantial part of it is a solar-control</w:t>
      </w:r>
      <w:r>
        <w:t xml:space="preserve"> </w:t>
      </w:r>
      <w:r>
        <w:t xml:space="preserve">benefit that the heating-weighted objective could not see.</w:t>
      </w:r>
    </w:p>
    <w:p>
      <w:pPr>
        <w:pStyle w:val="BodyText"/>
      </w:pPr>
      <w:r>
        <w:rPr>
          <w:bCs/>
          <w:b/>
        </w:rPr>
        <w:t xml:space="preserve">For Indian architectural glazing this is decisive</w:t>
      </w:r>
      <w:r>
        <w:t xml:space="preserve">, and the recommended</w:t>
      </w:r>
      <w:r>
        <w:t xml:space="preserve"> </w:t>
      </w:r>
      <w:r>
        <w:t xml:space="preserve">material differs from the heating-climate case. A results table should not be</w:t>
      </w:r>
      <w:r>
        <w:t xml:space="preserve"> </w:t>
      </w:r>
      <w:r>
        <w:t xml:space="preserve">circulated without its weighting profile attached.</w:t>
      </w:r>
    </w:p>
    <w:bookmarkEnd w:id="43"/>
    <w:bookmarkStart w:id="44" w:name="X684f26ed940e3301ed53faaedcff44a73adbf23"/>
    <w:p>
      <w:pPr>
        <w:pStyle w:val="Heading3"/>
      </w:pPr>
      <w:r>
        <w:rPr>
          <w:rStyle w:val="SectionNumber"/>
        </w:rPr>
        <w:t xml:space="preserve">1.6.4</w:t>
      </w:r>
      <w:r>
        <w:tab/>
      </w:r>
      <w:r>
        <w:t xml:space="preserve">5.4 Single-metal architectures cannot achieve solar control</w:t>
      </w:r>
    </w:p>
    <w:p>
      <w:pPr>
        <w:pStyle w:val="FirstParagraph"/>
      </w:pPr>
      <w:r>
        <w:t xml:space="preserve">The best light-to-solar-gain ratio across all 36 candidates is</w:t>
      </w:r>
      <w:r>
        <w:t xml:space="preserve"> </w:t>
      </w:r>
      <w:r>
        <w:rPr>
          <w:bCs/>
          <w:b/>
        </w:rPr>
        <w:t xml:space="preserve">1.37</w:t>
      </w:r>
      <w:r>
        <w:t xml:space="preserve">, against</w:t>
      </w:r>
      <w:r>
        <w:t xml:space="preserve"> </w:t>
      </w:r>
      <w:r>
        <w:t xml:space="preserve">approximately 2.0 for commercial solar-control glazing. Under the cooling</w:t>
      </w:r>
      <w:r>
        <w:t xml:space="preserve"> </w:t>
      </w:r>
      <w:r>
        <w:t xml:space="preserve">profile, no single-metal stack met the transmittance target.</w:t>
      </w:r>
    </w:p>
    <w:p>
      <w:pPr>
        <w:pStyle w:val="BodyText"/>
      </w:pPr>
      <w:r>
        <w:t xml:space="preserve">Generalising the framework to n metal layers separated by n+1 dielectrics: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Dielectric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Geometry (nm)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T_vis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ε_h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R_s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45/12/45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Double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Si₃N₄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15/12/60/12/15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0.819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Double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Si₃N₄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59/13/105/13/59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0.0244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1.33</w:t>
            </w:r>
          </w:p>
        </w:tc>
      </w:tr>
    </w:tbl>
    <w:p>
      <w:pPr>
        <w:pStyle w:val="BodyText"/>
      </w:pPr>
      <w:r>
        <w:rPr>
          <w:bCs/>
          <w:b/>
        </w:rPr>
        <w:t xml:space="preserve">LSG 1.76 against a single-metal ceiling of 1.37 — a 28% improvement.</w:t>
      </w:r>
    </w:p>
    <w:p>
      <w:pPr>
        <w:pStyle w:val="BodyText"/>
      </w:pPr>
      <w:r>
        <w:t xml:space="preserve">A single metal film trades transmittance against infrared reflectance along one</w:t>
      </w:r>
      <w:r>
        <w:t xml:space="preserve"> </w:t>
      </w:r>
      <w:r>
        <w:t xml:space="preserve">curve; thickness moves along that curve but not off it. The dielectric</w:t>
      </w:r>
      <w:r>
        <w:t xml:space="preserve"> </w:t>
      </w:r>
      <w:r>
        <w:rPr>
          <w:iCs/>
          <w:i/>
        </w:rPr>
        <w:t xml:space="preserve">between</w:t>
      </w:r>
      <w:r>
        <w:t xml:space="preserve"> </w:t>
      </w:r>
      <w:r>
        <w:t xml:space="preserve">two metal layers introduces an interference degree of freedom, allowing the two</w:t>
      </w:r>
      <w:r>
        <w:t xml:space="preserve"> </w:t>
      </w:r>
      <w:r>
        <w:t xml:space="preserve">metal reflections to cancel in the visible while adding in the infrared. This</w:t>
      </w:r>
      <w:r>
        <w:t xml:space="preserve"> </w:t>
      </w:r>
      <w:r>
        <w:t xml:space="preserve">degree of freedom does not exist with one metal layer at any thickness or</w:t>
      </w:r>
      <w:r>
        <w:t xml:space="preserve"> </w:t>
      </w:r>
      <w:r>
        <w:t xml:space="preserve">composition — the limitation is architectural, and no compositional search could</w:t>
      </w:r>
      <w:r>
        <w:t xml:space="preserve"> </w:t>
      </w:r>
      <w:r>
        <w:t xml:space="preserve">have revealed it.</w:t>
      </w:r>
    </w:p>
    <w:p>
      <w:pPr>
        <w:pStyle w:val="BodyText"/>
      </w:pPr>
      <w:r>
        <w:rPr>
          <w:bCs/>
          <w:b/>
        </w:rPr>
        <w:t xml:space="preserve">A third metal layer was tested and is not worth adding.</w:t>
      </w:r>
      <w:r>
        <w:t xml:space="preserve"> </w:t>
      </w:r>
      <w:r>
        <w:t xml:space="preserve">Scanning n = 1, 2, 3</w:t>
      </w:r>
      <w:r>
        <w:t xml:space="preserve"> </w:t>
      </w:r>
      <w:r>
        <w:t xml:space="preserve">against the cooling profile, the second layer buys a large gain and the third</w:t>
      </w:r>
      <w:r>
        <w:t xml:space="preserve"> </w:t>
      </w:r>
      <w:r>
        <w:t xml:space="preserve">almost none: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Ag/Si₃N₄ LSG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 (g/m²)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Cu/Si₃N₄ cooling score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68.9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37.2</w:t>
            </w:r>
          </w:p>
        </w:tc>
      </w:tr>
    </w:tbl>
    <w:p>
      <w:pPr>
        <w:pStyle w:val="BodyText"/>
      </w:pPr>
      <w:r>
        <w:t xml:space="preserve">The third layer adds 0.05 in LSG for a 25% increase in silver, and for copper it</w:t>
      </w:r>
      <w:r>
        <w:t xml:space="preserve"> </w:t>
      </w:r>
      <w:r>
        <w:t xml:space="preserve">is actively harmful — transmittance collapses to 0.437 and the cooling score</w:t>
      </w:r>
      <w:r>
        <w:t xml:space="preserve"> </w:t>
      </w:r>
      <w:r>
        <w:t xml:space="preserve">halves.</w:t>
      </w:r>
      <w:r>
        <w:t xml:space="preserve"> </w:t>
      </w:r>
      <w:r>
        <w:rPr>
          <w:bCs/>
          <w:b/>
        </w:rPr>
        <w:t xml:space="preserve">The architecture argument stops at two layers for this</w:t>
      </w:r>
      <w:r>
        <w:rPr>
          <w:bCs/>
          <w:b/>
        </w:rPr>
        <w:t xml:space="preserve"> </w:t>
      </w:r>
      <w:r>
        <w:rPr>
          <w:bCs/>
          <w:b/>
        </w:rPr>
        <w:t xml:space="preserve">specification.</w:t>
      </w:r>
      <w:r>
        <w:t xml:space="preserve"> </w:t>
      </w:r>
      <w:r>
        <w:t xml:space="preserve">Commercial triple-silver products reach LSG ≈ 2.0 using</w:t>
      </w:r>
      <w:r>
        <w:t xml:space="preserve"> </w:t>
      </w:r>
      <w:r>
        <w:t xml:space="preserve">asymmetric layer thicknesses and tuned interlayer spacing that this coarse scan</w:t>
      </w:r>
      <w:r>
        <w:t xml:space="preserve"> </w:t>
      </w:r>
      <w:r>
        <w:t xml:space="preserve">did not explore; that remains open, but it is a fine-optimisation question</w:t>
      </w:r>
      <w:r>
        <w:t xml:space="preserve"> </w:t>
      </w:r>
      <w:r>
        <w:t xml:space="preserve">rather than an architectural one.</w:t>
      </w:r>
    </w:p>
    <w:p>
      <w:pPr>
        <w:pStyle w:val="BodyText"/>
      </w:pPr>
      <w:r>
        <w:rPr>
          <w:bCs/>
          <w:b/>
        </w:rPr>
        <w:t xml:space="preserve">Costs are real.</w:t>
      </w:r>
      <w:r>
        <w:t xml:space="preserve"> </w:t>
      </w:r>
      <w:r>
        <w:t xml:space="preserve">Silver consumption doubles, since each layer must</w:t>
      </w:r>
      <w:r>
        <w:t xml:space="preserve"> </w:t>
      </w:r>
      <w:r>
        <w:t xml:space="preserve">independently exceed percolation near 10 nm. Splitting a film also raises</w:t>
      </w:r>
      <w:r>
        <w:t xml:space="preserve"> </w:t>
      </w:r>
      <w:r>
        <w:t xml:space="preserve">resistance: two 12 nm layers are not equivalent to one 24 nm layer, each</w:t>
      </w:r>
      <w:r>
        <w:t xml:space="preserve"> </w:t>
      </w:r>
      <w:r>
        <w:t xml:space="preserve">carrying its own surface scattering. Process complexity rises to five layers.</w:t>
      </w:r>
    </w:p>
    <w:p>
      <w:pPr>
        <w:pStyle w:val="BodyText"/>
      </w:pPr>
      <w:r>
        <w:rPr>
          <w:bCs/>
          <w:b/>
        </w:rPr>
        <w:t xml:space="preserve">Of most interest for the Indian application:</w:t>
      </w:r>
      <w:r>
        <w:t xml:space="preserve"> </w:t>
      </w:r>
      <w:r>
        <w:t xml:space="preserve">the double-copper Si₃N₄ stack</w:t>
      </w:r>
      <w:r>
        <w:t xml:space="preserve"> </w:t>
      </w:r>
      <w:r>
        <w:t xml:space="preserve">achieves LSG 1.39 at R_s 1.33 Ω/sq and ε_h 0.0244 with</w:t>
      </w:r>
      <w:r>
        <w:t xml:space="preserve"> </w:t>
      </w:r>
      <w:r>
        <w:rPr>
          <w:bCs/>
          <w:b/>
        </w:rPr>
        <w:t xml:space="preserve">zero silver</w:t>
      </w:r>
      <w:r>
        <w:t xml:space="preserve">, scoring</w:t>
      </w:r>
      <w:r>
        <w:t xml:space="preserve"> </w:t>
      </w:r>
      <w:r>
        <w:t xml:space="preserve">68.9 on the cooling profile — the highest of any candidate evaluated. Its sheet</w:t>
      </w:r>
      <w:r>
        <w:t xml:space="preserve"> </w:t>
      </w:r>
      <w:r>
        <w:t xml:space="preserve">resistance and emissivity are the best figures the framework has produced.</w:t>
      </w:r>
      <w:r>
        <w:t xml:space="preserve"> </w:t>
      </w:r>
      <w:r>
        <w:t xml:space="preserve">Transmittance at 0.716 remains short of 0.80, but the deficit has narrowed from</w:t>
      </w:r>
      <w:r>
        <w:t xml:space="preserve"> </w:t>
      </w:r>
      <w:r>
        <w:t xml:space="preserve">12 points to 8 and the dielectric search was coarse.</w:t>
      </w:r>
    </w:p>
    <w:bookmarkEnd w:id="44"/>
    <w:bookmarkStart w:id="45" w:name="Xea9c28bc9cf6179adfcdac782afe375cfcd3dd2"/>
    <w:p>
      <w:pPr>
        <w:pStyle w:val="Heading3"/>
      </w:pPr>
      <w:r>
        <w:rPr>
          <w:rStyle w:val="SectionNumber"/>
        </w:rPr>
        <w:t xml:space="preserve">1.6.5</w:t>
      </w:r>
      <w:r>
        <w:tab/>
      </w:r>
      <w:r>
        <w:t xml:space="preserve">5.5 Thermodynamic screening (Materials Project)</w:t>
      </w:r>
    </w:p>
    <w:p>
      <w:pPr>
        <w:pStyle w:val="FirstParagraph"/>
      </w:pPr>
      <w:r>
        <w:t xml:space="preserve">All fifteen chemical systems nominated in the brief’s §9 were retrieved and</w:t>
      </w:r>
      <w:r>
        <w:t xml:space="preserve"> </w:t>
      </w:r>
      <w:r>
        <w:t xml:space="preserve">screened for phases within 50 meV/atom of the convex hull.</w:t>
      </w:r>
    </w:p>
    <w:p>
      <w:pPr>
        <w:pStyle w:val="BodyText"/>
      </w:pPr>
      <w:r>
        <w:rPr>
          <w:bCs/>
          <w:b/>
        </w:rPr>
        <w:t xml:space="preserve">The central result: Ag–Cu has no stable ordered compound.</w:t>
      </w:r>
      <w:r>
        <w:t xml:space="preserve"> </w:t>
      </w:r>
      <w:r>
        <w:t xml:space="preserve">Two intermediate</w:t>
      </w:r>
      <w:r>
        <w:t xml:space="preserve"> </w:t>
      </w:r>
      <w:r>
        <w:t xml:space="preserve">phases exist and neither lies on the hull: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 above hull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Cu₃Ag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0.0904 eV/atom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CuAg₃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0.0857 eV/atom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</w:tbl>
    <w:p>
      <w:pPr>
        <w:pStyle w:val="BodyText"/>
      </w:pPr>
      <w:r>
        <w:t xml:space="preserve">Ag–Cu is thermodynamically a</w:t>
      </w:r>
      <w:r>
        <w:t xml:space="preserve"> </w:t>
      </w:r>
      <w:r>
        <w:rPr>
          <w:bCs/>
          <w:b/>
        </w:rPr>
        <w:t xml:space="preserve">phase-separating system</w:t>
      </w:r>
      <w:r>
        <w:t xml:space="preserve"> </w:t>
      </w:r>
      <w:r>
        <w:t xml:space="preserve">— which the brief’s §5</w:t>
      </w:r>
      <w:r>
        <w:t xml:space="preserve"> </w:t>
      </w:r>
      <w:r>
        <w:t xml:space="preserve">suspected from the 13% lattice mismatch, and which is now supported by</w:t>
      </w:r>
      <w:r>
        <w:t xml:space="preserve"> </w:t>
      </w:r>
      <w:r>
        <w:t xml:space="preserve">first-principles data rather than inferred. The magnitude matters: 86–90 meV/atom</w:t>
      </w:r>
      <w:r>
        <w:t xml:space="preserve"> </w:t>
      </w:r>
      <w:r>
        <w:t xml:space="preserve">is well above k_BT at deposition (26 meV at 300 K, 48 meV at 550 K), so the</w:t>
      </w:r>
      <w:r>
        <w:t xml:space="preserve"> </w:t>
      </w:r>
      <w:r>
        <w:t xml:space="preserve">driving force to separate is substantial rather than marginal.</w:t>
      </w:r>
    </w:p>
    <w:p>
      <w:pPr>
        <w:pStyle w:val="BodyText"/>
      </w:pPr>
      <w:r>
        <w:rPr>
          <w:bCs/>
          <w:b/>
        </w:rPr>
        <w:t xml:space="preserve">What this does and does not establish.</w:t>
      </w:r>
      <w:r>
        <w:t xml:space="preserve"> </w:t>
      </w:r>
      <w:r>
        <w:t xml:space="preserve">It is an equilibrium statement. A</w:t>
      </w:r>
      <w:r>
        <w:t xml:space="preserve"> </w:t>
      </w:r>
      <w:r>
        <w:t xml:space="preserve">magnetron-sputtered film is quenched from the vapour at effective rates that</w:t>
      </w:r>
      <w:r>
        <w:t xml:space="preserve"> </w:t>
      </w:r>
      <w:r>
        <w:t xml:space="preserve">routinely trap metastable solid solutions, so it does not predict the</w:t>
      </w:r>
      <w:r>
        <w:t xml:space="preserve"> </w:t>
      </w:r>
      <w:r>
        <w:t xml:space="preserve">as-deposited microstructure. It predicts what the film will do on annealing —</w:t>
      </w:r>
      <w:r>
        <w:t xml:space="preserve"> </w:t>
      </w:r>
      <w:r>
        <w:t xml:space="preserve">which is precisely the discriminating experiment of §8.3, and it indicates the</w:t>
      </w:r>
      <w:r>
        <w:t xml:space="preserve"> </w:t>
      </w:r>
      <w:r>
        <w:t xml:space="preserve">direction to expect: resistivity should</w:t>
      </w:r>
      <w:r>
        <w:t xml:space="preserve"> </w:t>
      </w:r>
      <w:r>
        <w:rPr>
          <w:iCs/>
          <w:i/>
        </w:rPr>
        <w:t xml:space="preserve">fall</w:t>
      </w:r>
      <w:r>
        <w:t xml:space="preserve"> </w:t>
      </w:r>
      <w:r>
        <w:t xml:space="preserve">as copper precipitates from a</w:t>
      </w:r>
      <w:r>
        <w:t xml:space="preserve"> </w:t>
      </w:r>
      <w:r>
        <w:t xml:space="preserve">trapped solution.</w:t>
      </w:r>
    </w:p>
    <w:p>
      <w:pPr>
        <w:pStyle w:val="BodyText"/>
      </w:pPr>
      <w:r>
        <w:t xml:space="preserve">It also lends thermodynamic support to the segregated microstructure model, under</w:t>
      </w:r>
      <w:r>
        <w:t xml:space="preserve"> </w:t>
      </w:r>
      <w:r>
        <w:t xml:space="preserve">which §5.1’s dilute-silver optimum is strongest.</w:t>
      </w:r>
    </w:p>
    <w:p>
      <w:pPr>
        <w:pStyle w:val="BodyText"/>
      </w:pPr>
      <w:r>
        <w:rPr>
          <w:bCs/>
          <w:b/>
        </w:rPr>
        <w:t xml:space="preserve">Ag–Cu is the only nominated binary with no stable intermediate phase: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Near-hull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Representative phases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Ag–Cu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(phase-separating)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Ag–Ti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Ti₂Ag, TiAg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Al–Cu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Al₂Cu, AlCu, AlCu₃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Cu–Ti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TiCu, TiCu₂, Ti₂Cu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Al–Zn–O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Al₂ZnO₄, Al₁₀ZnO₁₆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Cu–O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Cu₂O, CuO, Cu₄O₃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Ag–O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Ag₂O, AgO, Ag₃O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Ag–Cu–O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CuAgO₂, Cu₂Ag₂O₃</w:t>
            </w:r>
          </w:p>
        </w:tc>
      </w:tr>
    </w:tbl>
    <w:p>
      <w:pPr>
        <w:pStyle w:val="BodyText"/>
      </w:pPr>
      <w:r>
        <w:rPr>
          <w:bCs/>
          <w:b/>
        </w:rPr>
        <w:t xml:space="preserve">This adds a mechanism to the dilute-stabiliser finding in §5.7.</w:t>
      </w:r>
      <w:r>
        <w:t xml:space="preserve"> </w:t>
      </w:r>
      <w:r>
        <w:t xml:space="preserve">Both Cu–Ti</w:t>
      </w:r>
      <w:r>
        <w:t xml:space="preserve"> </w:t>
      </w:r>
      <w:r>
        <w:t xml:space="preserve">and Al–Cu are richly intermetallic — eight and ten near-hull phases</w:t>
      </w:r>
      <w:r>
        <w:t xml:space="preserve"> </w:t>
      </w:r>
      <w:r>
        <w:t xml:space="preserve">respectively. A dilute Ti or Al addition to a Cu-bearing film therefore has</w:t>
      </w:r>
      <w:r>
        <w:t xml:space="preserve"> </w:t>
      </w:r>
      <w:r>
        <w:t xml:space="preserve">stable compounds available to form, so on annealing it is more likely to</w:t>
      </w:r>
      <w:r>
        <w:t xml:space="preserve"> </w:t>
      </w:r>
      <w:r>
        <w:t xml:space="preserve">precipitate an intermetallic than to remain in solution acting as a stabiliser.</w:t>
      </w:r>
      <w:r>
        <w:t xml:space="preserve"> </w:t>
      </w:r>
      <w:r>
        <w:t xml:space="preserve">That is a second reason for the ternary underperforming, independent of the</w:t>
      </w:r>
      <w:r>
        <w:t xml:space="preserve"> </w:t>
      </w:r>
      <w:r>
        <w:t xml:space="preserve">conductivity penalty.</w:t>
      </w:r>
    </w:p>
    <w:p>
      <w:pPr>
        <w:pStyle w:val="BodyText"/>
      </w:pPr>
      <w:r>
        <w:rPr>
          <w:bCs/>
          <w:b/>
        </w:rPr>
        <w:t xml:space="preserve">Ag–Cu–O is also populated</w:t>
      </w:r>
      <w:r>
        <w:t xml:space="preserve"> </w:t>
      </w:r>
      <w:r>
        <w:t xml:space="preserve">(four near-hull phases including CuAgO₂), which</w:t>
      </w:r>
      <w:r>
        <w:t xml:space="preserve"> </w:t>
      </w:r>
      <w:r>
        <w:t xml:space="preserve">bears on durability: an Ag–Cu film that oxidises has stable ternary oxides</w:t>
      </w:r>
      <w:r>
        <w:t xml:space="preserve"> </w:t>
      </w:r>
      <w:r>
        <w:t xml:space="preserve">available, not merely a mixture of Ag₂O and CuO.</w:t>
      </w:r>
    </w:p>
    <w:p>
      <w:pPr>
        <w:pStyle w:val="BodyText"/>
      </w:pPr>
      <w:r>
        <w:rPr>
          <w:bCs/>
          <w:b/>
        </w:rPr>
        <w:t xml:space="preserve">Limitation.</w:t>
      </w:r>
      <w:r>
        <w:t xml:space="preserve"> </w:t>
      </w:r>
      <w:r>
        <w:t xml:space="preserve">The Materials Project holds DFT results for ordered crystalline</w:t>
      </w:r>
      <w:r>
        <w:t xml:space="preserve"> </w:t>
      </w:r>
      <w:r>
        <w:t xml:space="preserve">phases at 0 K. It cannot describe a disordered sputtered solid solution,</w:t>
      </w:r>
      <w:r>
        <w:t xml:space="preserve"> </w:t>
      </w:r>
      <w:r>
        <w:t xml:space="preserve">thin-film optical constants at 10 nm, or interface energies against an amorphous</w:t>
      </w:r>
      <w:r>
        <w:t xml:space="preserve"> </w:t>
      </w:r>
      <w:r>
        <w:t xml:space="preserve">oxide. The framework records this limitation per query rather than leaving it</w:t>
      </w:r>
      <w:r>
        <w:t xml:space="preserve"> </w:t>
      </w:r>
      <w:r>
        <w:t xml:space="preserve">implicit.</w:t>
      </w:r>
    </w:p>
    <w:bookmarkEnd w:id="45"/>
    <w:bookmarkStart w:id="49" w:name="ranked-candidates"/>
    <w:p>
      <w:pPr>
        <w:pStyle w:val="Heading3"/>
      </w:pPr>
      <w:r>
        <w:rPr>
          <w:rStyle w:val="SectionNumber"/>
        </w:rPr>
        <w:t xml:space="preserve">1.6.6</w:t>
      </w:r>
      <w:r>
        <w:tab/>
      </w:r>
      <w:r>
        <w:t xml:space="preserve">5.6 Ranked candidates</w:t>
      </w:r>
    </w:p>
    <w:p>
      <w:pPr>
        <w:pStyle w:val="FirstParagraph"/>
      </w:pPr>
      <w:r>
        <w:t xml:space="preserve">All 36 architectures were scored under both climate profiles.</w:t>
      </w:r>
      <w:r>
        <w:t xml:space="preserve"> </w:t>
      </w:r>
      <w:r>
        <w:rPr>
          <w:bCs/>
          <w:b/>
        </w:rPr>
        <w:t xml:space="preserve">The two top-ten</w:t>
      </w:r>
      <w:r>
        <w:rPr>
          <w:bCs/>
          <w:b/>
        </w:rPr>
        <w:t xml:space="preserve"> </w:t>
      </w:r>
      <w:r>
        <w:rPr>
          <w:bCs/>
          <w:b/>
        </w:rPr>
        <w:t xml:space="preserve">lists share no candidates.</w:t>
      </w:r>
      <w:r>
        <w:t xml:space="preserve"> </w:t>
      </w:r>
      <w:r>
        <w:t xml:space="preserve">This is the practical form of §5.3: the climate is</w:t>
      </w:r>
      <w:r>
        <w:t xml:space="preserve"> </w:t>
      </w:r>
      <w:r>
        <w:t xml:space="preserve">not a refinement to the ranking, it selects a different design space.</w:t>
      </w:r>
    </w:p>
    <w:p>
      <w:pPr>
        <w:pStyle w:val="BodyText"/>
      </w:pPr>
      <w:r>
        <w:t xml:space="preserve">Columns: geometry as bottom/metal/top in nm; g is the EN 410 solar heat gain</w:t>
      </w:r>
      <w:r>
        <w:t xml:space="preserve"> </w:t>
      </w:r>
      <w:r>
        <w:t xml:space="preserve">coefficient; LSG = T_vis/g;</w:t>
      </w:r>
      <w:r>
        <w:t xml:space="preserve"> </w:t>
      </w:r>
      <w:r>
        <w:t xml:space="preserve">“</w:t>
      </w:r>
      <w:r>
        <w:t xml:space="preserve">spec</w:t>
      </w:r>
      <w:r>
        <w:t xml:space="preserve">”</w:t>
      </w:r>
      <w:r>
        <w:t xml:space="preserve"> </w:t>
      </w:r>
      <w:r>
        <w:t xml:space="preserve">is T_vis ≥ 0.80, R_s ≤ 5 Ω/sq, ε_h ≤ 0.10.</w:t>
      </w:r>
    </w:p>
    <w:bookmarkStart w:id="46" w:name="Xf3113839e4271d651dfd96d857b06f08fdd7ec0"/>
    <w:p>
      <w:pPr>
        <w:pStyle w:val="Heading4"/>
      </w:pPr>
      <w:r>
        <w:rPr>
          <w:rStyle w:val="SectionNumber"/>
        </w:rPr>
        <w:t xml:space="preserve">1.6.6.1</w:t>
      </w:r>
      <w:r>
        <w:tab/>
      </w:r>
      <w:r>
        <w:t xml:space="preserve">Heating-dominated (Northern Europe) —</w:t>
      </w:r>
      <w:r>
        <w:t xml:space="preserve"> </w:t>
      </w:r>
      <w:r>
        <w:rPr>
          <w:rStyle w:val="VerbatimChar"/>
        </w:rPr>
        <w:t xml:space="preserve">data/targets.yaml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T_vis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ε_h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R_s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 g/m²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$/m²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E10e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Si₃N₄/Ag₁₀Cu₉₀/Si₃N₄ (segregated)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59/10/48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89.3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E5e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Si₃N₄/Ag₅Cu₉₅/Si₃N₄ (segregated)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59/11/48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89.3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Si₃N₄/Cu/Si₃N₄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60/11/50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88.9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Si₃N₄/Ag₅Cu₉₅/Si₃N₄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59/11/48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86.8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Si₃N₄/Cu₉₀Zn₁₀/Si₃N₄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60/11/50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Si₃N₄/Ag₁₀Cu₉₀/Si₃N₄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59/11/48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84.8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Si₃N₄/Cu₉₀Ag₁₀/Si₃N₄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60/11/50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84.7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N35e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Si₃N₄/Ag₆₀Cu₄₀/Si₃N₄ (segregated)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45/9/40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81.7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Si₃N₄/Ag₂₅Cu₇₅/Si₃N₄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60/11/50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79.7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N3e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Si₃N₄/Ag₇₀Cu₃₀/Si₃N₄ (segregated)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25/9/35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79.2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AZO/Ag/AZO (</w:t>
            </w:r>
            <w:r>
              <w:rPr>
                <w:bCs/>
                <w:b/>
              </w:rPr>
              <w:t xml:space="preserve">benchmark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35/10/35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p>
      <w:pPr>
        <w:pStyle w:val="BodyText"/>
      </w:pPr>
      <w:r>
        <w:rPr>
          <w:bCs/>
          <w:b/>
        </w:rPr>
        <w:t xml:space="preserve">Every entry uses silicon nitride.</w:t>
      </w:r>
      <w:r>
        <w:t xml:space="preserve"> </w:t>
      </w:r>
      <w:r>
        <w:t xml:space="preserve">Nine of ten meet the full specification;</w:t>
      </w:r>
      <w:r>
        <w:t xml:space="preserve"> </w:t>
      </w:r>
      <w:r>
        <w:t xml:space="preserve">eight of ten use less than 0.05 g/m² of silver against the benchmark’s 0.105.</w:t>
      </w:r>
      <w:r>
        <w:t xml:space="preserve"> </w:t>
      </w:r>
      <w:r>
        <w:t xml:space="preserve">The leading candidate beats the benchmark on transmittance, emissivity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sheet resistance simultaneously while using</w:t>
      </w:r>
      <w:r>
        <w:t xml:space="preserve"> </w:t>
      </w:r>
      <w:r>
        <w:rPr>
          <w:bCs/>
          <w:b/>
        </w:rPr>
        <w:t xml:space="preserve">one seventh of the silver</w:t>
      </w:r>
      <w:r>
        <w:t xml:space="preserve">.</w:t>
      </w:r>
    </w:p>
    <w:bookmarkEnd w:id="46"/>
    <w:bookmarkStart w:id="47" w:name="X6b9688995bbb9d62ccb157df4c011c514f71427"/>
    <w:p>
      <w:pPr>
        <w:pStyle w:val="Heading4"/>
      </w:pPr>
      <w:r>
        <w:rPr>
          <w:rStyle w:val="SectionNumber"/>
        </w:rPr>
        <w:t xml:space="preserve">1.6.6.2</w:t>
      </w:r>
      <w:r>
        <w:tab/>
      </w:r>
      <w:r>
        <w:t xml:space="preserve">Cooling-dominated (India) —</w:t>
      </w:r>
      <w:r>
        <w:t xml:space="preserve"> </w:t>
      </w:r>
      <w:r>
        <w:rPr>
          <w:rStyle w:val="VerbatimChar"/>
        </w:rPr>
        <w:t xml:space="preserve">data/targets_cooling.yaml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T_vis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ε_h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R_s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 g/m²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$/m²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AZO/Cu/AZO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35/12/35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65.4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D10e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AZO/Ag₁₀Cu₉₀/AZO (segregated)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15/9/37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59.3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D15e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AZO/Ag₁₅Cu₈₅/AZO (segregated)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15/9/37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59.3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ITO/Ag₇₀Cu₃₀/ITO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35/10/35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58.3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AZO/Ag₂₅Cu₇₅/AZO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35/10/35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58.2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M3ema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AZO/Ag₇₀Cu₃₀/AZO (segregated)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35/10/35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57.9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M35e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AZO/Ag₆₀Cu₄₀/AZO (segregated)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15/9/35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57.4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AZO/Ag₁₀Cu₉₀/AZO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15/9/37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57.1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AZO/Ag₁₅Cu₈₅/AZO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15/9/37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56.3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AZO/Ag₅₀Cu₅₀/AZO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35/10/35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55.7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AZO/Ag/AZO (</w:t>
            </w:r>
            <w:r>
              <w:rPr>
                <w:bCs/>
                <w:b/>
              </w:rPr>
              <w:t xml:space="preserve">benchmark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35/10/35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p>
      <w:pPr>
        <w:pStyle w:val="BodyText"/>
      </w:pPr>
      <w:r>
        <w:rPr>
          <w:bCs/>
          <w:b/>
        </w:rPr>
        <w:t xml:space="preserve">Every entry uses a conductive oxide</w:t>
      </w:r>
      <w:r>
        <w:t xml:space="preserve"> </w:t>
      </w:r>
      <w:r>
        <w:t xml:space="preserve">(AZO or ITO), for the reason in §5.3 —</w:t>
      </w:r>
      <w:r>
        <w:t xml:space="preserve"> </w:t>
      </w:r>
      <w:r>
        <w:t xml:space="preserve">the free carriers reject solar near-infrared, which a passive nitride cannot.</w:t>
      </w:r>
      <w:r>
        <w:t xml:space="preserve"> </w:t>
      </w:r>
      <w:r>
        <w:t xml:space="preserve">But only</w:t>
      </w:r>
      <w:r>
        <w:t xml:space="preserve"> </w:t>
      </w:r>
      <w:r>
        <w:rPr>
          <w:bCs/>
          <w:b/>
        </w:rPr>
        <w:t xml:space="preserve">two of ten meet the full specification</w:t>
      </w:r>
      <w:r>
        <w:t xml:space="preserve">, and both of those use</w:t>
      </w:r>
      <w:r>
        <w:t xml:space="preserve"> </w:t>
      </w:r>
      <w:r>
        <w:t xml:space="preserve">substantial silver. The rest fail on visible transmittance.</w:t>
      </w:r>
    </w:p>
    <w:p>
      <w:pPr>
        <w:pStyle w:val="BodyText"/>
      </w:pPr>
      <w:r>
        <w:rPr>
          <w:bCs/>
          <w:b/>
        </w:rPr>
        <w:t xml:space="preserve">This is the honest state of the cooling-climate answer: the framework is</w:t>
      </w:r>
      <w:r>
        <w:rPr>
          <w:bCs/>
          <w:b/>
        </w:rPr>
        <w:t xml:space="preserve"> </w:t>
      </w:r>
      <w:r>
        <w:rPr>
          <w:bCs/>
          <w:b/>
        </w:rPr>
        <w:t xml:space="preserve">ranking near-misses.</w:t>
      </w:r>
      <w:r>
        <w:t xml:space="preserve"> </w:t>
      </w:r>
      <w:r>
        <w:t xml:space="preserve">No single-metal architecture in the set clears</w:t>
      </w:r>
      <w:r>
        <w:t xml:space="preserve"> </w:t>
      </w:r>
      <w:r>
        <w:t xml:space="preserve">T_vis ≥ 0.80 at acceptable solar gain, which is the finding that motivated the</w:t>
      </w:r>
      <w:r>
        <w:t xml:space="preserve"> </w:t>
      </w:r>
      <w:r>
        <w:t xml:space="preserve">multi-layer work in §5.4. The double-copper Si₃N₄ stack scores 68.9 on this</w:t>
      </w:r>
      <w:r>
        <w:t xml:space="preserve"> </w:t>
      </w:r>
      <w:r>
        <w:t xml:space="preserve">profile — higher than anything in the table above — but at T_vis 0.716 it too</w:t>
      </w:r>
      <w:r>
        <w:t xml:space="preserve"> </w:t>
      </w:r>
      <w:r>
        <w:t xml:space="preserve">falls short.</w:t>
      </w:r>
    </w:p>
    <w:bookmarkEnd w:id="47"/>
    <w:bookmarkStart w:id="48" w:name="how-to-read-these-tables"/>
    <w:p>
      <w:pPr>
        <w:pStyle w:val="Heading4"/>
      </w:pPr>
      <w:r>
        <w:rPr>
          <w:rStyle w:val="SectionNumber"/>
        </w:rPr>
        <w:t xml:space="preserve">1.6.6.3</w:t>
      </w:r>
      <w:r>
        <w:tab/>
      </w:r>
      <w:r>
        <w:t xml:space="preserve">How to read these tables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They share no candidates.</w:t>
      </w:r>
      <w:r>
        <w:t xml:space="preserve"> </w:t>
      </w:r>
      <w:r>
        <w:t xml:space="preserve">A recommendation is only meaningful with its</w:t>
      </w:r>
      <w:r>
        <w:t xml:space="preserve"> </w:t>
      </w:r>
      <w:r>
        <w:t xml:space="preserve">climate profile named. Circulating one table without the other would be</w:t>
      </w:r>
      <w:r>
        <w:t xml:space="preserve"> </w:t>
      </w:r>
      <w:r>
        <w:t xml:space="preserve">misleading.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The benchmark appears in neither top ten</w:t>
      </w:r>
      <w:r>
        <w:t xml:space="preserve">, which is the correct answer to</w:t>
      </w:r>
      <w:r>
        <w:t xml:space="preserve"> </w:t>
      </w:r>
      <w:r>
        <w:t xml:space="preserve">the brief’s question: pure silver is the incumbent to beat, and on a</w:t>
      </w:r>
      <w:r>
        <w:t xml:space="preserve"> </w:t>
      </w:r>
      <w:r>
        <w:t xml:space="preserve">sustainability-weighted objective it is beaten.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Four of ten in each list are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segregated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variants</w:t>
      </w:r>
      <w:r>
        <w:t xml:space="preserve"> </w:t>
      </w:r>
      <w:r>
        <w:t xml:space="preserve">— the same</w:t>
      </w:r>
      <w:r>
        <w:t xml:space="preserve"> </w:t>
      </w:r>
      <w:r>
        <w:t xml:space="preserve">composition under the alternative microstructure hypothesis. Until the</w:t>
      </w:r>
      <w:r>
        <w:t xml:space="preserve"> </w:t>
      </w:r>
      <w:r>
        <w:t xml:space="preserve">Phase 2 measurement (§8.3) is made, those four entries are conditional. §5.5</w:t>
      </w:r>
      <w:r>
        <w:t xml:space="preserve"> </w:t>
      </w:r>
      <w:r>
        <w:t xml:space="preserve">provides thermodynamic support for segregation but not proof of the</w:t>
      </w:r>
      <w:r>
        <w:t xml:space="preserve"> </w:t>
      </w:r>
      <w:r>
        <w:t xml:space="preserve">as-deposited state.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All copper-bearing entries are contingent on §6.</w:t>
      </w:r>
      <w:r>
        <w:t xml:space="preserve"> </w:t>
      </w:r>
      <w:r>
        <w:t xml:space="preserve">The framework</w:t>
      </w:r>
      <w:r>
        <w:t xml:space="preserve"> </w:t>
      </w:r>
      <w:r>
        <w:t xml:space="preserve">under-predicts sputtered copper sheet resistance by roughly eightfold; if</w:t>
      </w:r>
      <w:r>
        <w:t xml:space="preserve"> </w:t>
      </w:r>
      <w:r>
        <w:t xml:space="preserve">that gap is real film quality rather than model error, most of both tables is</w:t>
      </w:r>
      <w:r>
        <w:t xml:space="preserve"> </w:t>
      </w:r>
      <w:r>
        <w:t xml:space="preserve">affected.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Scores are not comparable between the two tables</w:t>
      </w:r>
      <w:r>
        <w:t xml:space="preserve">, being computed under</w:t>
      </w:r>
      <w:r>
        <w:t xml:space="preserve"> </w:t>
      </w:r>
      <w:r>
        <w:t xml:space="preserve">different weightings. Compare within a column only.</w:t>
      </w:r>
    </w:p>
    <w:bookmarkEnd w:id="48"/>
    <w:bookmarkEnd w:id="49"/>
    <w:bookmarkStart w:id="50" w:name="X584d95ace2700db17e023b9699fd346786a2dc4"/>
    <w:p>
      <w:pPr>
        <w:pStyle w:val="Heading3"/>
      </w:pPr>
      <w:r>
        <w:rPr>
          <w:rStyle w:val="SectionNumber"/>
        </w:rPr>
        <w:t xml:space="preserve">1.6.7</w:t>
      </w:r>
      <w:r>
        <w:tab/>
      </w:r>
      <w:r>
        <w:t xml:space="preserve">5.7 The dilute-titanium ternary is predicted to underperform</w:t>
      </w:r>
    </w:p>
    <w:p>
      <w:pPr>
        <w:pStyle w:val="FirstParagraph"/>
      </w:pPr>
      <w:r>
        <w:t xml:space="preserve">Ag₇₀Cu₂₉Ti₁, proposed in the brief on the hypothesis that dilute Ti stabilises</w:t>
      </w:r>
      <w:r>
        <w:t xml:space="preserve"> </w:t>
      </w:r>
      <w:r>
        <w:t xml:space="preserve">the metal layer, ranks 13th of 14 in the original candidate set. Titanium’s bulk</w:t>
      </w:r>
      <w:r>
        <w:t xml:space="preserve"> </w:t>
      </w:r>
      <w:r>
        <w:t xml:space="preserve">resistivity is 42 µΩ·cm, approximately 26× silver’s; even at 1 at.% this raises</w:t>
      </w:r>
      <w:r>
        <w:t xml:space="preserve"> </w:t>
      </w:r>
      <w:r>
        <w:t xml:space="preserve">alloy resistivity enough to give the worst sheet resistance (7.55 Ω/sq) and</w:t>
      </w:r>
      <w:r>
        <w:t xml:space="preserve"> </w:t>
      </w:r>
      <w:r>
        <w:t xml:space="preserve">worst emissivity (0.0921) in the set. The interfacial benefit may be real, but</w:t>
      </w:r>
      <w:r>
        <w:t xml:space="preserve"> </w:t>
      </w:r>
      <w:r>
        <w:t xml:space="preserve">the conductivity penalty is weighting-independent.</w:t>
      </w:r>
    </w:p>
    <w:p>
      <w:pPr>
        <w:pStyle w:val="BodyText"/>
      </w:pPr>
      <w:r>
        <w:t xml:space="preserve">A titanium</w:t>
      </w:r>
      <w:r>
        <w:t xml:space="preserve"> </w:t>
      </w:r>
      <w:r>
        <w:rPr>
          <w:iCs/>
          <w:i/>
        </w:rPr>
        <w:t xml:space="preserve">barrier layer</w:t>
      </w:r>
      <w:r>
        <w:t xml:space="preserve"> </w:t>
      </w:r>
      <w:r>
        <w:t xml:space="preserve">remains the better test of the interface hypothesis,</w:t>
      </w:r>
      <w:r>
        <w:t xml:space="preserve"> </w:t>
      </w:r>
      <w:r>
        <w:t xml:space="preserve">isolating the interfacial effect without placing Ti in the conduction path — as</w:t>
      </w:r>
      <w:r>
        <w:t xml:space="preserve"> </w:t>
      </w:r>
      <w:r>
        <w:t xml:space="preserve">industrial coatings do. It is not, however, a silver-reduction candidate: it</w:t>
      </w:r>
      <w:r>
        <w:t xml:space="preserve"> </w:t>
      </w:r>
      <w:r>
        <w:t xml:space="preserve">uses a full pure-silver layer and ranks last once silver consumption is</w:t>
      </w:r>
      <w:r>
        <w:t xml:space="preserve"> </w:t>
      </w:r>
      <w:r>
        <w:t xml:space="preserve">weighted. The two claims should be kept separate.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6" w:name="Xf93c72bc7fdde61b05987e4bd3a6159ae74637a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6. The critical unknown, and the experiment that resolves it</w:t>
      </w:r>
    </w:p>
    <w:bookmarkStart w:id="52" w:name="the-discrepancy"/>
    <w:p>
      <w:pPr>
        <w:pStyle w:val="Heading3"/>
      </w:pPr>
      <w:r>
        <w:rPr>
          <w:rStyle w:val="SectionNumber"/>
        </w:rPr>
        <w:t xml:space="preserve">1.7.1</w:t>
      </w:r>
      <w:r>
        <w:tab/>
      </w:r>
      <w:r>
        <w:t xml:space="preserve">6.1 The discrepancy</w:t>
      </w:r>
    </w:p>
    <w:p>
      <w:pPr>
        <w:pStyle w:val="FirstParagraph"/>
      </w:pPr>
      <w:r>
        <w:t xml:space="preserve">Validation against literature shows the model reproducing silver stacks well in</w:t>
      </w:r>
      <w:r>
        <w:t xml:space="preserve"> </w:t>
      </w:r>
      <w:r>
        <w:t xml:space="preserve">the infrared — its intended strength — and failing on copper: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Benchmark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AZO/Ag(13)/AZO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Far-IR reflectance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AZO/Cu/AZO (2022)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Sheet resistance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AZO/Cu(15)/AZO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Sheet resistance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87%</w:t>
            </w:r>
          </w:p>
        </w:tc>
      </w:tr>
    </w:tbl>
    <w:p>
      <w:pPr>
        <w:pStyle w:val="BodyText"/>
      </w:pPr>
      <w:r>
        <w:t xml:space="preserve">The model under-predicts sputtered copper sheet resistance by approximately</w:t>
      </w:r>
      <w:r>
        <w:t xml:space="preserve"> </w:t>
      </w:r>
      <w:r>
        <w:t xml:space="preserve">eightfold. The classical size effect cannot account for a gap of this magnitude,</w:t>
      </w:r>
      <w:r>
        <w:t xml:space="preserve"> </w:t>
      </w:r>
      <w:r>
        <w:t xml:space="preserve">which points to a mechanism the model does not contain: oxygen incorporation</w:t>
      </w:r>
      <w:r>
        <w:t xml:space="preserve"> </w:t>
      </w:r>
      <w:r>
        <w:t xml:space="preserve">during deposition, native oxide at the interfaces, or substantially poorer grain</w:t>
      </w:r>
      <w:r>
        <w:t xml:space="preserve"> </w:t>
      </w:r>
      <w:r>
        <w:t xml:space="preserve">structure than silver on the same underlayer.</w:t>
      </w:r>
    </w:p>
    <w:p>
      <w:pPr>
        <w:pStyle w:val="BodyText"/>
      </w:pPr>
      <w:r>
        <w:rPr>
          <w:bCs/>
          <w:b/>
        </w:rPr>
        <w:t xml:space="preserve">If this reading is correct, the obstacle to the copper route is film quality</w:t>
      </w:r>
      <w:r>
        <w:rPr>
          <w:bCs/>
          <w:b/>
        </w:rPr>
        <w:t xml:space="preserve"> </w:t>
      </w:r>
      <w:r>
        <w:rPr>
          <w:bCs/>
          <w:b/>
        </w:rPr>
        <w:t xml:space="preserve">rather than intrinsic physics</w:t>
      </w:r>
      <w:r>
        <w:t xml:space="preserve"> </w:t>
      </w:r>
      <w:r>
        <w:t xml:space="preserve">— an engineering problem with known levers (base</w:t>
      </w:r>
      <w:r>
        <w:t xml:space="preserve"> </w:t>
      </w:r>
      <w:r>
        <w:t xml:space="preserve">pressure, seed layers, getter, substrate temperature) rather than a fundamental</w:t>
      </w:r>
      <w:r>
        <w:t xml:space="preserve"> </w:t>
      </w:r>
      <w:r>
        <w:t xml:space="preserve">limit. That is a considerably more tractable target than replacing silver’s</w:t>
      </w:r>
      <w:r>
        <w:t xml:space="preserve"> </w:t>
      </w:r>
      <w:r>
        <w:t xml:space="preserve">electronic structure.</w:t>
      </w:r>
    </w:p>
    <w:p>
      <w:pPr>
        <w:pStyle w:val="BodyText"/>
      </w:pPr>
      <w:r>
        <w:rPr>
          <w:bCs/>
          <w:b/>
        </w:rPr>
        <w:t xml:space="preserve">It also gates six of the leading candidates</w:t>
      </w:r>
      <w:r>
        <w:t xml:space="preserve"> </w:t>
      </w:r>
      <w:r>
        <w:t xml:space="preserve">in both climate profiles.</w:t>
      </w:r>
    </w:p>
    <w:bookmarkEnd w:id="52"/>
    <w:bookmarkStart w:id="53" w:name="the-experiment"/>
    <w:p>
      <w:pPr>
        <w:pStyle w:val="Heading3"/>
      </w:pPr>
      <w:r>
        <w:rPr>
          <w:rStyle w:val="SectionNumber"/>
        </w:rPr>
        <w:t xml:space="preserve">1.7.2</w:t>
      </w:r>
      <w:r>
        <w:tab/>
      </w:r>
      <w:r>
        <w:t xml:space="preserve">6.2 The experiment</w:t>
      </w:r>
    </w:p>
    <w:p>
      <w:pPr>
        <w:pStyle w:val="FirstParagraph"/>
      </w:pPr>
      <w:r>
        <w:t xml:space="preserve">Specified in</w:t>
      </w:r>
      <w:r>
        <w:t xml:space="preserve"> </w:t>
      </w:r>
      <w:r>
        <w:rPr>
          <w:rStyle w:val="VerbatimChar"/>
        </w:rPr>
        <w:t xml:space="preserve">experiments/BENCH_cu_series.md</w:t>
      </w:r>
      <w:r>
        <w:t xml:space="preserve"> </w:t>
      </w:r>
      <w:r>
        <w:t xml:space="preserve">with pre-registered decision rules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experiments/PROTOCOL_cu_series.md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Matrix.</w:t>
      </w:r>
      <w:r>
        <w:t xml:space="preserve"> </w:t>
      </w:r>
      <w:r>
        <w:t xml:space="preserve">Cu at 8, 10, 12, 14, 16, 18, 20 nm plus a 10 nm Ag control, all as</w:t>
      </w:r>
      <w:r>
        <w:t xml:space="preserve"> </w:t>
      </w:r>
      <w:r>
        <w:t xml:space="preserve">AZO(40)/metal/AZO(40) capped trilayers, deposition order randomised. Plus one</w:t>
      </w:r>
      <w:r>
        <w:t xml:space="preserve"> </w:t>
      </w:r>
      <w:r>
        <w:t xml:space="preserve">uncapped Cu film at 12 nm as an oxidation control.</w:t>
      </w:r>
    </w:p>
    <w:p>
      <w:pPr>
        <w:pStyle w:val="BodyText"/>
      </w:pPr>
      <w:r>
        <w:rPr>
          <w:bCs/>
          <w:b/>
        </w:rPr>
        <w:t xml:space="preserve">Key design decisions.</w:t>
      </w:r>
    </w:p>
    <w:p>
      <w:pPr>
        <w:pStyle w:val="BodyText"/>
      </w:pPr>
      <w:r>
        <w:rPr>
          <w:iCs/>
          <w:i/>
        </w:rPr>
        <w:t xml:space="preserve">Films must be capped.</w:t>
      </w:r>
      <w:r>
        <w:t xml:space="preserve"> </w:t>
      </w:r>
      <w:r>
        <w:t xml:space="preserve">Bare 10 nm copper oxidises in air within minutes, and the</w:t>
      </w:r>
      <w:r>
        <w:t xml:space="preserve"> </w:t>
      </w:r>
      <w:r>
        <w:t xml:space="preserve">hypothesis under test is that oxygen degrades these films. A bare film measured</w:t>
      </w:r>
      <w:r>
        <w:t xml:space="preserve"> </w:t>
      </w:r>
      <w:r>
        <w:t xml:space="preserve">after venting reports air oxidation rather than deposition quality. The</w:t>
      </w:r>
      <w:r>
        <w:t xml:space="preserve"> </w:t>
      </w:r>
      <w:r>
        <w:t xml:space="preserve">framework de-embeds the AZO shunt to recover the metal layer; the correction is</w:t>
      </w:r>
      <w:r>
        <w:t xml:space="preserve"> </w:t>
      </w:r>
      <w:r>
        <w:t xml:space="preserve">non-linear and largest where it matters — a measured 16.6 Ω/sq trilayer is</w:t>
      </w:r>
      <w:r>
        <w:t xml:space="preserve"> </w:t>
      </w:r>
      <w:r>
        <w:t xml:space="preserve">22.6 Ω/sq in the metal alone, a 36% difference. Omitting it would bias the</w:t>
      </w:r>
      <w:r>
        <w:t xml:space="preserve"> </w:t>
      </w:r>
      <w:r>
        <w:t xml:space="preserve">result toward</w:t>
      </w:r>
      <w:r>
        <w:t xml:space="preserve"> </w:t>
      </w:r>
      <w:r>
        <w:t xml:space="preserve">“</w:t>
      </w:r>
      <w:r>
        <w:t xml:space="preserve">the copper is acceptable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iCs/>
          <w:i/>
        </w:rPr>
        <w:t xml:space="preserve">Order randomised.</w:t>
      </w:r>
      <w:r>
        <w:t xml:space="preserve"> </w:t>
      </w:r>
      <w:r>
        <w:t xml:space="preserve">Target erosion drifts across a campaign; in ascending</w:t>
      </w:r>
      <w:r>
        <w:t xml:space="preserve"> </w:t>
      </w:r>
      <w:r>
        <w:t xml:space="preserve">thickness order that drift aliases directly onto thickness and cannot be</w:t>
      </w:r>
      <w:r>
        <w:t xml:space="preserve"> </w:t>
      </w:r>
      <w:r>
        <w:t xml:space="preserve">separated from a size effect.</w:t>
      </w:r>
    </w:p>
    <w:p>
      <w:pPr>
        <w:pStyle w:val="BodyText"/>
      </w:pPr>
      <w:r>
        <w:rPr>
          <w:iCs/>
          <w:i/>
        </w:rPr>
        <w:t xml:space="preserve">Thickness measured independently.</w:t>
      </w:r>
      <w:r>
        <w:t xml:space="preserve"> </w:t>
      </w:r>
      <w:r>
        <w:t xml:space="preserve">ρ = R_s · t, so a 20% thickness error becomes</w:t>
      </w:r>
      <w:r>
        <w:t xml:space="preserve"> </w:t>
      </w:r>
      <w:r>
        <w:t xml:space="preserve">a 20% resistivity error and would be misattributed to a scattering parameter.</w:t>
      </w:r>
    </w:p>
    <w:p>
      <w:pPr>
        <w:pStyle w:val="BodyText"/>
      </w:pPr>
      <w:r>
        <w:rPr>
          <w:iCs/>
          <w:i/>
        </w:rPr>
        <w:t xml:space="preserve">Silver control is a stop condition.</w:t>
      </w:r>
      <w:r>
        <w:t xml:space="preserve"> </w:t>
      </w:r>
      <w:r>
        <w:t xml:space="preserve">AZO/Ag(10)/AZO should give approximately</w:t>
      </w:r>
      <w:r>
        <w:t xml:space="preserve"> </w:t>
      </w:r>
      <w:r>
        <w:t xml:space="preserve">4–5 Ω/sq. If it does not, the tool requires diagnosis before the copper series</w:t>
      </w:r>
      <w:r>
        <w:t xml:space="preserve"> </w:t>
      </w:r>
      <w:r>
        <w:t xml:space="preserve">can be interpreted.</w:t>
      </w:r>
    </w:p>
    <w:p>
      <w:pPr>
        <w:pStyle w:val="BodyText"/>
      </w:pPr>
      <w:r>
        <w:rPr>
          <w:bCs/>
          <w:b/>
        </w:rPr>
        <w:t xml:space="preserve">Analysis.</w:t>
      </w:r>
      <w:r>
        <w:t xml:space="preserve"> </w:t>
      </w:r>
      <w:r>
        <w:t xml:space="preserve">One command:</w:t>
      </w:r>
    </w:p>
    <w:p>
      <w:pPr>
        <w:pStyle w:val="SourceCode"/>
      </w:pPr>
      <w:r>
        <w:rPr>
          <w:rStyle w:val="ExtensionTok"/>
        </w:rPr>
        <w:t xml:space="preserve">pvdlowe</w:t>
      </w:r>
      <w:r>
        <w:rPr>
          <w:rStyle w:val="NormalTok"/>
        </w:rPr>
        <w:t xml:space="preserve"> calibrate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experiments/cu_series_runsheet.csv </w:t>
      </w:r>
      <w:r>
        <w:rPr>
          <w:rStyle w:val="AttributeTok"/>
        </w:rPr>
        <w:t xml:space="preserve">--capped</w:t>
      </w:r>
    </w:p>
    <w:p>
      <w:pPr>
        <w:pStyle w:val="FirstParagraph"/>
      </w:pPr>
      <w:r>
        <w:t xml:space="preserve">This fits specularity, grain-boundary reflection, percolation threshold and a</w:t>
      </w:r>
      <w:r>
        <w:t xml:space="preserve"> </w:t>
      </w:r>
      <w:r>
        <w:t xml:space="preserve">thickness-independent excess resistivity, then diagnoses which of three</w:t>
      </w:r>
      <w:r>
        <w:t xml:space="preserve"> </w:t>
      </w:r>
      <w:r>
        <w:t xml:space="preserve">mechanisms is operating.</w:t>
      </w:r>
    </w:p>
    <w:bookmarkEnd w:id="53"/>
    <w:bookmarkStart w:id="54" w:name="pre-registered-decision-rules"/>
    <w:p>
      <w:pPr>
        <w:pStyle w:val="Heading3"/>
      </w:pPr>
      <w:r>
        <w:rPr>
          <w:rStyle w:val="SectionNumber"/>
        </w:rPr>
        <w:t xml:space="preserve">1.7.3</w:t>
      </w:r>
      <w:r>
        <w:tab/>
      </w:r>
      <w:r>
        <w:t xml:space="preserve">6.3 Pre-registered decision rules</w:t>
      </w:r>
    </w:p>
    <w:p>
      <w:pPr>
        <w:pStyle w:val="FirstParagraph"/>
      </w:pPr>
      <w:r>
        <w:t xml:space="preserve">Written before any data exists, so that interpretation is not selected to suit</w:t>
      </w:r>
      <w:r>
        <w:t xml:space="preserve"> </w:t>
      </w:r>
      <w:r>
        <w:t xml:space="preserve">the outcome.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Interpretation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Consequence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Excess &lt; 1 µΩ·cm, ρ(100 nm)/ρ_bulk &lt; 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Classical size effect; model form correct, parameters wrong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Adopt fitted parameters; copper recommendations stand with revised figures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Excess &gt; 50% of bulk, improving fit by &gt; 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Impurity scattering, most likely oxygen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Favourable</w:t>
            </w:r>
            <w:r>
              <w:t xml:space="preserve">: film quality, not physics. Follow with base-pressure study and XPS depth profile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Fitted d_c differs from 11 nm by &gt; 1.5 nm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Dewetting on this underlayer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usable thickness changes, and with it every silver-consumption figure. Trial a seed layer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R_s at 15 nm near 16.6 Ω/sq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Literature is correct; model optics optimistic by ~8×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Six leading candidates fall.</w:t>
            </w:r>
            <w:r>
              <w:t xml:space="preserve"> </w:t>
            </w:r>
            <w:r>
              <w:t xml:space="preserve">Programme reverts to silver reduction, with §5.1’s dilute-silver optimum as the recommendation in its own right</w:t>
            </w:r>
          </w:p>
        </w:tc>
      </w:tr>
    </w:tbl>
    <w:bookmarkEnd w:id="54"/>
    <w:bookmarkStart w:id="55" w:name="validation-of-the-analysis-path"/>
    <w:p>
      <w:pPr>
        <w:pStyle w:val="Heading3"/>
      </w:pPr>
      <w:r>
        <w:rPr>
          <w:rStyle w:val="SectionNumber"/>
        </w:rPr>
        <w:t xml:space="preserve">1.7.4</w:t>
      </w:r>
      <w:r>
        <w:tab/>
      </w:r>
      <w:r>
        <w:t xml:space="preserve">6.4 Validation of the analysis path</w:t>
      </w:r>
    </w:p>
    <w:p>
      <w:pPr>
        <w:pStyle w:val="FirstParagraph"/>
      </w:pPr>
      <w:r>
        <w:t xml:space="preserve">The fitter was tested against synthetic data generated with known parameters.</w:t>
      </w:r>
      <w:r>
        <w:t xml:space="preserve"> </w:t>
      </w:r>
      <w:r>
        <w:t xml:space="preserve">All four cases were diagnosed correctly at 0.5–2.4% relative residual, and the</w:t>
      </w:r>
      <w:r>
        <w:t xml:space="preserve"> </w:t>
      </w:r>
      <w:r>
        <w:t xml:space="preserve">percolation threshold was recovered to better than 1 nm in every case.</w:t>
      </w:r>
    </w:p>
    <w:p>
      <w:pPr>
        <w:pStyle w:val="BodyText"/>
      </w:pPr>
      <w:r>
        <w:rPr>
          <w:bCs/>
          <w:b/>
        </w:rPr>
        <w:t xml:space="preserve">A limitation identified by that testing and stated in the protocol:</w:t>
      </w:r>
      <w:r>
        <w:t xml:space="preserve"> </w:t>
      </w:r>
      <w:r>
        <w:t xml:space="preserve">specularity and grain-boundary reflection are</w:t>
      </w:r>
      <w:r>
        <w:t xml:space="preserve"> </w:t>
      </w:r>
      <w:r>
        <w:rPr>
          <w:bCs/>
          <w:b/>
        </w:rPr>
        <w:t xml:space="preserve">not separately identifiable</w:t>
      </w:r>
      <w:r>
        <w:t xml:space="preserve"> </w:t>
      </w:r>
      <w:r>
        <w:t xml:space="preserve">from R_s(d) alone — across an 8–20 nm window they produce nearly the same 1/d</w:t>
      </w:r>
      <w:r>
        <w:t xml:space="preserve"> </w:t>
      </w:r>
      <w:r>
        <w:t xml:space="preserve">dependence. A synthetic film generated with p = 0.35 was fitted at p = 1.00 with</w:t>
      </w:r>
      <w:r>
        <w:t xml:space="preserve"> </w:t>
      </w:r>
      <w:r>
        <w:t xml:space="preserve">a 1.5% residual: an excellent fit to the data and an incorrect value for the</w:t>
      </w:r>
      <w:r>
        <w:t xml:space="preserve"> </w:t>
      </w:r>
      <w:r>
        <w:t xml:space="preserve">parameter.</w:t>
      </w:r>
    </w:p>
    <w:p>
      <w:pPr>
        <w:pStyle w:val="BodyText"/>
      </w:pPr>
      <w:r>
        <w:t xml:space="preserve">The fitted model therefore predicts sheet resistance reliably within the fitted</w:t>
      </w:r>
      <w:r>
        <w:t xml:space="preserve"> </w:t>
      </w:r>
      <w:r>
        <w:t xml:space="preserve">range, which is what the framework requires, but the individual parameters must</w:t>
      </w:r>
      <w:r>
        <w:t xml:space="preserve"> </w:t>
      </w:r>
      <w:r>
        <w:t xml:space="preserve">not be reported as measurements. Separating them requires varying grain size</w:t>
      </w:r>
      <w:r>
        <w:t xml:space="preserve"> </w:t>
      </w:r>
      <w:r>
        <w:t xml:space="preserve">independently, for instance by annealing at fixed thickness. The percolation</w:t>
      </w:r>
      <w:r>
        <w:t xml:space="preserve"> </w:t>
      </w:r>
      <w:r>
        <w:t xml:space="preserve">threshold</w:t>
      </w:r>
      <w:r>
        <w:t xml:space="preserve"> </w:t>
      </w:r>
      <w:r>
        <w:rPr>
          <w:bCs/>
          <w:b/>
        </w:rPr>
        <w:t xml:space="preserve">is</w:t>
      </w:r>
      <w:r>
        <w:t xml:space="preserve"> </w:t>
      </w:r>
      <w:r>
        <w:t xml:space="preserve">identifiable, and is the parameter of greatest consequence</w:t>
      </w:r>
      <w:r>
        <w:t xml:space="preserve"> </w:t>
      </w:r>
      <w:r>
        <w:t xml:space="preserve">since it sets minimum usable thickness.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1" w:name="limitations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7. Limitations</w:t>
      </w:r>
    </w:p>
    <w:bookmarkStart w:id="57" w:name="no-experimental-validation"/>
    <w:p>
      <w:pPr>
        <w:pStyle w:val="Heading3"/>
      </w:pPr>
      <w:r>
        <w:rPr>
          <w:rStyle w:val="SectionNumber"/>
        </w:rPr>
        <w:t xml:space="preserve">1.8.1</w:t>
      </w:r>
      <w:r>
        <w:tab/>
      </w:r>
      <w:r>
        <w:t xml:space="preserve">7.1 No experimental validation</w:t>
      </w:r>
    </w:p>
    <w:p>
      <w:pPr>
        <w:pStyle w:val="FirstParagraph"/>
      </w:pPr>
      <w:r>
        <w:t xml:space="preserve">No films were deposited. Every performance figure in this report is a model</w:t>
      </w:r>
      <w:r>
        <w:t xml:space="preserve"> </w:t>
      </w:r>
      <w:r>
        <w:t xml:space="preserve">output. The candidate rankings are hypotheses ordered by physics, suitable for</w:t>
      </w:r>
      <w:r>
        <w:t xml:space="preserve"> </w:t>
      </w:r>
      <w:r>
        <w:t xml:space="preserve">directing experimental effort, and are not results.</w:t>
      </w:r>
    </w:p>
    <w:bookmarkEnd w:id="57"/>
    <w:bookmarkStart w:id="58" w:name="calibrated-and-fitted-parameters"/>
    <w:p>
      <w:pPr>
        <w:pStyle w:val="Heading3"/>
      </w:pPr>
      <w:r>
        <w:rPr>
          <w:rStyle w:val="SectionNumber"/>
        </w:rPr>
        <w:t xml:space="preserve">1.8.2</w:t>
      </w:r>
      <w:r>
        <w:tab/>
      </w:r>
      <w:r>
        <w:t xml:space="preserve">7.2 Calibrated and fitted parameters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Glass far-IR oscillator 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Calibrated to bare-glass ε_n = 0.837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TCO band-edge strength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Calibrated to n(550 nm)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 percolation d_c = 10 nm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Literature, XRD-confirmed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 percolation d_c = 11 nm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Literature, unconfirmed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Drude damping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Anchored to DC resistivity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Specularity, grain-boundary reflection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Fitted, not measured</w:t>
            </w:r>
          </w:p>
        </w:tc>
      </w:tr>
    </w:tbl>
    <w:bookmarkEnd w:id="58"/>
    <w:bookmarkStart w:id="59" w:name="known-weaknesses"/>
    <w:p>
      <w:pPr>
        <w:pStyle w:val="Heading3"/>
      </w:pPr>
      <w:r>
        <w:rPr>
          <w:rStyle w:val="SectionNumber"/>
        </w:rPr>
        <w:t xml:space="preserve">1.8.3</w:t>
      </w:r>
      <w:r>
        <w:tab/>
      </w:r>
      <w:r>
        <w:t xml:space="preserve">7.3 Known weaknesses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Si₃N₄ and TiO₂ optical constants are ESTIMATE grade</w:t>
      </w:r>
      <w:r>
        <w:t xml:space="preserve"> </w:t>
      </w:r>
      <w:r>
        <w:t xml:space="preserve">— indices from typical</w:t>
      </w:r>
      <w:r>
        <w:t xml:space="preserve"> </w:t>
      </w:r>
      <w:r>
        <w:t xml:space="preserve">sputtered values, phonon parameters order-of-magnitude.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D65 and AM1.5 spectra are Planckian approximations</w:t>
      </w:r>
      <w:r>
        <w:t xml:space="preserve">, flagged as MODEL.</w:t>
      </w:r>
      <w:r>
        <w:t xml:space="preserve"> </w:t>
      </w:r>
      <w:r>
        <w:t xml:space="preserve">The cost of this has now been quantified rather than left open</w:t>
      </w:r>
      <w:r>
        <w:t xml:space="preserve"> </w:t>
      </w:r>
      <w:r>
        <w:t xml:space="preserve">(</w:t>
      </w:r>
      <w:r>
        <w:rPr>
          <w:rStyle w:val="VerbatimChar"/>
        </w:rPr>
        <w:t xml:space="preserve">illuminant_sensitivity</w:t>
      </w:r>
      <w:r>
        <w:t xml:space="preserve">): varying the assumed colour temperature over</w:t>
      </w:r>
      <w:r>
        <w:t xml:space="preserve"> </w:t>
      </w:r>
      <w:r>
        <w:t xml:space="preserve">5000–7500 K moves</w:t>
      </w:r>
      <w:r>
        <w:t xml:space="preserve"> </w:t>
      </w:r>
      <w:r>
        <w:rPr>
          <w:bCs/>
          <w:b/>
        </w:rPr>
        <w:t xml:space="preserve">T_vis by 0.1%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T_sol by 8.3%</w:t>
      </w:r>
      <w:r>
        <w:t xml:space="preserve">. The asymmetry is</w:t>
      </w:r>
      <w:r>
        <w:t xml:space="preserve"> </w:t>
      </w:r>
      <w:r>
        <w:t xml:space="preserve">structural — the photopic response V(λ) is narrow and dominates the visible</w:t>
      </w:r>
      <w:r>
        <w:t xml:space="preserve"> </w:t>
      </w:r>
      <w:r>
        <w:t xml:space="preserve">weighting, whereas in the solar band the spectrum</w:t>
      </w:r>
      <w:r>
        <w:t xml:space="preserve"> </w:t>
      </w:r>
      <w:r>
        <w:rPr>
          <w:iCs/>
          <w:i/>
        </w:rPr>
        <w:t xml:space="preserve">is</w:t>
      </w:r>
      <w:r>
        <w:t xml:space="preserve"> </w:t>
      </w:r>
      <w:r>
        <w:t xml:space="preserve">the weighting.</w:t>
      </w:r>
    </w:p>
    <w:p>
      <w:pPr>
        <w:numPr>
          <w:ilvl w:val="0"/>
          <w:numId w:val="1000"/>
        </w:numPr>
      </w:pPr>
      <w:r>
        <w:rPr>
          <w:iCs/>
          <w:i/>
        </w:rPr>
        <w:t xml:space="preserve">Consequence:</w:t>
      </w:r>
      <w:r>
        <w:t xml:space="preserve"> </w:t>
      </w:r>
      <w:r>
        <w:t xml:space="preserve">T_vis is reportable as computed.</w:t>
      </w:r>
      <w:r>
        <w:t xml:space="preserve"> </w:t>
      </w:r>
      <w:r>
        <w:rPr>
          <w:bCs/>
          <w:b/>
        </w:rPr>
        <w:t xml:space="preserve">T_sol, and the g-value and</w:t>
      </w:r>
      <w:r>
        <w:rPr>
          <w:bCs/>
          <w:b/>
        </w:rPr>
        <w:t xml:space="preserve"> </w:t>
      </w:r>
      <w:r>
        <w:rPr>
          <w:bCs/>
          <w:b/>
        </w:rPr>
        <w:t xml:space="preserve">LSG derived from it, carry a systematic uncertainty of order 5–10%</w:t>
      </w:r>
      <w:r>
        <w:t xml:space="preserve"> </w:t>
      </w:r>
      <w:r>
        <w:t xml:space="preserve">until a</w:t>
      </w:r>
      <w:r>
        <w:t xml:space="preserve"> </w:t>
      </w:r>
      <w:r>
        <w:t xml:space="preserve">tabulated AM1.5G spectrum is supplied. Rankings within a climate profile are</w:t>
      </w:r>
      <w:r>
        <w:t xml:space="preserve"> </w:t>
      </w:r>
      <w:r>
        <w:t xml:space="preserve">unaffected, the bias being common to all candidates, but absolute solar-gain</w:t>
      </w:r>
      <w:r>
        <w:t xml:space="preserve"> </w:t>
      </w:r>
      <w:r>
        <w:t xml:space="preserve">figures quoted against a building code are.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Visible-range metal optics are accurate to a few per cent at best.</w:t>
      </w:r>
      <w:r>
        <w:t xml:space="preserve"> </w:t>
      </w:r>
      <w:r>
        <w:t xml:space="preserve">The</w:t>
      </w:r>
      <w:r>
        <w:t xml:space="preserve"> </w:t>
      </w:r>
      <w:r>
        <w:t xml:space="preserve">far-infrared response is reliable, being pure Drude and anchored to</w:t>
      </w:r>
      <w:r>
        <w:t xml:space="preserve"> </w:t>
      </w:r>
      <w:r>
        <w:t xml:space="preserve">resistivity; the visible is not.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Roughness, interdiffusion and barrier absorption are not modelled.</w:t>
      </w:r>
      <w:r>
        <w:t xml:space="preserve"> </w:t>
      </w:r>
      <w:r>
        <w:t xml:space="preserve">A real</w:t>
      </w:r>
      <w:r>
        <w:t xml:space="preserve"> </w:t>
      </w:r>
      <w:r>
        <w:t xml:space="preserve">stack will transmit somewhat less than predicted.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Reactive Si₃N₄ deposition is more demanding than AZO</w:t>
      </w:r>
      <w:r>
        <w:t xml:space="preserve"> </w:t>
      </w:r>
      <w:r>
        <w:t xml:space="preserve">— target poisoning,</w:t>
      </w:r>
      <w:r>
        <w:t xml:space="preserve"> </w:t>
      </w:r>
      <w:r>
        <w:t xml:space="preserve">lower rate. The brief’s §15 deposition-efficiency criterion would penalise it,</w:t>
      </w:r>
      <w:r>
        <w:t xml:space="preserve"> </w:t>
      </w:r>
      <w:r>
        <w:t xml:space="preserve">and the framework cannot score this without a calibrated rate model.</w:t>
      </w:r>
    </w:p>
    <w:bookmarkEnd w:id="59"/>
    <w:bookmarkStart w:id="60" w:name="X5d8c10644a872bbe9ce5711cfd57501d65eab68"/>
    <w:p>
      <w:pPr>
        <w:pStyle w:val="Heading3"/>
      </w:pPr>
      <w:r>
        <w:rPr>
          <w:rStyle w:val="SectionNumber"/>
        </w:rPr>
        <w:t xml:space="preserve">1.8.4</w:t>
      </w:r>
      <w:r>
        <w:tab/>
      </w:r>
      <w:r>
        <w:t xml:space="preserve">7.4 Scores are not portable between weightings</w:t>
      </w:r>
    </w:p>
    <w:p>
      <w:pPr>
        <w:pStyle w:val="FirstParagraph"/>
      </w:pPr>
      <w:r>
        <w:t xml:space="preserve">Absolute scores moved by approximately 25 points as the §3 corrections were</w:t>
      </w:r>
      <w:r>
        <w:t xml:space="preserve"> </w:t>
      </w:r>
      <w:r>
        <w:t xml:space="preserve">applied.</w:t>
      </w:r>
      <w:r>
        <w:t xml:space="preserve"> </w:t>
      </w:r>
      <w:r>
        <w:rPr>
          <w:bCs/>
          <w:b/>
        </w:rPr>
        <w:t xml:space="preserve">A score is not a property of a material.</w:t>
      </w:r>
      <w:r>
        <w:t xml:space="preserve"> </w:t>
      </w:r>
      <w:r>
        <w:t xml:space="preserve">A figure of 89.3 is a</w:t>
      </w:r>
      <w:r>
        <w:t xml:space="preserve"> </w:t>
      </w:r>
      <w:r>
        <w:t xml:space="preserve">statement about one architecture under one weighting of eight criteria, three of</w:t>
      </w:r>
      <w:r>
        <w:t xml:space="preserve"> </w:t>
      </w:r>
      <w:r>
        <w:t xml:space="preserve">which the framework cannot populate. Rankings should be quoted with the</w:t>
      </w:r>
      <w:r>
        <w:t xml:space="preserve"> </w:t>
      </w:r>
      <w:r>
        <w:t xml:space="preserve">weighting file attached and the unverified elements identified.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7" w:name="recommendations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8. Recommendations</w:t>
      </w:r>
    </w:p>
    <w:bookmarkStart w:id="62" w:name="immediate-literature"/>
    <w:p>
      <w:pPr>
        <w:pStyle w:val="Heading3"/>
      </w:pPr>
      <w:r>
        <w:rPr>
          <w:rStyle w:val="SectionNumber"/>
        </w:rPr>
        <w:t xml:space="preserve">1.9.1</w:t>
      </w:r>
      <w:r>
        <w:tab/>
      </w:r>
      <w:r>
        <w:t xml:space="preserve">8.1 Immediate — literature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Obtain the full text of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Applied Surface Science</w:t>
      </w:r>
      <w:r>
        <w:rPr>
          <w:bCs/>
          <w:b/>
        </w:rPr>
        <w:t xml:space="preserve"> </w:t>
      </w:r>
      <w:r>
        <w:rPr>
          <w:bCs/>
          <w:b/>
        </w:rPr>
        <w:t xml:space="preserve">578 (2022) 152051</w:t>
      </w:r>
      <w:r>
        <w:t xml:space="preserve"> </w:t>
      </w:r>
      <w:r>
        <w:t xml:space="preserve">and</w:t>
      </w:r>
      <w:r>
        <w:t xml:space="preserve"> </w:t>
      </w:r>
      <w:r>
        <w:t xml:space="preserve">establish whether the reported emissivity is normal or hemispherical, and the</w:t>
      </w:r>
      <w:r>
        <w:t xml:space="preserve"> </w:t>
      </w:r>
      <w:r>
        <w:t xml:space="preserve">instrument’s spectral band. §16’s conclusion depends on this.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Withdraw the two disputed citations</w:t>
      </w:r>
      <w:r>
        <w:t xml:space="preserve"> </w:t>
      </w:r>
      <w:r>
        <w:t xml:space="preserve">(§4.1) from any document derived from</w:t>
      </w:r>
      <w:r>
        <w:t xml:space="preserve"> </w:t>
      </w:r>
      <w:r>
        <w:t xml:space="preserve">the brief pending identification of their source.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Apply the three factual corrections</w:t>
      </w:r>
      <w:r>
        <w:t xml:space="preserve"> </w:t>
      </w:r>
      <w:r>
        <w:t xml:space="preserve">in §4.4.</w:t>
      </w:r>
    </w:p>
    <w:bookmarkEnd w:id="62"/>
    <w:bookmarkStart w:id="63" w:name="first-experimental-priority"/>
    <w:p>
      <w:pPr>
        <w:pStyle w:val="Heading3"/>
      </w:pPr>
      <w:r>
        <w:rPr>
          <w:rStyle w:val="SectionNumber"/>
        </w:rPr>
        <w:t xml:space="preserve">1.9.2</w:t>
      </w:r>
      <w:r>
        <w:tab/>
      </w:r>
      <w:r>
        <w:t xml:space="preserve">8.2 First experimental priority</w:t>
      </w:r>
    </w:p>
    <w:p>
      <w:pPr>
        <w:pStyle w:val="FirstParagraph"/>
      </w:pPr>
      <w:r>
        <w:rPr>
          <w:bCs/>
          <w:b/>
        </w:rPr>
        <w:t xml:space="preserve">Execute the copper thickness series</w:t>
      </w:r>
      <w:r>
        <w:t xml:space="preserve"> </w:t>
      </w:r>
      <w:r>
        <w:t xml:space="preserve">(§6). Half a day of tool time. It</w:t>
      </w:r>
      <w:r>
        <w:t xml:space="preserve"> </w:t>
      </w:r>
      <w:r>
        <w:t xml:space="preserve">confirms or refutes six leading candidates and is the single highest-leverage</w:t>
      </w:r>
      <w:r>
        <w:t xml:space="preserve"> </w:t>
      </w:r>
      <w:r>
        <w:t xml:space="preserve">measurement available. The protocol is written for handover and requires no</w:t>
      </w:r>
      <w:r>
        <w:t xml:space="preserve"> </w:t>
      </w:r>
      <w:r>
        <w:t xml:space="preserve">further specification.</w:t>
      </w:r>
    </w:p>
    <w:bookmarkEnd w:id="63"/>
    <w:bookmarkStart w:id="64" w:name="second-experimental-priority"/>
    <w:p>
      <w:pPr>
        <w:pStyle w:val="Heading3"/>
      </w:pPr>
      <w:r>
        <w:rPr>
          <w:rStyle w:val="SectionNumber"/>
        </w:rPr>
        <w:t xml:space="preserve">1.9.3</w:t>
      </w:r>
      <w:r>
        <w:tab/>
      </w:r>
      <w:r>
        <w:t xml:space="preserve">8.3 Second experimental priority</w:t>
      </w:r>
    </w:p>
    <w:p>
      <w:pPr>
        <w:pStyle w:val="FirstParagraph"/>
      </w:pPr>
      <w:r>
        <w:rPr>
          <w:bCs/>
          <w:b/>
        </w:rPr>
        <w:t xml:space="preserve">One AZO/Ag₇₀Cu₃₀/AZO film at 10 nm, sheet resistance measured.</w:t>
      </w:r>
      <w:r>
        <w:t xml:space="preserve"> </w:t>
      </w:r>
      <w:r>
        <w:t xml:space="preserve">The two</w:t>
      </w:r>
      <w:r>
        <w:t xml:space="preserve"> </w:t>
      </w:r>
      <w:r>
        <w:t xml:space="preserve">microstructure hypotheses predict 6.4 versus 2.6 Ω/sq — far outside probe</w:t>
      </w:r>
      <w:r>
        <w:t xml:space="preserve"> </w:t>
      </w:r>
      <w:r>
        <w:t xml:space="preserve">resolution. Better still, measure across Ag 0, 25, 50, 75 at.%: the</w:t>
      </w:r>
      <w:r>
        <w:t xml:space="preserve"> </w:t>
      </w:r>
      <w:r>
        <w:rPr>
          <w:iCs/>
          <w:i/>
        </w:rPr>
        <w:t xml:space="preserve">curve shape</w:t>
      </w:r>
      <w:r>
        <w:t xml:space="preserve"> </w:t>
      </w:r>
      <w:r>
        <w:t xml:space="preserve">is diagnostic, with the segregated model predicting a flat ~3 Ω/sq and a</w:t>
      </w:r>
      <w:r>
        <w:t xml:space="preserve"> </w:t>
      </w:r>
      <w:r>
        <w:t xml:space="preserve">metastable solid solution predicting a Nordheim maximum above 7 Ω/sq.</w:t>
      </w:r>
    </w:p>
    <w:bookmarkEnd w:id="64"/>
    <w:bookmarkStart w:id="65" w:name="X99eb87ef8845d7b0d38fdeba0ad4d94e8c62f8b"/>
    <w:p>
      <w:pPr>
        <w:pStyle w:val="Heading3"/>
      </w:pPr>
      <w:r>
        <w:rPr>
          <w:rStyle w:val="SectionNumber"/>
        </w:rPr>
        <w:t xml:space="preserve">1.9.4</w:t>
      </w:r>
      <w:r>
        <w:tab/>
      </w:r>
      <w:r>
        <w:t xml:space="preserve">8.4 First deposition run for the target application</w:t>
      </w:r>
    </w:p>
    <w:p>
      <w:pPr>
        <w:pStyle w:val="FirstParagraph"/>
      </w:pPr>
      <w:r>
        <w:t xml:space="preserve">For a cooling-dominated application (Indian architectural glazing):</w:t>
      </w:r>
      <w:r>
        <w:t xml:space="preserve"> </w:t>
      </w:r>
      <w:r>
        <w:rPr>
          <w:bCs/>
          <w:b/>
        </w:rPr>
        <w:t xml:space="preserve">AZO/Cu/AZO at 45/12/45 nm</w:t>
      </w:r>
      <w:r>
        <w:t xml:space="preserve">, measured for T_vis, sheet resistance and FTIR</w:t>
      </w:r>
      <w:r>
        <w:t xml:space="preserve"> </w:t>
      </w:r>
      <w:r>
        <w:t xml:space="preserve">emissivity, against an AZO/Ag/AZO control.</w:t>
      </w:r>
    </w:p>
    <w:p>
      <w:pPr>
        <w:pStyle w:val="BodyText"/>
      </w:pPr>
      <w:r>
        <w:t xml:space="preserve">For a heating-dominated application:</w:t>
      </w:r>
      <w:r>
        <w:t xml:space="preserve"> </w:t>
      </w:r>
      <w:r>
        <w:rPr>
          <w:bCs/>
          <w:b/>
        </w:rPr>
        <w:t xml:space="preserve">Si₃N₄/Cu/Si₃N₄ at 60/12/50 nm</w:t>
      </w:r>
      <w:r>
        <w:t xml:space="preserve"> </w:t>
      </w:r>
      <w:r>
        <w:t xml:space="preserve">against</w:t>
      </w:r>
      <w:r>
        <w:t xml:space="preserve"> </w:t>
      </w:r>
      <w:r>
        <w:t xml:space="preserve">the same control.</w:t>
      </w:r>
    </w:p>
    <w:p>
      <w:pPr>
        <w:pStyle w:val="BodyText"/>
      </w:pPr>
      <w:r>
        <w:t xml:space="preserve">Either comparison tests the dielectric hypothesis, the copper film-quality</w:t>
      </w:r>
      <w:r>
        <w:t xml:space="preserve"> </w:t>
      </w:r>
      <w:r>
        <w:t xml:space="preserve">question and the silver-free premise simultaneously.</w:t>
      </w:r>
    </w:p>
    <w:bookmarkEnd w:id="65"/>
    <w:bookmarkStart w:id="66" w:name="framework-extensions-worth-the-effort"/>
    <w:p>
      <w:pPr>
        <w:pStyle w:val="Heading3"/>
      </w:pPr>
      <w:r>
        <w:rPr>
          <w:rStyle w:val="SectionNumber"/>
        </w:rPr>
        <w:t xml:space="preserve">1.9.5</w:t>
      </w:r>
      <w:r>
        <w:tab/>
      </w:r>
      <w:r>
        <w:t xml:space="preserve">8.5 Framework extensions worth the effort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Finer optimisation of the double-copper stack</w:t>
      </w:r>
      <w:r>
        <w:t xml:space="preserve"> </w:t>
      </w:r>
      <w:r>
        <w:t xml:space="preserve">— asymmetric outer layers,</w:t>
      </w:r>
      <w:r>
        <w:t xml:space="preserve"> </w:t>
      </w:r>
      <w:r>
        <w:t xml:space="preserve">mixed-metal pairing, finer dielectric steps. The transmittance deficit is 8</w:t>
      </w:r>
      <w:r>
        <w:t xml:space="preserve"> </w:t>
      </w:r>
      <w:r>
        <w:t xml:space="preserve">points and the scan performed was coarse. This is the most likely route to</w:t>
      </w:r>
      <w:r>
        <w:t xml:space="preserve"> </w:t>
      </w:r>
      <w:r>
        <w:t xml:space="preserve">closing it, now that the triple-layer route has been ruled out (§5.4).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 tabulated AM1.5G spectrum</w:t>
      </w:r>
      <w:r>
        <w:t xml:space="preserve">, to remove the 5–10% systematic on T_sol,</w:t>
      </w:r>
      <w:r>
        <w:t xml:space="preserve"> </w:t>
      </w:r>
      <w:r>
        <w:t xml:space="preserve">g and LSG.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Measured n and k</w:t>
      </w:r>
      <w:r>
        <w:t xml:space="preserve"> </w:t>
      </w:r>
      <w:r>
        <w:t xml:space="preserve">for in-house AZO, Si₃N₄ and metal films — the largest</w:t>
      </w:r>
      <w:r>
        <w:t xml:space="preserve"> </w:t>
      </w:r>
      <w:r>
        <w:t xml:space="preserve">single source of visible-range error.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handover"/>
    <w:p>
      <w:pPr>
        <w:pStyle w:val="Heading2"/>
      </w:pPr>
      <w:r>
        <w:rPr>
          <w:rStyle w:val="SectionNumber"/>
        </w:rPr>
        <w:t xml:space="preserve">1.10</w:t>
      </w:r>
      <w:r>
        <w:tab/>
      </w:r>
      <w:r>
        <w:t xml:space="preserve">9. Handover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Source, documentation, results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github.com/VarunMandy/pvdlowe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gs://sg-llamole-pvdlowe/pvdlowe/source/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Executive summary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docs/SUMMARY.md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findings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docs/FINDINGS.md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Physics and approximations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docs/METHODOLOGY.md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Evidence grading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docs/PROVENANCE.md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Experimental programme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docs/ROADMAP.md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Bench procedure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experiments/BENCH_cu_series.md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Pre-registered decision rules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experiments/PROTOCOL_cu_series.md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Blank run sheet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experiments/cu_series_runsheet.csv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Worked example output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experiments/EXAMPLE_filled_runsheet.csv</w:t>
            </w:r>
          </w:p>
        </w:tc>
      </w:tr>
    </w:tbl>
    <w:p>
      <w:pPr>
        <w:pStyle w:val="BodyText"/>
      </w:pPr>
      <w:r>
        <w:t xml:space="preserve">Installation is</w:t>
      </w:r>
      <w:r>
        <w:t xml:space="preserve"> </w:t>
      </w:r>
      <w:r>
        <w:rPr>
          <w:rStyle w:val="VerbatimChar"/>
        </w:rPr>
        <w:t xml:space="preserve">pip install -e .</w:t>
      </w:r>
      <w:r>
        <w:t xml:space="preserve">; the test suite (86 tests, no external</w:t>
      </w:r>
      <w:r>
        <w:t xml:space="preserve"> </w:t>
      </w:r>
      <w:r>
        <w:t xml:space="preserve">dependencies beyond numpy/scipy/pandas/pyyaml) runs with</w:t>
      </w:r>
      <w:r>
        <w:t xml:space="preserve"> </w:t>
      </w:r>
      <w:r>
        <w:rPr>
          <w:rStyle w:val="VerbatimChar"/>
        </w:rPr>
        <w:t xml:space="preserve">python tests/run_tests.py</w:t>
      </w:r>
      <w:r>
        <w:t xml:space="preserve"> </w:t>
      </w:r>
      <w:r>
        <w:t xml:space="preserve">and should be run after any environment change, as</w:t>
      </w:r>
      <w:r>
        <w:t xml:space="preserve"> </w:t>
      </w:r>
      <w:r>
        <w:t xml:space="preserve">it validates the physics rather than only the interfaces.</w:t>
      </w:r>
    </w:p>
    <w:p>
      <w:r>
        <w:pict>
          <v:rect style="width:0;height:1.5pt" o:hralign="center" o:hrstd="t" o:hr="t"/>
        </w:pict>
      </w:r>
    </w:p>
    <w:bookmarkEnd w:id="68"/>
    <w:bookmarkStart w:id="69" w:name="conclusion"/>
    <w:p>
      <w:pPr>
        <w:pStyle w:val="Heading2"/>
      </w:pPr>
      <w:r>
        <w:rPr>
          <w:rStyle w:val="SectionNumber"/>
        </w:rPr>
        <w:t xml:space="preserve">1.11</w:t>
      </w:r>
      <w:r>
        <w:tab/>
      </w:r>
      <w:r>
        <w:t xml:space="preserve">10. Conclusion</w:t>
      </w:r>
    </w:p>
    <w:p>
      <w:pPr>
        <w:pStyle w:val="FirstParagraph"/>
      </w:pPr>
      <w:r>
        <w:t xml:space="preserve">The framework delivered implements the brief’s proposed workflow and, in doing</w:t>
      </w:r>
      <w:r>
        <w:t xml:space="preserve"> </w:t>
      </w:r>
      <w:r>
        <w:t xml:space="preserve">so, identified several respects in which the brief’s own assumptions do not</w:t>
      </w:r>
      <w:r>
        <w:t xml:space="preserve"> </w:t>
      </w:r>
      <w:r>
        <w:t xml:space="preserve">survive quantitative examination: a weighting scheme that omitted the</w:t>
      </w:r>
      <w:r>
        <w:t xml:space="preserve"> </w:t>
      </w:r>
      <w:r>
        <w:t xml:space="preserve">programme’s primary objective, two citations that could not be traced, a</w:t>
      </w:r>
      <w:r>
        <w:t xml:space="preserve"> </w:t>
      </w:r>
      <w:r>
        <w:t xml:space="preserve">measurement inconsistent with a model-independent physical limit, and a</w:t>
      </w:r>
      <w:r>
        <w:t xml:space="preserve"> </w:t>
      </w:r>
      <w:r>
        <w:t xml:space="preserve">material class and stack architecture excluded by the search framing but</w:t>
      </w:r>
      <w:r>
        <w:t xml:space="preserve"> </w:t>
      </w:r>
      <w:r>
        <w:t xml:space="preserve">outperforming the proposed candidates.</w:t>
      </w:r>
    </w:p>
    <w:p>
      <w:pPr>
        <w:pStyle w:val="BodyText"/>
      </w:pPr>
      <w:r>
        <w:t xml:space="preserve">The candidate rankings produced should be treated as hypotheses for</w:t>
      </w:r>
      <w:r>
        <w:t xml:space="preserve"> </w:t>
      </w:r>
      <w:r>
        <w:t xml:space="preserve">experimental prioritisation. Their principal weakness is known, quantified, and</w:t>
      </w:r>
      <w:r>
        <w:t xml:space="preserve"> </w:t>
      </w:r>
      <w:r>
        <w:t xml:space="preserve">addressed by a specified experiment with pre-registered decision rules — which</w:t>
      </w:r>
      <w:r>
        <w:t xml:space="preserve"> </w:t>
      </w:r>
      <w:r>
        <w:t xml:space="preserve">is offered as the more useful deliverable. A model that identifies the</w:t>
      </w:r>
      <w:r>
        <w:t xml:space="preserve"> </w:t>
      </w:r>
      <w:r>
        <w:t xml:space="preserve">measurement capable of falsifying it is more valuable to an experimental</w:t>
      </w:r>
      <w:r>
        <w:t xml:space="preserve"> </w:t>
      </w:r>
      <w:r>
        <w:t xml:space="preserve">programme than one that does not.</w:t>
      </w:r>
    </w:p>
    <w:p>
      <w:pPr>
        <w:pStyle w:val="BodyText"/>
      </w:pPr>
      <w:r>
        <w:t xml:space="preserve">The recommended next action is half a day of sputter tool time.</w:t>
      </w:r>
    </w:p>
    <w:bookmarkEnd w:id="69"/>
    <w:bookmarkEnd w:id="7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2026-08-18T10:24:40Z</dcterms:created>
  <dcterms:modified xsi:type="dcterms:W3CDTF">2026-08-18T10:24:40Z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