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A9944" w14:textId="77777777" w:rsidR="00EF129E" w:rsidRPr="00EF129E" w:rsidRDefault="00EF129E" w:rsidP="00EF129E">
      <w:r w:rsidRPr="00EF129E">
        <w:t xml:space="preserve">Module 1 started with the introduction of adversarial machine learning using evasion attacks, data poisoning, model extraction, model inference, unsafe Pickle objects, and secure model deployment. Module 1 laboratory provided me with a reproducible environment consisting of Python, </w:t>
      </w:r>
      <w:proofErr w:type="spellStart"/>
      <w:r w:rsidRPr="00EF129E">
        <w:t>PyTorch</w:t>
      </w:r>
      <w:proofErr w:type="spellEnd"/>
      <w:r w:rsidRPr="00EF129E">
        <w:t>, Git, and test environments. I applied the same concept in my project by ensuring that everything was separated.</w:t>
      </w:r>
    </w:p>
    <w:p w14:paraId="1BE6AF6E" w14:textId="77777777" w:rsidR="00EF129E" w:rsidRPr="00EF129E" w:rsidRDefault="00EF129E" w:rsidP="00EF129E">
      <w:r w:rsidRPr="00EF129E">
        <w:t>The concepts of Module 2 include data validation, clean baseline, confusion matrix, hash, and configuration-based training. To implement the above, I recorded the information about the split of the DTD dataset, poison ratio, target class, trigger parameter, model setting, checkpoints, and JSON outputs. In addition to that, I trained a control model of ResNet-18 which would allow comparing the poisoned model with the normal target class.</w:t>
      </w:r>
    </w:p>
    <w:p w14:paraId="7BE4CDD3" w14:textId="77777777" w:rsidR="00EF129E" w:rsidRPr="00EF129E" w:rsidRDefault="00EF129E" w:rsidP="00EF129E">
      <w:r w:rsidRPr="00EF129E">
        <w:t>Module 3 covered white box attacks and introduced FGSM as an attack function. FGSM uses the gradient of a model to create small perturbations in pixels to maximize classification error. While FGSM and my training time backdoor are not the same thing, I learned through Module 3 that attacks should be parameterized, bounded, tested against held out data, and tested for multiple strengths. Transferability led me to consider training a generator on trigger locations to then test it on unseen locations.</w:t>
      </w:r>
    </w:p>
    <w:p w14:paraId="13B900B4" w14:textId="77777777" w:rsidR="00EF129E" w:rsidRPr="00EF129E" w:rsidRDefault="00EF129E" w:rsidP="00EF129E">
      <w:r w:rsidRPr="00EF129E">
        <w:t>In Module 4, we discussed black-box attacks, suspicious query bursts, rate limiting, output truncation, and watermarking. None of these techniques were used in the offline test, but they will help when deploying the API, as detection of repeated queries trying to trigger a response from the generator will be necessary.</w:t>
      </w:r>
    </w:p>
    <w:p w14:paraId="3B5CC658" w14:textId="77777777" w:rsidR="00EF129E" w:rsidRPr="00EF129E" w:rsidRDefault="00EF129E" w:rsidP="00EF129E">
      <w:r w:rsidRPr="00EF129E">
        <w:t xml:space="preserve">Module 5 had a direct relation to my research because it discussed poisoning and backdoor attacks. I applied this method to Describable Textures Dataset with an ImageNet-pretrained ResNet-18. The chosen non-target images were attacked by an </w:t>
      </w:r>
      <w:proofErr w:type="spellStart"/>
      <w:r w:rsidRPr="00EF129E">
        <w:t>FTrojan</w:t>
      </w:r>
      <w:proofErr w:type="spellEnd"/>
      <w:r w:rsidRPr="00EF129E">
        <w:t xml:space="preserve">-type of frequency trigger, which is related to the target class banded. The initial models were dismissed because high success rate in the poisoned training samples could not be generalized to images outside the training set. I conducted multiple calibration attacks sweeps and chose a validated attack model with acceptable clean performance. I evaluated it based on clean accuracy, success rate of the triggered attacks, rate of clean target, attack success lift and conditional attack success in order to make sure that natural errors will not be counted as attacks. After that, the suspicious classifier was frozen, and used for training a reference-free generator. In the process of evaluation, the generator receives only one possibly triggered image without its clean version. It evaluates the amplitude, phase, local spectral residual and frequency coordinates, and makes a selective prediction about amplitude correction of the image before reconstruction and classification. I trained the generator with two trigger position layouts and tested it on held-out layouts. These tests provided evidence that correction was linked to a small, meaningful spectral region rather than simple clean-trigger subtraction or removal of the entire spectrum. </w:t>
      </w:r>
      <w:r w:rsidRPr="00EF129E">
        <w:lastRenderedPageBreak/>
        <w:t>MITRE ATLAS also helped place this work within broader data-compromise and supply-chain threats.</w:t>
      </w:r>
    </w:p>
    <w:p w14:paraId="7131E659" w14:textId="77777777" w:rsidR="00EF129E" w:rsidRPr="00EF129E" w:rsidRDefault="00EF129E" w:rsidP="00EF129E">
      <w:r w:rsidRPr="00EF129E">
        <w:t>Module 6 discussed the topic of randomized smoothing and calibration. These two have not been used in the implemented generator, but they proved that accuracy, robustness, and confidence are separate notions. Randomized smoothing might be used as a generic baseline in future, while calibration can show whether the initial confidence and confidence after correction are reliable.</w:t>
      </w:r>
    </w:p>
    <w:p w14:paraId="225ED002" w14:textId="77777777" w:rsidR="00EF129E" w:rsidRPr="00EF129E" w:rsidRDefault="00EF129E" w:rsidP="00EF129E">
      <w:r w:rsidRPr="00EF129E">
        <w:t>Module 7 discussed topics related to data engineering, evidence of governance, the EU AI Act, and DORA. The project relevance of this module lies in the procedure, according to which the claim should be proven using manifests, configurations, hashes, checkpoints, metrics, figures, limitations and the link between all of these.</w:t>
      </w:r>
    </w:p>
    <w:p w14:paraId="2A5E90F4" w14:textId="77777777" w:rsidR="00EF129E" w:rsidRPr="00EF129E" w:rsidRDefault="00EF129E" w:rsidP="00EF129E">
      <w:r w:rsidRPr="00EF129E">
        <w:t>Module 8 dealt with AI supply chain security, AIBOMs, provenance, and SLSA. This is indirectly relevant since a backdoor can come in via a third-party data set or model. The data set source, manifest, pretrained weights, software versions, configuration, checkpoints, and output could be used to create an artifact record, even though the project does not have any claim for SLSA compliance. Module 9 covered application engineering with minimal impact on the technique.</w:t>
      </w:r>
    </w:p>
    <w:p w14:paraId="08EBAB46" w14:textId="77777777" w:rsidR="00EF129E" w:rsidRPr="00EF129E" w:rsidRDefault="00EF129E" w:rsidP="00EF129E">
      <w:r w:rsidRPr="00EF129E">
        <w:t>In summary, the class provided support for the whole project process: creating and validating the backdoor attack, training a reference-free spectral correction technique, testing on seen and unseen situations, comparing other simpler techniques, examining the behavior of the noise, and documenting both success and limitation</w:t>
      </w:r>
    </w:p>
    <w:p w14:paraId="7A9B95AC" w14:textId="77777777" w:rsidR="009E6214" w:rsidRDefault="009E6214"/>
    <w:sectPr w:rsidR="009E62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739"/>
    <w:rsid w:val="00044037"/>
    <w:rsid w:val="00543F30"/>
    <w:rsid w:val="00825D35"/>
    <w:rsid w:val="009E6214"/>
    <w:rsid w:val="00C90739"/>
    <w:rsid w:val="00CB2173"/>
    <w:rsid w:val="00EF129E"/>
    <w:rsid w:val="00FF4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505E61-507A-4EB8-8C2A-F2B6E925B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7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07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07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7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7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7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07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07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7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7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739"/>
    <w:rPr>
      <w:rFonts w:eastAsiaTheme="majorEastAsia" w:cstheme="majorBidi"/>
      <w:color w:val="272727" w:themeColor="text1" w:themeTint="D8"/>
    </w:rPr>
  </w:style>
  <w:style w:type="paragraph" w:styleId="Title">
    <w:name w:val="Title"/>
    <w:basedOn w:val="Normal"/>
    <w:next w:val="Normal"/>
    <w:link w:val="TitleChar"/>
    <w:uiPriority w:val="10"/>
    <w:qFormat/>
    <w:rsid w:val="00C90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739"/>
    <w:pPr>
      <w:spacing w:before="160"/>
      <w:jc w:val="center"/>
    </w:pPr>
    <w:rPr>
      <w:i/>
      <w:iCs/>
      <w:color w:val="404040" w:themeColor="text1" w:themeTint="BF"/>
    </w:rPr>
  </w:style>
  <w:style w:type="character" w:customStyle="1" w:styleId="QuoteChar">
    <w:name w:val="Quote Char"/>
    <w:basedOn w:val="DefaultParagraphFont"/>
    <w:link w:val="Quote"/>
    <w:uiPriority w:val="29"/>
    <w:rsid w:val="00C90739"/>
    <w:rPr>
      <w:i/>
      <w:iCs/>
      <w:color w:val="404040" w:themeColor="text1" w:themeTint="BF"/>
    </w:rPr>
  </w:style>
  <w:style w:type="paragraph" w:styleId="ListParagraph">
    <w:name w:val="List Paragraph"/>
    <w:basedOn w:val="Normal"/>
    <w:uiPriority w:val="34"/>
    <w:qFormat/>
    <w:rsid w:val="00C90739"/>
    <w:pPr>
      <w:ind w:left="720"/>
      <w:contextualSpacing/>
    </w:pPr>
  </w:style>
  <w:style w:type="character" w:styleId="IntenseEmphasis">
    <w:name w:val="Intense Emphasis"/>
    <w:basedOn w:val="DefaultParagraphFont"/>
    <w:uiPriority w:val="21"/>
    <w:qFormat/>
    <w:rsid w:val="00C90739"/>
    <w:rPr>
      <w:i/>
      <w:iCs/>
      <w:color w:val="2F5496" w:themeColor="accent1" w:themeShade="BF"/>
    </w:rPr>
  </w:style>
  <w:style w:type="paragraph" w:styleId="IntenseQuote">
    <w:name w:val="Intense Quote"/>
    <w:basedOn w:val="Normal"/>
    <w:next w:val="Normal"/>
    <w:link w:val="IntenseQuoteChar"/>
    <w:uiPriority w:val="30"/>
    <w:qFormat/>
    <w:rsid w:val="00C907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739"/>
    <w:rPr>
      <w:i/>
      <w:iCs/>
      <w:color w:val="2F5496" w:themeColor="accent1" w:themeShade="BF"/>
    </w:rPr>
  </w:style>
  <w:style w:type="character" w:styleId="IntenseReference">
    <w:name w:val="Intense Reference"/>
    <w:basedOn w:val="DefaultParagraphFont"/>
    <w:uiPriority w:val="32"/>
    <w:qFormat/>
    <w:rsid w:val="00C907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713</Words>
  <Characters>4067</Characters>
  <Application>Microsoft Office Word</Application>
  <DocSecurity>0</DocSecurity>
  <Lines>33</Lines>
  <Paragraphs>9</Paragraphs>
  <ScaleCrop>false</ScaleCrop>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Menon</dc:creator>
  <cp:keywords/>
  <dc:description/>
  <cp:lastModifiedBy>Varun Menon</cp:lastModifiedBy>
  <cp:revision>2</cp:revision>
  <dcterms:created xsi:type="dcterms:W3CDTF">2026-10-10T07:49:00Z</dcterms:created>
  <dcterms:modified xsi:type="dcterms:W3CDTF">2026-10-10T07:49:00Z</dcterms:modified>
</cp:coreProperties>
</file>