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AAGP — Prior-Art Review</w:t>
      </w:r>
    </w:p>
    <w:p>
      <w:pPr>
        <w:jc w:val="left"/>
      </w:pPr>
      <w:r>
        <w:rPr>
          <w:i/>
          <w:color w:val="5A5A5A"/>
          <w:sz w:val="26"/>
        </w:rPr>
        <w:t>Does this project already exist, and what can we reuse?</w:t>
      </w:r>
    </w:p>
    <w:p>
      <w:r>
        <w:rPr>
          <w:color w:val="5A5A5A"/>
          <w:sz w:val="20"/>
        </w:rPr>
        <w:t>Adaptive AI Governance Platform (AAGP)  ·  Deloitte USI capstone</w:t>
        <w:br/>
        <w:t>Governance lane (vc) — Varun C.</w:t>
        <w:br/>
        <w:t>Search date: 29 August 2026  ·  Sources: GitHub, arXiv, vendor documentation</w:t>
      </w:r>
    </w:p>
    <w:p/>
    <w:p>
      <w:pPr>
        <w:pStyle w:val="Heading1"/>
      </w:pPr>
      <w:r>
        <w:rPr>
          <w:color w:val="1F3A5F"/>
        </w:rPr>
        <w:t>Executive summary</w:t>
      </w:r>
    </w:p>
    <w:p>
      <w:r>
        <w:rPr>
          <w:i w:val="0"/>
        </w:rPr>
        <w:t>Nothing was found that duplicates AAGP. The concept of graduated agent autonomy is crowded and should not be claimed as novel, but the specific construction — a Wilson lower bound gating an autonomy ladder, argued over by a multi-agent panel that holds no authority, with asymmetric clawback — does not appear in any surveyed repository or paper.</w:t>
      </w:r>
    </w:p>
    <w:p>
      <w:r>
        <w:rPr>
          <w:i w:val="0"/>
        </w:rPr>
        <w:t>Two findings change how the project should be presented. First, graduated autonomy is now a commercial product category, so the ladder must be framed as correct implementation of industry practice rather than invention. Second, a peer-reviewed April 2026 paper explicitly rejects the use of LLM evaluators in governance loops — the project's central design choice. That objection should be raised by the team before a panelist raises it, because the architecture already answers it.</w:t>
      </w:r>
    </w:p>
    <w:p>
      <w:pPr>
        <w:pStyle w:val="Heading2"/>
      </w:pPr>
      <w:r>
        <w:rPr>
          <w:color w:val="1F3A5F"/>
        </w:rPr>
        <w:t>The defensible novelty claim</w:t>
      </w:r>
    </w:p>
    <w:p>
      <w:pPr>
        <w:ind w:left="480"/>
      </w:pPr>
      <w:r>
        <w:rPr>
          <w:i/>
          <w:color w:val="5A5A5A"/>
        </w:rPr>
        <w:t>Wilson-lower-bound gating of an autonomy ladder, argued over by a non-authoritative multi-agent panel, with asymmetric clawback.</w:t>
      </w:r>
    </w:p>
    <w:p>
      <w:r>
        <w:rPr>
          <w:i w:val="0"/>
        </w:rPr>
        <w:t>Every individual component has prior art. The combination does not.</w:t>
      </w:r>
    </w:p>
    <w:p>
      <w:r>
        <w:br w:type="page"/>
      </w:r>
    </w:p>
    <w:p>
      <w:pPr>
        <w:pStyle w:val="Heading1"/>
      </w:pPr>
      <w:r>
        <w:rPr>
          <w:color w:val="1F3A5F"/>
        </w:rPr>
        <w:t>1. What is not novel: the autonomy ladder</w:t>
      </w:r>
    </w:p>
    <w:p>
      <w:r>
        <w:rPr>
          <w:i w:val="0"/>
        </w:rPr>
        <w:t>Graduated autonomy has become mainstream and is now sold commercially. Presenting it as the project's contribution would be inaccurate and is the easiest claim for a reviewer to challenge.</w:t>
      </w:r>
    </w:p>
    <w:p>
      <w:pPr>
        <w:pStyle w:val="ListBullet"/>
      </w:pPr>
      <w:r>
        <w:t>Unit21 ships a commercial “progressive autonomy trust ladder” for compliance queues, structured L0–L3, matching the AAGP rung design.</w:t>
      </w:r>
    </w:p>
    <w:p>
      <w:pPr>
        <w:pStyle w:val="ListBullet"/>
      </w:pPr>
      <w:r>
        <w:t>Monte Carlo Data frames agentic autonomy explicitly as a trust score.</w:t>
      </w:r>
    </w:p>
    <w:p>
      <w:pPr>
        <w:pStyle w:val="ListBullet"/>
      </w:pPr>
      <w:r>
        <w:t>Anthropic's own claude-code repository carries an open feature request (issue #47183) for a trust-calibration ladder: “ask before acting” → “act and report” → “full autonomy”.</w:t>
      </w:r>
    </w:p>
    <w:p>
      <w:r>
        <w:rPr>
          <w:i/>
        </w:rPr>
        <w:t>Recommended framing: autonomy is a spectrum rather than a switch, and it must be demonstrated through data rather than declared by design. AAGP implements that correctly; it did not originate it.</w:t>
      </w:r>
    </w:p>
    <w:p>
      <w:pPr>
        <w:pStyle w:val="Heading1"/>
      </w:pPr>
      <w:r>
        <w:rPr>
          <w:color w:val="1F3A5F"/>
        </w:rPr>
        <w:t>2. Closest software prior 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Project</w:t>
            </w:r>
          </w:p>
        </w:tc>
        <w:tc>
          <w:tcPr>
            <w:tcW w:type="dxa" w:w="2880"/>
          </w:tcPr>
          <w:p>
            <w:r/>
            <w:r>
              <w:rPr>
                <w:b/>
              </w:rPr>
              <w:t>Overlaps AAGP on</w:t>
            </w:r>
          </w:p>
        </w:tc>
        <w:tc>
          <w:tcPr>
            <w:tcW w:type="dxa" w:w="2880"/>
          </w:tcPr>
          <w:p>
            <w:r/>
            <w:r>
              <w:rPr>
                <w:b/>
              </w:rPr>
              <w:t>Where it stops</w:t>
            </w:r>
          </w:p>
        </w:tc>
      </w:tr>
      <w:tr>
        <w:tc>
          <w:tcPr>
            <w:tcW w:type="dxa" w:w="2880"/>
          </w:tcPr>
          <w:p>
            <w:r>
              <w:rPr>
                <w:sz w:val="19"/>
              </w:rPr>
              <w:t>evidence-gate/agentgov</w:t>
            </w:r>
          </w:p>
        </w:tc>
        <w:tc>
          <w:tcPr>
            <w:tcW w:type="dxa" w:w="2880"/>
          </w:tcPr>
          <w:p>
            <w:r>
              <w:rPr>
                <w:sz w:val="19"/>
              </w:rPr>
              <w:t>Governance layer, human-in-the-loop approval, risk-graded action classification, approval-queue dashboard</w:t>
            </w:r>
          </w:p>
        </w:tc>
        <w:tc>
          <w:tcPr>
            <w:tcW w:type="dxa" w:w="2880"/>
          </w:tcPr>
          <w:p>
            <w:r>
              <w:rPr>
                <w:sz w:val="19"/>
              </w:rPr>
              <w:t>Static and rule-based. Its documentation states “each rule-based, no LLM-based guardrails.” No statistical evidence and no ladder tied to measured accuracy</w:t>
            </w:r>
          </w:p>
        </w:tc>
      </w:tr>
      <w:tr>
        <w:tc>
          <w:tcPr>
            <w:tcW w:type="dxa" w:w="2880"/>
          </w:tcPr>
          <w:p>
            <w:r>
              <w:rPr>
                <w:sz w:val="19"/>
              </w:rPr>
              <w:t>VERITAS OS</w:t>
            </w:r>
          </w:p>
        </w:tc>
        <w:tc>
          <w:tcPr>
            <w:tcW w:type="dxa" w:w="2880"/>
          </w:tcPr>
          <w:p>
            <w:r>
              <w:rPr>
                <w:sz w:val="19"/>
              </w:rPr>
              <w:t>Decision control, policy enforcement, audit trails, replayable evidence</w:t>
            </w:r>
          </w:p>
        </w:tc>
        <w:tc>
          <w:tcPr>
            <w:tcW w:type="dxa" w:w="2880"/>
          </w:tcPr>
          <w:p>
            <w:r>
              <w:rPr>
                <w:sz w:val="19"/>
              </w:rPr>
              <w:t>A runtime enforcement engine. No earned autonomy</w:t>
            </w:r>
          </w:p>
        </w:tc>
      </w:tr>
      <w:tr>
        <w:tc>
          <w:tcPr>
            <w:tcW w:type="dxa" w:w="2880"/>
          </w:tcPr>
          <w:p>
            <w:r>
              <w:rPr>
                <w:sz w:val="19"/>
              </w:rPr>
              <w:t>HumanLayer</w:t>
            </w:r>
          </w:p>
        </w:tc>
        <w:tc>
          <w:tcPr>
            <w:tcW w:type="dxa" w:w="2880"/>
          </w:tcPr>
          <w:p>
            <w:r>
              <w:rPr>
                <w:sz w:val="19"/>
              </w:rPr>
              <w:t>Approval gates and escalation paths wrapped around tool calls</w:t>
            </w:r>
          </w:p>
        </w:tc>
        <w:tc>
          <w:tcPr>
            <w:tcW w:type="dxa" w:w="2880"/>
          </w:tcPr>
          <w:p>
            <w:r>
              <w:rPr>
                <w:sz w:val="19"/>
              </w:rPr>
              <w:t>Human-in-the-loop plumbing only. No trust model</w:t>
            </w:r>
          </w:p>
        </w:tc>
      </w:tr>
      <w:tr>
        <w:tc>
          <w:tcPr>
            <w:tcW w:type="dxa" w:w="2880"/>
          </w:tcPr>
          <w:p>
            <w:r>
              <w:rPr>
                <w:sz w:val="19"/>
              </w:rPr>
              <w:t>Microsoft Agent Governance Toolkit (MIT, Apr 2026)</w:t>
            </w:r>
          </w:p>
        </w:tc>
        <w:tc>
          <w:tcPr>
            <w:tcW w:type="dxa" w:w="2880"/>
          </w:tcPr>
          <w:p>
            <w:r>
              <w:rPr>
                <w:sz w:val="19"/>
              </w:rPr>
              <w:t>Open-source runtime security for agents</w:t>
            </w:r>
          </w:p>
        </w:tc>
        <w:tc>
          <w:tcPr>
            <w:tcW w:type="dxa" w:w="2880"/>
          </w:tcPr>
          <w:p>
            <w:r>
              <w:rPr>
                <w:sz w:val="19"/>
              </w:rPr>
              <w:t>Security posture, not autonomy calibration</w:t>
            </w:r>
          </w:p>
        </w:tc>
      </w:tr>
    </w:tbl>
    <w:p/>
    <w:p>
      <w:r>
        <w:rPr>
          <w:i w:val="0"/>
        </w:rPr>
        <w:t>None of these raise or lower an authority limit on the basis of measured accuracy. That gap is the project.</w:t>
      </w:r>
    </w:p>
    <w:p>
      <w:pPr>
        <w:pStyle w:val="Heading1"/>
      </w:pPr>
      <w:r>
        <w:rPr>
          <w:color w:val="1F3A5F"/>
        </w:rPr>
        <w:t>3. The Wilson bound appears genuinely uncommon</w:t>
      </w:r>
    </w:p>
    <w:p>
      <w:r>
        <w:rPr>
          <w:i w:val="0"/>
        </w:rPr>
        <w:t>Wilson score lower bounds are widely used for product ratings, comment ranking and event scoring. There are USPTO patents applying binomial lower bounds for precisely the reason AAGP does — producing reliable scores for entities with small sample volumes. No instance was found of Wilson bounds being used to gate agent permissions.</w:t>
      </w:r>
    </w:p>
    <w:p>
      <w:r>
        <w:rPr>
          <w:i w:val="0"/>
        </w:rPr>
        <w:t>The demonstration case remains the strongest asset: an agent with a 10/10 record has a point estimate of 100% and a Wilson lower bound of 72.2%, and the increase is held. At 196/200 the bound is 95.1% and the increase proceeds for human authorization.</w:t>
      </w:r>
    </w:p>
    <w:p>
      <w:r>
        <w:br w:type="page"/>
      </w:r>
    </w:p>
    <w:p>
      <w:pPr>
        <w:pStyle w:val="Heading1"/>
      </w:pPr>
      <w:r>
        <w:rPr>
          <w:color w:val="1F3A5F"/>
        </w:rPr>
        <w:t>4. The paper that argues against this design</w:t>
      </w:r>
    </w:p>
    <w:p>
      <w:r>
        <w:rPr>
          <w:i w:val="0"/>
        </w:rPr>
        <w:t>“Governing What You Cannot Observe: Adaptive Runtime Governance for Autonomous AI Agents” — Germán Marín and Jatin Chaudhary, University of Turku. arXiv:2604.24686, April 2026. The system is named RiskGate.</w:t>
      </w:r>
    </w:p>
    <w:p>
      <w:r>
        <w:rPr>
          <w:i w:val="0"/>
        </w:rPr>
        <w:t>It overlaps the AAGP trust engine closely: dual-channel KL divergence for distributional drift, two-proportion z-tests for structural bias (the same test implemented in the trust lane), and discounted UCB1 for adaptive thresholds. It then rejects the AAGP governance approach directly:</w:t>
      </w:r>
    </w:p>
    <w:p>
      <w:pPr>
        <w:ind w:left="480"/>
      </w:pPr>
      <w:r>
        <w:rPr>
          <w:i/>
          <w:color w:val="5A5A5A"/>
        </w:rPr>
        <w:t>“LLM-based evaluators introduce latency, cost, and the recursive problem of governing the governor.”</w:t>
      </w:r>
    </w:p>
    <w:p>
      <w:r>
        <w:rPr>
          <w:i w:val="0"/>
        </w:rPr>
        <w:t>This is a published, citable rejection of placing LLM agents in a governance loop. It is the strongest objection the project will face, and it should be volunteered rather than waited for.</w:t>
      </w:r>
    </w:p>
    <w:p>
      <w:pPr>
        <w:pStyle w:val="Heading2"/>
      </w:pPr>
      <w:r>
        <w:rPr>
          <w:color w:val="1F3A5F"/>
        </w:rPr>
        <w:t>The response</w:t>
      </w:r>
    </w:p>
    <w:p>
      <w:pPr>
        <w:ind w:left="480"/>
      </w:pPr>
      <w:r>
        <w:rPr>
          <w:i/>
          <w:color w:val="5A5A5A"/>
        </w:rPr>
        <w:t>That critique lands on systems where the LLM is the governor. Ours never governs. The recursion requires the model to hold authority, and it holds none — statistics compute the evidence, deterministic code enforces, and a human authorizes. RiskGate dissolves the problem by removing the LLM; AAGP dissolves it by removing the LLM's power, and keeps the written rationale a human reviewer needs in order to authorize anything.</w:t>
      </w:r>
    </w:p>
    <w:p>
      <w:r>
        <w:rPr>
          <w:i w:val="0"/>
        </w:rPr>
        <w:t>Two further points can be stated as fact, and should be made without gloating:</w:t>
      </w:r>
    </w:p>
    <w:p>
      <w:pPr>
        <w:pStyle w:val="ListBullet"/>
      </w:pPr>
      <w:r>
        <w:t>RiskGate has no human in the authorization loop at all. Governance is fully automated, with a kill switch as the last resort. For invoice approval — money leaving a company — that is not a defensible posture, and ADR-0004 states why.</w:t>
      </w:r>
    </w:p>
    <w:p>
      <w:pPr>
        <w:pStyle w:val="ListBullet"/>
      </w:pPr>
      <w:r>
        <w:t>RiskGate has no empirical evaluation. It validates analytically against a published agent-failure taxonomy and scopes quantitative evaluation as follow-up work. AAGP has a running system and a demonstration.</w:t>
      </w:r>
    </w:p>
    <w:p>
      <w:pPr>
        <w:pStyle w:val="Heading1"/>
      </w:pPr>
      <w:r>
        <w:rPr>
          <w:color w:val="1F3A5F"/>
        </w:rPr>
        <w:t>5. A second citation worth carrying</w:t>
      </w:r>
    </w:p>
    <w:p>
      <w:r>
        <w:rPr>
          <w:i w:val="0"/>
        </w:rPr>
        <w:t>DEMM-Bench — Oleg Solozobov, arXiv:2606.20634, May 2026 — benchmarks “governance-evidence sufficiency”: whether the records a system emits are enough to reconstruct why a decision was made, rather than merely present. It tests eight evidence regimes and finds that conventional baselines overestimate their own sufficiency.</w:t>
      </w:r>
    </w:p>
    <w:p>
      <w:r>
        <w:rPr>
          <w:i w:val="0"/>
        </w:rPr>
        <w:t>The AAGP Recommendation contract answers most of those regimes by construction: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DEMM-Bench evidence regime</w:t>
            </w:r>
          </w:p>
        </w:tc>
        <w:tc>
          <w:tcPr>
            <w:tcW w:type="dxa" w:w="4320"/>
          </w:tcPr>
          <w:p>
            <w:r/>
            <w:r>
              <w:rPr>
                <w:b/>
              </w:rPr>
              <w:t>AAGP contract field</w:t>
            </w:r>
          </w:p>
        </w:tc>
      </w:tr>
      <w:tr>
        <w:tc>
          <w:tcPr>
            <w:tcW w:type="dxa" w:w="4320"/>
          </w:tcPr>
          <w:p>
            <w:r>
              <w:rPr>
                <w:sz w:val="19"/>
              </w:rPr>
              <w:t>Actor</w:t>
            </w:r>
          </w:p>
        </w:tc>
        <w:tc>
          <w:tcPr>
            <w:tcW w:type="dxa" w:w="4320"/>
          </w:tcPr>
          <w:p>
            <w:r>
              <w:rPr>
                <w:sz w:val="19"/>
              </w:rPr>
              <w:t>agent_id</w:t>
            </w:r>
          </w:p>
        </w:tc>
      </w:tr>
      <w:tr>
        <w:tc>
          <w:tcPr>
            <w:tcW w:type="dxa" w:w="4320"/>
          </w:tcPr>
          <w:p>
            <w:r>
              <w:rPr>
                <w:sz w:val="19"/>
              </w:rPr>
              <w:t>Authority</w:t>
            </w:r>
          </w:p>
        </w:tc>
        <w:tc>
          <w:tcPr>
            <w:tcW w:type="dxa" w:w="4320"/>
          </w:tcPr>
          <w:p>
            <w:r>
              <w:rPr>
                <w:sz w:val="19"/>
              </w:rPr>
              <w:t>status, plus the ADMIN-only approve route</w:t>
            </w:r>
          </w:p>
        </w:tc>
      </w:tr>
      <w:tr>
        <w:tc>
          <w:tcPr>
            <w:tcW w:type="dxa" w:w="4320"/>
          </w:tcPr>
          <w:p>
            <w:r>
              <w:rPr>
                <w:sz w:val="19"/>
              </w:rPr>
              <w:t>Action</w:t>
            </w:r>
          </w:p>
        </w:tc>
        <w:tc>
          <w:tcPr>
            <w:tcW w:type="dxa" w:w="4320"/>
          </w:tcPr>
          <w:p>
            <w:r>
              <w:rPr>
                <w:sz w:val="19"/>
              </w:rPr>
              <w:t>direction, proposed_limit, proposed_rung</w:t>
            </w:r>
          </w:p>
        </w:tc>
      </w:tr>
      <w:tr>
        <w:tc>
          <w:tcPr>
            <w:tcW w:type="dxa" w:w="4320"/>
          </w:tcPr>
          <w:p>
            <w:r>
              <w:rPr>
                <w:sz w:val="19"/>
              </w:rPr>
              <w:t>Policy</w:t>
            </w:r>
          </w:p>
        </w:tc>
        <w:tc>
          <w:tcPr>
            <w:tcW w:type="dxa" w:w="4320"/>
          </w:tcPr>
          <w:p>
            <w:r>
              <w:rPr>
                <w:sz w:val="19"/>
              </w:rPr>
              <w:t>clamped, clamped_from</w:t>
            </w:r>
          </w:p>
        </w:tc>
      </w:tr>
      <w:tr>
        <w:tc>
          <w:tcPr>
            <w:tcW w:type="dxa" w:w="4320"/>
          </w:tcPr>
          <w:p>
            <w:r>
              <w:rPr>
                <w:sz w:val="19"/>
              </w:rPr>
              <w:t>Decision basis</w:t>
            </w:r>
          </w:p>
        </w:tc>
        <w:tc>
          <w:tcPr>
            <w:tcW w:type="dxa" w:w="4320"/>
          </w:tcPr>
          <w:p>
            <w:r>
              <w:rPr>
                <w:sz w:val="19"/>
              </w:rPr>
              <w:t>rationale</w:t>
            </w:r>
          </w:p>
        </w:tc>
      </w:tr>
      <w:tr>
        <w:tc>
          <w:tcPr>
            <w:tcW w:type="dxa" w:w="4320"/>
          </w:tcPr>
          <w:p>
            <w:r>
              <w:rPr>
                <w:sz w:val="19"/>
              </w:rPr>
              <w:t>Provenance</w:t>
            </w:r>
          </w:p>
        </w:tc>
        <w:tc>
          <w:tcPr>
            <w:tcW w:type="dxa" w:w="4320"/>
          </w:tcPr>
          <w:p>
            <w:r>
              <w:rPr>
                <w:sz w:val="19"/>
              </w:rPr>
              <w:t>trust_evaluation_ref</w:t>
            </w:r>
          </w:p>
        </w:tc>
      </w:tr>
      <w:tr>
        <w:tc>
          <w:tcPr>
            <w:tcW w:type="dxa" w:w="4320"/>
          </w:tcPr>
          <w:p>
            <w:r>
              <w:rPr>
                <w:sz w:val="19"/>
              </w:rPr>
              <w:t>Verification strength</w:t>
            </w:r>
          </w:p>
        </w:tc>
        <w:tc>
          <w:tcPr>
            <w:tcW w:type="dxa" w:w="4320"/>
          </w:tcPr>
          <w:p>
            <w:r>
              <w:rPr>
                <w:sz w:val="19"/>
              </w:rPr>
              <w:t>opinions, has_dissent, confidence</w:t>
            </w:r>
          </w:p>
        </w:tc>
      </w:tr>
    </w:tbl>
    <w:p/>
    <w:p>
      <w:r>
        <w:rPr>
          <w:i w:val="0"/>
        </w:rPr>
        <w:t>This is also the academic name for the INSUFFICIENT_SAMPLE reason code: the question of whether there is enough evidence to justify a decision is being formally benchmarked, and the AAGP trust engine refuses to hand-wave it.</w:t>
      </w:r>
    </w:p>
    <w:p>
      <w:r>
        <w:br w:type="page"/>
      </w:r>
    </w:p>
    <w:p>
      <w:pPr>
        <w:pStyle w:val="Heading1"/>
      </w:pPr>
      <w:r>
        <w:rPr>
          <w:color w:val="1F3A5F"/>
        </w:rPr>
        <w:t>6. Can we reuse open-source code to move faster?</w:t>
      </w:r>
    </w:p>
    <w:p>
      <w:r>
        <w:rPr>
          <w:i w:val="0"/>
        </w:rPr>
        <w:t>For the governance lane, almost nothing — and that is the finding rather than a failure. The reason no repository does what this lane does is the same reason there is nothing to copy. Where reuse genuinely helps is in the other three lanes, and it is mostly libraries the project is already entitled to use rather than code to lift.</w:t>
      </w:r>
    </w:p>
    <w:p>
      <w:pPr>
        <w:pStyle w:val="Heading2"/>
      </w:pPr>
      <w:r>
        <w:rPr>
          <w:color w:val="1F3A5F"/>
        </w:rPr>
        <w:t>Two things to settle before borrowing anything</w:t>
      </w:r>
    </w:p>
    <w:p>
      <w:pPr>
        <w:pStyle w:val="ListBullet"/>
      </w:pPr>
      <w:r>
        <w:t>Licence. MIT and Apache-2.0 are fine with attribution. AGPL is not — it would reach the whole codebase. humanlayer/12-factor-agents is CC BY-SA 4.0, a documentation licence: read the ideas, do not paste the text. Verify against the actual LICENSE file in each repository.</w:t>
      </w:r>
    </w:p>
    <w:p>
      <w:pPr>
        <w:pStyle w:val="ListBullet"/>
      </w:pPr>
      <w:r>
        <w:t>This is a capstone. Borrowed code must be visibly borrowed — declared in pyproject.toml or package.json and attributed in the README. Vendored-in code presented as original work is the one failure mode with real consequences, and reviewers read dependency files.</w:t>
      </w:r>
    </w:p>
    <w:p>
      <w:pPr>
        <w:pStyle w:val="Heading2"/>
      </w:pPr>
      <w:r>
        <w:rPr>
          <w:color w:val="1F3A5F"/>
        </w:rPr>
        <w:t>Worth taking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Component</w:t>
            </w:r>
          </w:p>
        </w:tc>
        <w:tc>
          <w:tcPr>
            <w:tcW w:type="dxa" w:w="2160"/>
          </w:tcPr>
          <w:p>
            <w:r/>
            <w:r>
              <w:rPr>
                <w:b/>
              </w:rPr>
              <w:t>Licence</w:t>
            </w:r>
          </w:p>
        </w:tc>
        <w:tc>
          <w:tcPr>
            <w:tcW w:type="dxa" w:w="2160"/>
          </w:tcPr>
          <w:p>
            <w:r/>
            <w:r>
              <w:rPr>
                <w:b/>
              </w:rPr>
              <w:t>Lane</w:t>
            </w:r>
          </w:p>
        </w:tc>
        <w:tc>
          <w:tcPr>
            <w:tcW w:type="dxa" w:w="2160"/>
          </w:tcPr>
          <w:p>
            <w:r/>
            <w:r>
              <w:rPr>
                <w:b/>
              </w:rPr>
              <w:t>Why</w:t>
            </w:r>
          </w:p>
        </w:tc>
      </w:tr>
      <w:tr>
        <w:tc>
          <w:tcPr>
            <w:tcW w:type="dxa" w:w="2160"/>
          </w:tcPr>
          <w:p>
            <w:r>
              <w:rPr>
                <w:sz w:val="19"/>
              </w:rPr>
              <w:t>statsmodels.stats.proportion.proportion_confint</w:t>
            </w:r>
          </w:p>
        </w:tc>
        <w:tc>
          <w:tcPr>
            <w:tcW w:type="dxa" w:w="2160"/>
          </w:tcPr>
          <w:p>
            <w:r>
              <w:rPr>
                <w:sz w:val="19"/>
              </w:rPr>
              <w:t>BSD</w:t>
            </w:r>
          </w:p>
        </w:tc>
        <w:tc>
          <w:tcPr>
            <w:tcW w:type="dxa" w:w="2160"/>
          </w:tcPr>
          <w:p>
            <w:r>
              <w:rPr>
                <w:sz w:val="19"/>
              </w:rPr>
              <w:t>Trust</w:t>
            </w:r>
          </w:p>
        </w:tc>
        <w:tc>
          <w:tcPr>
            <w:tcW w:type="dxa" w:w="2160"/>
          </w:tcPr>
          <w:p>
            <w:r>
              <w:rPr>
                <w:sz w:val="19"/>
              </w:rPr>
              <w:t>A battle-tested Wilson interval. The hand-rolled implementation already exists, so the value is as a test oracle proving the two agree — a stronger correctness argument than additional unit tests</w:t>
            </w:r>
          </w:p>
        </w:tc>
      </w:tr>
      <w:tr>
        <w:tc>
          <w:tcPr>
            <w:tcW w:type="dxa" w:w="2160"/>
          </w:tcPr>
          <w:p>
            <w:r>
              <w:rPr>
                <w:sz w:val="19"/>
              </w:rPr>
              <w:t>shadcn/ui</w:t>
            </w:r>
          </w:p>
        </w:tc>
        <w:tc>
          <w:tcPr>
            <w:tcW w:type="dxa" w:w="2160"/>
          </w:tcPr>
          <w:p>
            <w:r>
              <w:rPr>
                <w:sz w:val="19"/>
              </w:rPr>
              <w:t>MIT</w:t>
            </w:r>
          </w:p>
        </w:tc>
        <w:tc>
          <w:tcPr>
            <w:tcW w:type="dxa" w:w="2160"/>
          </w:tcPr>
          <w:p>
            <w:r>
              <w:rPr>
                <w:sz w:val="19"/>
              </w:rPr>
              <w:t>Frontend</w:t>
            </w:r>
          </w:p>
        </w:tc>
        <w:tc>
          <w:tcPr>
            <w:tcW w:type="dxa" w:w="2160"/>
          </w:tcPr>
          <w:p>
            <w:r>
              <w:rPr>
                <w:sz w:val="19"/>
              </w:rPr>
              <w:t>Already in the plan and still outstanding. Copy-paste components with no runtime dependency. The largest single time-saver remaining in the project</w:t>
            </w:r>
          </w:p>
        </w:tc>
      </w:tr>
      <w:tr>
        <w:tc>
          <w:tcPr>
            <w:tcW w:type="dxa" w:w="2160"/>
          </w:tcPr>
          <w:p>
            <w:r>
              <w:rPr>
                <w:sz w:val="19"/>
              </w:rPr>
              <w:t>Recharts</w:t>
            </w:r>
          </w:p>
        </w:tc>
        <w:tc>
          <w:tcPr>
            <w:tcW w:type="dxa" w:w="2160"/>
          </w:tcPr>
          <w:p>
            <w:r>
              <w:rPr>
                <w:sz w:val="19"/>
              </w:rPr>
              <w:t>MIT</w:t>
            </w:r>
          </w:p>
        </w:tc>
        <w:tc>
          <w:tcPr>
            <w:tcW w:type="dxa" w:w="2160"/>
          </w:tcPr>
          <w:p>
            <w:r>
              <w:rPr>
                <w:sz w:val="19"/>
              </w:rPr>
              <w:t>Frontend</w:t>
            </w:r>
          </w:p>
        </w:tc>
        <w:tc>
          <w:tcPr>
            <w:tcW w:type="dxa" w:w="2160"/>
          </w:tcPr>
          <w:p>
            <w:r>
              <w:rPr>
                <w:sz w:val="19"/>
              </w:rPr>
              <w:t>The autonomy-timeline chart. Hand-rolling SVG is not a good use of the remaining time</w:t>
            </w:r>
          </w:p>
        </w:tc>
      </w:tr>
      <w:tr>
        <w:tc>
          <w:tcPr>
            <w:tcW w:type="dxa" w:w="2160"/>
          </w:tcPr>
          <w:p>
            <w:r>
              <w:rPr>
                <w:sz w:val="19"/>
              </w:rPr>
              <w:t>hypothesis</w:t>
            </w:r>
          </w:p>
        </w:tc>
        <w:tc>
          <w:tcPr>
            <w:tcW w:type="dxa" w:w="2160"/>
          </w:tcPr>
          <w:p>
            <w:r>
              <w:rPr>
                <w:sz w:val="19"/>
              </w:rPr>
              <w:t>MPL-2.0</w:t>
            </w:r>
          </w:p>
        </w:tc>
        <w:tc>
          <w:tcPr>
            <w:tcW w:type="dxa" w:w="2160"/>
          </w:tcPr>
          <w:p>
            <w:r>
              <w:rPr>
                <w:sz w:val="19"/>
              </w:rPr>
              <w:t>Trust</w:t>
            </w:r>
          </w:p>
        </w:tc>
        <w:tc>
          <w:tcPr>
            <w:tcW w:type="dxa" w:w="2160"/>
          </w:tcPr>
          <w:p>
            <w:r>
              <w:rPr>
                <w:sz w:val="19"/>
              </w:rPr>
              <w:t>Property-based testing for Wilson monotonicity; test_wilson_properties.py suggests this is already in use</w:t>
            </w:r>
          </w:p>
        </w:tc>
      </w:tr>
      <w:tr>
        <w:tc>
          <w:tcPr>
            <w:tcW w:type="dxa" w:w="2160"/>
          </w:tcPr>
          <w:p>
            <w:r>
              <w:rPr>
                <w:sz w:val="19"/>
              </w:rPr>
              <w:t>tenacity</w:t>
            </w:r>
          </w:p>
        </w:tc>
        <w:tc>
          <w:tcPr>
            <w:tcW w:type="dxa" w:w="2160"/>
          </w:tcPr>
          <w:p>
            <w:r>
              <w:rPr>
                <w:sz w:val="19"/>
              </w:rPr>
              <w:t>Apache-2.0</w:t>
            </w:r>
          </w:p>
        </w:tc>
        <w:tc>
          <w:tcPr>
            <w:tcW w:type="dxa" w:w="2160"/>
          </w:tcPr>
          <w:p>
            <w:r>
              <w:rPr>
                <w:sz w:val="19"/>
              </w:rPr>
              <w:t>Governance</w:t>
            </w:r>
          </w:p>
        </w:tc>
        <w:tc>
          <w:tcPr>
            <w:tcW w:type="dxa" w:w="2160"/>
          </w:tcPr>
          <w:p>
            <w:r>
              <w:rPr>
                <w:sz w:val="19"/>
              </w:rPr>
              <w:t>Retry with exponential backoff for the 30 Aug Gemini recording loop and 3 Sept live mode. The free tier runs at roughly 10 requests per minute, so backoff is required rather than optional. The one dependency that saves this lane real time</w:t>
            </w:r>
          </w:p>
        </w:tc>
      </w:tr>
      <w:tr>
        <w:tc>
          <w:tcPr>
            <w:tcW w:type="dxa" w:w="2160"/>
          </w:tcPr>
          <w:p>
            <w:r>
              <w:rPr>
                <w:sz w:val="19"/>
              </w:rPr>
              <w:t>respx / pytest-httpx</w:t>
            </w:r>
          </w:p>
        </w:tc>
        <w:tc>
          <w:tcPr>
            <w:tcW w:type="dxa" w:w="2160"/>
          </w:tcPr>
          <w:p>
            <w:r>
              <w:rPr>
                <w:sz w:val="19"/>
              </w:rPr>
              <w:t>BSD / MIT</w:t>
            </w:r>
          </w:p>
        </w:tc>
        <w:tc>
          <w:tcPr>
            <w:tcW w:type="dxa" w:w="2160"/>
          </w:tcPr>
          <w:p>
            <w:r>
              <w:rPr>
                <w:sz w:val="19"/>
              </w:rPr>
              <w:t>Governance</w:t>
            </w:r>
          </w:p>
        </w:tc>
        <w:tc>
          <w:tcPr>
            <w:tcW w:type="dxa" w:w="2160"/>
          </w:tcPr>
          <w:p>
            <w:r>
              <w:rPr>
                <w:sz w:val="19"/>
              </w:rPr>
              <w:t>Mocking the Gemini HTTP layer for the live-mode failure test due 3 Sept</w:t>
            </w:r>
          </w:p>
        </w:tc>
      </w:tr>
    </w:tbl>
    <w:p/>
    <w:p>
      <w:pPr>
        <w:pStyle w:val="Heading2"/>
      </w:pPr>
      <w:r>
        <w:rPr>
          <w:color w:val="1F3A5F"/>
        </w:rPr>
        <w:t>Deliberately not taking</w:t>
      </w:r>
    </w:p>
    <w:p>
      <w:pPr>
        <w:pStyle w:val="ListBullet"/>
      </w:pPr>
      <w:r>
        <w:t>agentgov — closest in spirit, but it is a proxy sitting between agent and LLM provider, enforcing budgets in TypeScript. AAGP places governance beside the decision path rather than in front of the model; adopting the code would mean adopting its shape. Cite it as related work instead.</w:t>
      </w:r>
    </w:p>
    <w:p>
      <w:pPr>
        <w:pStyle w:val="ListBullet"/>
      </w:pPr>
      <w:r>
        <w:t>LangGraph prebuilt agents and create_react_agent — these grant agents tool access. AAGP governance agents must have none. Using them would break the central architectural claim.</w:t>
      </w:r>
    </w:p>
    <w:p>
      <w:pPr>
        <w:pStyle w:val="ListBullet"/>
      </w:pPr>
      <w:r>
        <w:t>Anything that computes statistics inside governance/ — forbidden by the lane brief regardless of licence, because two lanes could then disagree about the same evidence.</w:t>
      </w:r>
    </w:p>
    <w:p>
      <w:pPr>
        <w:pStyle w:val="ListBullet"/>
      </w:pPr>
      <w:r>
        <w:t>AAGATE's identity layer, OPA, and service-mesh components — right ideas at the wrong scale. Naming them as out of scope reads as judgement; adopting them three weeks from submission reads as scope creep.</w:t>
      </w:r>
    </w:p>
    <w:p>
      <w:pPr>
        <w:pStyle w:val="Heading2"/>
      </w:pPr>
      <w:r>
        <w:rPr>
          <w:color w:val="1F3A5F"/>
        </w:rPr>
        <w:t>If asked directly</w:t>
      </w:r>
    </w:p>
    <w:p>
      <w:pPr>
        <w:ind w:left="480"/>
      </w:pPr>
      <w:r>
        <w:rPr>
          <w:i/>
          <w:color w:val="5A5A5A"/>
        </w:rPr>
        <w:t>We used libraries where the problem was already solved — Wilson intervals, retries, charting — and wrote the parts nobody had written. The reason there was no governance layer to fork is the reason the project was worth doing.</w:t>
      </w:r>
    </w:p>
    <w:p>
      <w:r>
        <w:br w:type="page"/>
      </w:r>
    </w:p>
    <w:p>
      <w:pPr>
        <w:pStyle w:val="Heading1"/>
      </w:pPr>
      <w:r>
        <w:rPr>
          <w:color w:val="1F3A5F"/>
        </w:rPr>
        <w:t>Sources</w:t>
      </w:r>
    </w:p>
    <w:p>
      <w:pPr>
        <w:pStyle w:val="ListBullet"/>
      </w:pPr>
      <w:r>
        <w:rPr>
          <w:b/>
        </w:rPr>
        <w:t>Governing What You Cannot Observe: Adaptive Runtime Governance for Autonomous AI Agents (RiskGate)</w:t>
      </w:r>
      <w:r>
        <w:rPr>
          <w:color w:val="5A5A5A"/>
          <w:sz w:val="19"/>
        </w:rPr>
        <w:br/>
        <w:t>Marín &amp; Chaudhary, University of Turku — arXiv:2604.24686, April 2026</w:t>
      </w:r>
    </w:p>
    <w:p>
      <w:pPr>
        <w:pStyle w:val="ListBullet"/>
      </w:pPr>
      <w:r>
        <w:rPr>
          <w:b/>
        </w:rPr>
        <w:t>DEMM-Bench: A Cross-Regime Benchmark for Agent-Runtime Governance-Evidence Sufficiency</w:t>
      </w:r>
      <w:r>
        <w:rPr>
          <w:color w:val="5A5A5A"/>
          <w:sz w:val="19"/>
        </w:rPr>
        <w:br/>
        <w:t>Solozobov — arXiv:2606.20634, 30 May 2026</w:t>
      </w:r>
    </w:p>
    <w:p>
      <w:pPr>
        <w:pStyle w:val="ListBullet"/>
      </w:pPr>
      <w:r>
        <w:rPr>
          <w:b/>
        </w:rPr>
        <w:t>AAGATE: A NIST AI RMF-Aligned Governance Platform for Agentic AI</w:t>
      </w:r>
      <w:r>
        <w:rPr>
          <w:color w:val="5A5A5A"/>
          <w:sz w:val="19"/>
        </w:rPr>
        <w:br/>
        <w:t>Huang et al. — arXiv:2510.25863, October 2025</w:t>
      </w:r>
    </w:p>
    <w:p>
      <w:pPr>
        <w:pStyle w:val="ListBullet"/>
      </w:pPr>
      <w:r>
        <w:rPr>
          <w:b/>
        </w:rPr>
        <w:t>Human-AI Governance (HAIG): A Trust-Utility Approach</w:t>
      </w:r>
      <w:r>
        <w:rPr>
          <w:color w:val="5A5A5A"/>
          <w:sz w:val="19"/>
        </w:rPr>
        <w:br/>
        <w:t>arXiv:2505.01651</w:t>
      </w:r>
    </w:p>
    <w:p>
      <w:pPr>
        <w:pStyle w:val="ListBullet"/>
      </w:pPr>
      <w:r>
        <w:rPr>
          <w:b/>
        </w:rPr>
        <w:t>agentgov — AI Agent Governance Platform</w:t>
      </w:r>
      <w:r>
        <w:rPr>
          <w:color w:val="5A5A5A"/>
          <w:sz w:val="19"/>
        </w:rPr>
        <w:br/>
        <w:t>github.com/evidence-gate/agentgov</w:t>
      </w:r>
    </w:p>
    <w:p>
      <w:pPr>
        <w:pStyle w:val="ListBullet"/>
      </w:pPr>
      <w:r>
        <w:rPr>
          <w:b/>
        </w:rPr>
        <w:t>awesome-ai-agent-governance — curated governance tooling list</w:t>
      </w:r>
      <w:r>
        <w:rPr>
          <w:color w:val="5A5A5A"/>
          <w:sz w:val="19"/>
        </w:rPr>
        <w:br/>
        <w:t>github.com/systempromptio/awesome-ai-agent-governance</w:t>
      </w:r>
    </w:p>
    <w:p>
      <w:pPr>
        <w:pStyle w:val="ListBullet"/>
      </w:pPr>
      <w:r>
        <w:rPr>
          <w:b/>
        </w:rPr>
        <w:t>Progressive autonomy: the trust ladder for AI in compliance</w:t>
      </w:r>
      <w:r>
        <w:rPr>
          <w:color w:val="5A5A5A"/>
          <w:sz w:val="19"/>
        </w:rPr>
        <w:br/>
        <w:t>Unit21</w:t>
      </w:r>
    </w:p>
    <w:p>
      <w:pPr>
        <w:pStyle w:val="ListBullet"/>
      </w:pPr>
      <w:r>
        <w:rPr>
          <w:b/>
        </w:rPr>
        <w:t>Agentic Autonomy Is A Trust Score</w:t>
      </w:r>
      <w:r>
        <w:rPr>
          <w:color w:val="5A5A5A"/>
          <w:sz w:val="19"/>
        </w:rPr>
        <w:br/>
        <w:t>Monte Carlo Data</w:t>
      </w:r>
    </w:p>
    <w:p>
      <w:pPr>
        <w:pStyle w:val="ListBullet"/>
      </w:pPr>
      <w:r>
        <w:rPr>
          <w:b/>
        </w:rPr>
        <w:t>Feature Idea — Trust Calibration and Progressive Autonomy Model</w:t>
      </w:r>
      <w:r>
        <w:rPr>
          <w:color w:val="5A5A5A"/>
          <w:sz w:val="19"/>
        </w:rPr>
        <w:br/>
        <w:t>anthropics/claude-code issue #47183</w:t>
      </w:r>
    </w:p>
    <w:p>
      <w:pPr>
        <w:pStyle w:val="ListBullet"/>
      </w:pPr>
      <w:r>
        <w:rPr>
          <w:b/>
        </w:rPr>
        <w:t>Introducing the Agent Governance Toolkit</w:t>
      </w:r>
      <w:r>
        <w:rPr>
          <w:color w:val="5A5A5A"/>
          <w:sz w:val="19"/>
        </w:rPr>
        <w:br/>
        <w:t>Microsoft Open Source Blog, April 2026</w:t>
      </w:r>
    </w:p>
    <w:p/>
    <w:p>
      <w:r>
        <w:rPr>
          <w:i/>
          <w:color w:val="5A5A5A"/>
          <w:sz w:val="18"/>
        </w:rPr>
        <w:t>Searches conducted 29 August 2026. Licence details listed above are from search summaries and should be verified against each repository's LICENSE file before any code is adopted.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