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widowControl/>
        <w:spacing w:before="0" w:after="80" w:line="240" w:lineRule="auto"/>
        <w:jc w:val="center"/>
      </w:pPr>
      <w:r>
        <w:rPr>
          <w:rFonts w:ascii="Times New Roman" w:hAnsi="Times New Roman" w:eastAsia="Times New Roman"/>
          <w:b/>
          <w:sz w:val="33"/>
        </w:rPr>
        <w:t>Transformer-Based Fake News Detection Using BERT and DistilBERT</w:t>
        <w:br/>
        <w:t>on the ISOT Fake and Real News Dataset</w:t>
      </w:r>
    </w:p>
    <w:p>
      <w:pPr>
        <w:keepNext/>
        <w:keepLines w:val="0"/>
        <w:widowControl/>
        <w:spacing w:before="0" w:after="140" w:line="240" w:lineRule="auto"/>
        <w:jc w:val="center"/>
      </w:pPr>
      <w:r>
        <w:rPr>
          <w:rFonts w:ascii="Times New Roman" w:hAnsi="Times New Roman" w:eastAsia="Times New Roman"/>
          <w:i/>
          <w:sz w:val="18"/>
        </w:rPr>
        <w:t>Team ID: 60</w:t>
      </w:r>
    </w:p>
    <w:p>
      <w:pPr>
        <w:keepNext/>
        <w:keepLines w:val="0"/>
        <w:widowControl/>
        <w:spacing w:before="0" w:after="60" w:line="240" w:lineRule="auto"/>
        <w:jc w:val="center"/>
      </w:pPr>
      <w:r>
        <w:rPr>
          <w:rFonts w:ascii="Times New Roman" w:hAnsi="Times New Roman" w:eastAsia="Times New Roman"/>
          <w:sz w:val="18"/>
        </w:rPr>
        <w:t>Varun Singhani (Roll No: S24BCAU0063)</w:t>
      </w:r>
      <w:r>
        <w:br/>
      </w:r>
      <w:r>
        <w:rPr>
          <w:rFonts w:ascii="Times New Roman" w:hAnsi="Times New Roman" w:eastAsia="Times New Roman"/>
          <w:sz w:val="18"/>
        </w:rPr>
        <w:t>Varun Jain (Roll No: S24BCAU0057)</w:t>
      </w:r>
      <w:r>
        <w:br/>
      </w:r>
      <w:r>
        <w:rPr>
          <w:rFonts w:ascii="Times New Roman" w:hAnsi="Times New Roman" w:eastAsia="Times New Roman"/>
          <w:sz w:val="18"/>
        </w:rPr>
        <w:t>Pranjal Gupta (Roll No: S24BCAU0048)</w:t>
      </w:r>
      <w:r>
        <w:br/>
      </w:r>
      <w:r>
        <w:rPr>
          <w:rFonts w:ascii="Times New Roman" w:hAnsi="Times New Roman" w:eastAsia="Times New Roman"/>
          <w:sz w:val="18"/>
        </w:rPr>
        <w:t>Shreya Mishra (Roll No: S24BCAU0049)</w:t>
      </w:r>
    </w:p>
    <w:p>
      <w:pPr>
        <w:keepNext/>
        <w:keepLines w:val="0"/>
        <w:widowControl/>
        <w:spacing w:before="20" w:after="0" w:line="240" w:lineRule="auto"/>
        <w:jc w:val="center"/>
      </w:pPr>
      <w:r>
        <w:rPr>
          <w:rFonts w:ascii="Times New Roman" w:hAnsi="Times New Roman" w:eastAsia="Times New Roman"/>
          <w:sz w:val="17"/>
        </w:rPr>
        <w:t>Department of Computer Science Engineering &amp; Technology</w:t>
      </w:r>
    </w:p>
    <w:p>
      <w:pPr>
        <w:keepNext/>
        <w:keepLines w:val="0"/>
        <w:widowControl/>
        <w:spacing w:before="0" w:after="80" w:line="240" w:lineRule="auto"/>
        <w:jc w:val="center"/>
      </w:pPr>
      <w:r>
        <w:rPr>
          <w:rFonts w:ascii="Times New Roman" w:hAnsi="Times New Roman" w:eastAsia="Times New Roman"/>
          <w:sz w:val="17"/>
        </w:rPr>
        <w:t>Bennett University, India</w:t>
      </w:r>
    </w:p>
    <w:p>
      <w:pPr>
        <w:sectPr>
          <w:pgSz w:w="12240" w:h="15840"/>
          <w:pgMar w:top="893" w:right="922" w:bottom="893" w:left="922" w:header="317" w:footer="317" w:gutter="0"/>
          <w:cols w:space="720"/>
          <w:docGrid w:linePitch="360"/>
        </w:sectPr>
      </w:pPr>
    </w:p>
    <w:p>
      <w:pPr>
        <w:keepNext w:val="0"/>
        <w:keepLines w:val="0"/>
        <w:widowControl/>
        <w:spacing w:before="0" w:after="60" w:line="240" w:lineRule="auto"/>
        <w:jc w:val="both"/>
      </w:pPr>
      <w:r>
        <w:rPr>
          <w:rFonts w:ascii="Times New Roman" w:hAnsi="Times New Roman" w:eastAsia="Times New Roman"/>
          <w:b/>
          <w:i/>
          <w:sz w:val="18"/>
        </w:rPr>
        <w:t>Abstract—</w:t>
      </w:r>
      <w:r>
        <w:rPr>
          <w:rFonts w:ascii="Times New Roman" w:hAnsi="Times New Roman" w:eastAsia="Times New Roman"/>
          <w:sz w:val="18"/>
        </w:rPr>
        <w:t>Fake news presented in news-style language can mislead readers and weaken public trust, making scalable screening systems useful. This project develops a binary text-classification pipeline using BERT and DistilBERT with the ISOT Fake and Real News dataset. The attached notebook combines each article title and body, lowercases text, removes punctuation and repeated whitespace, removes duplicate normalized articles, and randomly samples 8,000 records with a fixed sampling seed. An 80/20 GroupShuffleSplit is configured using normalized text as the grouping variable. The texts are tokenized to a maximum length of 256 and the pretrained transformer checkpoints are fine-tuned for two epochs with a learning rate of 3×10⁻⁵ and batch size of eight. In the saved direct BERT evaluation, 1,600 test articles yield 99.8125% accuracy, 99.7745% precision, 99.8871% recall, and 99.8308% F1 for label 1 (real news). Its confusion matrix contains three errors among 1,600 examples. A direct DistilBERT metric dictionary is not visible in the saved outputs, and a later summary cell reports inconsistent near-perfect scores from an untraceable results variable; those values are therefore treated as unverified. The main contribution is a reproducible pipeline design and a transparent assessment of both model performance and the limits of the available experimental record.</w:t>
      </w:r>
    </w:p>
    <w:p>
      <w:pPr>
        <w:keepNext/>
        <w:keepLines w:val="0"/>
        <w:widowControl/>
        <w:spacing w:before="0" w:after="80" w:line="240" w:lineRule="auto"/>
        <w:jc w:val="both"/>
      </w:pPr>
      <w:r>
        <w:rPr>
          <w:rFonts w:ascii="Times New Roman" w:hAnsi="Times New Roman" w:eastAsia="Times New Roman"/>
          <w:b/>
          <w:i/>
          <w:sz w:val="18"/>
        </w:rPr>
        <w:t>Index Terms—</w:t>
      </w:r>
      <w:r>
        <w:rPr>
          <w:rFonts w:ascii="Times New Roman" w:hAnsi="Times New Roman" w:eastAsia="Times New Roman"/>
          <w:i/>
          <w:sz w:val="18"/>
        </w:rPr>
        <w:t>fake news detection, BERT, DistilBERT, transformer models, ISOT dataset, text classification</w:t>
      </w:r>
    </w:p>
    <w:p>
      <w:pPr>
        <w:keepNext/>
        <w:keepLines w:val="0"/>
        <w:widowControl/>
        <w:spacing w:before="100" w:after="60" w:line="240" w:lineRule="auto"/>
        <w:jc w:val="center"/>
      </w:pPr>
      <w:r>
        <w:rPr>
          <w:rFonts w:ascii="Times New Roman" w:hAnsi="Times New Roman" w:eastAsia="Times New Roman"/>
          <w:b/>
          <w:smallCaps/>
          <w:sz w:val="20"/>
        </w:rPr>
        <w:t>I. INTRODUCTION</w:t>
      </w:r>
    </w:p>
    <w:p>
      <w:pPr>
        <w:keepNext w:val="0"/>
        <w:keepLines w:val="0"/>
        <w:widowControl/>
        <w:spacing w:before="0" w:after="60" w:line="240" w:lineRule="auto"/>
        <w:ind w:firstLine="173"/>
        <w:jc w:val="both"/>
      </w:pPr>
      <w:r>
        <w:rPr>
          <w:rFonts w:ascii="Times New Roman" w:hAnsi="Times New Roman" w:eastAsia="Times New Roman"/>
          <w:sz w:val="18"/>
        </w:rPr>
        <w:t>Online news and social platforms make information easy to publish and share, but the same speed can amplify fabricated or misleading stories. False news can spread differently from reliable reporting and can affect civic discussion, trust, and public decisions [16]–[18]. Manual verification remains essential, yet reviewing every article before it is shared is difficult at scale. Automated classifiers can help prioritize material for review, provided their predictions are not mistaken for independent verification of facts.</w:t>
      </w:r>
    </w:p>
    <w:p>
      <w:pPr>
        <w:keepNext w:val="0"/>
        <w:keepLines w:val="0"/>
        <w:widowControl/>
        <w:spacing w:before="0" w:after="60" w:line="240" w:lineRule="auto"/>
        <w:ind w:firstLine="173"/>
        <w:jc w:val="both"/>
      </w:pPr>
      <w:r>
        <w:rPr>
          <w:rFonts w:ascii="Times New Roman" w:hAnsi="Times New Roman" w:eastAsia="Times New Roman"/>
          <w:sz w:val="18"/>
        </w:rPr>
        <w:t>Fake-news detection is a supervised learning problem when examples have labels such as fake and real. Earlier methods often used lexical counts, handcrafted writing-style features, source credibility, or propagation patterns. These features can be useful, but they may not capture contextual relationships across a long article. Transformer encoders use contextual representations and can be fine-tuned for classification with comparatively little task-specific architecture [1]. DistilBERT compresses the BERT family to reduce model size and inference cost while preserving much of its language understanding ability [2]. These properties make BERT and DistilBERT suitable candidates for a comparative text-classification project.</w:t>
      </w:r>
    </w:p>
    <w:p>
      <w:pPr>
        <w:keepNext w:val="0"/>
        <w:keepLines w:val="0"/>
        <w:widowControl/>
        <w:spacing w:before="0" w:after="60" w:line="240" w:lineRule="auto"/>
        <w:ind w:firstLine="173"/>
        <w:jc w:val="both"/>
      </w:pPr>
      <w:r>
        <w:rPr>
          <w:rFonts w:ascii="Times New Roman" w:hAnsi="Times New Roman" w:eastAsia="Times New Roman"/>
          <w:sz w:val="18"/>
        </w:rPr>
        <w:t>The project uses the ISOT Fake and Real News dataset, in which the real-news articles were collected from Reuters and the fake-news articles were collected from sources identified as unreliable [15]. This collection is useful for controlled experiments, but the distinction between the two classes can be correlated with publisher, topic, date, and writing style. High test accuracy on this dataset therefore does not prove that a model can identify false claims in arbitrary news from unseen sources. Generalization and dataset bias are recognized challenges in the broader literature [3], [14].</w:t>
      </w:r>
    </w:p>
    <w:p>
      <w:pPr>
        <w:keepNext w:val="0"/>
        <w:keepLines w:val="0"/>
        <w:widowControl/>
        <w:spacing w:before="0" w:after="60" w:line="240" w:lineRule="auto"/>
        <w:ind w:firstLine="173"/>
        <w:jc w:val="both"/>
      </w:pPr>
      <w:r>
        <w:rPr>
          <w:rFonts w:ascii="Times New Roman" w:hAnsi="Times New Roman" w:eastAsia="Times New Roman"/>
          <w:sz w:val="18"/>
        </w:rPr>
        <w:t>The problem addressed here is to classify a supplied English news article as label 0 (fake) or label 1 (real), using its title and body text. The project makes three practical contributions: (1) documents a preprocessing and group-splitting pipeline for an 8,000-article sample; (2) fine-tunes BERT and DistilBERT with a common training configuration; and (3) reports the directly visible BERT metrics, confusion matrix, and evidence gaps that prevent a fully verified model-to-model comparison. The intended role is decision support for human review, not autonomous fact-checking or publisher blacklisting.</w:t>
        <w:br/>
        <w:br/>
        <w:t>The operational objective can be written as learning a function f(x) that maps a normalized article string x to a label y in {0,1}. A prediction of 0 means that the article resembles the fake-labeled examples in this collection; a prediction of 1 means that it resembles the real-labeled examples. This distinction matters because the labels are dataset annotations, not a fresh investigation into the truth of every sentence. In a real verification workflow, a high fake-class score would be a signal to examine the source, cited evidence, publication date, and relevant independent reporting. A high real-class score should not be treated as proof that the article is accurate.</w:t>
      </w:r>
    </w:p>
    <w:p>
      <w:pPr>
        <w:keepNext/>
        <w:keepLines w:val="0"/>
        <w:widowControl/>
        <w:spacing w:before="100" w:after="60" w:line="240" w:lineRule="auto"/>
        <w:jc w:val="center"/>
      </w:pPr>
      <w:r>
        <w:rPr>
          <w:rFonts w:ascii="Times New Roman" w:hAnsi="Times New Roman" w:eastAsia="Times New Roman"/>
          <w:b/>
          <w:smallCaps/>
          <w:sz w:val="20"/>
        </w:rPr>
        <w:t>II. LITERATURE SURVEY</w:t>
      </w:r>
    </w:p>
    <w:p>
      <w:pPr>
        <w:keepNext w:val="0"/>
        <w:keepLines w:val="0"/>
        <w:widowControl/>
        <w:spacing w:before="0" w:after="60" w:line="240" w:lineRule="auto"/>
        <w:ind w:firstLine="173"/>
        <w:jc w:val="both"/>
      </w:pPr>
      <w:r>
        <w:rPr>
          <w:rFonts w:ascii="Times New Roman" w:hAnsi="Times New Roman" w:eastAsia="Times New Roman"/>
          <w:sz w:val="18"/>
        </w:rPr>
        <w:t>Zhou and Zafarani surveyed fake-news detection from the perspectives of false knowledge, writing style, propagation patterns, and source credibility [3]. Their taxonomy shows why text-only models represent one part of a larger verification problem. Shu et al. likewise emphasized the challenges of using social engagement signals, which can be incomplete, noisy, and dependent on how a story spreads [4]. FakeNewsNet was designed to support research combining article content with social context and temporal information [5]. These resources indicate that reliable deployment may require features beyond the words in a single article.</w:t>
      </w:r>
    </w:p>
    <w:p>
      <w:pPr>
        <w:keepNext w:val="0"/>
        <w:keepLines w:val="0"/>
        <w:widowControl/>
        <w:spacing w:before="0" w:after="60" w:line="240" w:lineRule="auto"/>
        <w:ind w:firstLine="173"/>
        <w:jc w:val="both"/>
      </w:pPr>
      <w:r>
        <w:rPr>
          <w:rFonts w:ascii="Times New Roman" w:hAnsi="Times New Roman" w:eastAsia="Times New Roman"/>
          <w:sz w:val="18"/>
        </w:rPr>
        <w:t>Nakamura et al. introduced Fakeddit, a large multimodal dataset with text, images, metadata, comments, and multiple label granularities [6]. Its breadth addresses limitations of text-only datasets, although distant supervision and more complex inputs introduce their own challenges. The present work deliberately uses only text from ISOT, which keeps the pipeline manageable but limits the kinds of evidence available to the classifier.</w:t>
      </w:r>
    </w:p>
    <w:p>
      <w:pPr>
        <w:keepNext w:val="0"/>
        <w:keepLines w:val="0"/>
        <w:widowControl/>
        <w:spacing w:before="0" w:after="60" w:line="240" w:lineRule="auto"/>
        <w:ind w:firstLine="173"/>
        <w:jc w:val="both"/>
      </w:pPr>
      <w:r>
        <w:rPr>
          <w:rFonts w:ascii="Times New Roman" w:hAnsi="Times New Roman" w:eastAsia="Times New Roman"/>
          <w:sz w:val="18"/>
        </w:rPr>
        <w:t>Devlin et al. introduced BERT's bidirectional pretraining and showed that it can be adapted to downstream NLP tasks by fine-tuning [1]. Sanh et al. proposed DistilBERT, using knowledge distillation to reduce the model size and improve inference efficiency [2]. Kaliyar et al.'s FakeBERT combines BERT with parallel convolutional components to capture local textual patterns and reports 98.90% accuracy in its experimental setting [7]. Low et al. explored the harder distinction between fake news and satire, finding that transformer design and domain-adapted pretraining matter when the classes share stylistic cues [8]. These studies motivate comparing a full-size encoder with a lighter distilled model, while also cautioning that label definitions are task-specific.</w:t>
      </w:r>
    </w:p>
    <w:p>
      <w:pPr>
        <w:keepNext w:val="0"/>
        <w:keepLines w:val="0"/>
        <w:widowControl/>
        <w:spacing w:before="0" w:after="60" w:line="240" w:lineRule="auto"/>
        <w:ind w:firstLine="173"/>
        <w:jc w:val="both"/>
      </w:pPr>
      <w:r>
        <w:rPr>
          <w:rFonts w:ascii="Times New Roman" w:hAnsi="Times New Roman" w:eastAsia="Times New Roman"/>
          <w:sz w:val="18"/>
        </w:rPr>
        <w:t>Babu et al. compared transformer models across LIAR, FNC-1, and a balanced fake-news dataset; their results varied by dataset, and DistilBERT offered a speed advantage, illustrating that model rankings depend on the evaluation corpus [9]. Alghamdi et al. reviewed content-, context-, and hybrid-based ML approaches and summarized challenges in common datasets and evaluation protocols [11]. Athira et al. focused on explainable AI and identified a gap between high predictive performance and explanations users can inspect [10]. Although SHAP is imported in the submitted notebook, no explanation values or explanation figures are produced by the saved code.</w:t>
      </w:r>
    </w:p>
    <w:p>
      <w:pPr>
        <w:keepNext w:val="0"/>
        <w:keepLines w:val="0"/>
        <w:widowControl/>
        <w:spacing w:before="0" w:after="60" w:line="240" w:lineRule="auto"/>
        <w:ind w:firstLine="173"/>
        <w:jc w:val="both"/>
      </w:pPr>
      <w:r>
        <w:rPr>
          <w:rFonts w:ascii="Times New Roman" w:hAnsi="Times New Roman" w:eastAsia="Times New Roman"/>
          <w:sz w:val="18"/>
        </w:rPr>
        <w:t>Recent robustness studies make the dataset issue especially clear. Kuntur et al. reimplemented transformer and graph-neural-network methods across FakeNewsNet, ISOT, and WELFake and found markedly different performance by dataset, including near-perfect transformer results on some corpora but lower accuracy on FakeNewsNet [12]. Bazmi et al. proposed an entity-centric multi-domain transformer specifically to address generalization to unseen news domains; their zero-shot experiments illustrate that in-domain success does not guarantee out-of-domain reliability [13]. Kishi et al. (2026) further analyzed dataset bias across multiple collections and showed that in-dataset performance and cross-dataset generalization can respond differently to training strategy [14].</w:t>
        <w:br/>
        <w:br/>
        <w:t>Taken together, these studies suggest that results should be interpreted at three levels. First, in-domain discrimination measures whether a model reproduces the labels of held-out articles from a familiar collection. Second, robustness measures whether performance survives shifts in publisher, topic, time period, and labeling practice. Third, usefulness for human review depends on calibration, error costs, and the ability to explain uncertain predictions. The present notebook mainly addresses the first level. The confusion matrix provides an interpretable count of errors, but the experiment does not provide a leave-publisher-out test, a cross-dataset evaluation, probability calibration, or a user-facing explanation. These are not minor implementation details: they determine whether a reported accuracy transfers to the changing news environment.</w:t>
      </w:r>
    </w:p>
    <w:p>
      <w:pPr>
        <w:keepNext w:val="0"/>
        <w:keepLines w:val="0"/>
        <w:widowControl/>
        <w:spacing w:before="0" w:after="60" w:line="240" w:lineRule="auto"/>
        <w:ind w:firstLine="173"/>
        <w:jc w:val="both"/>
      </w:pPr>
      <w:r>
        <w:rPr>
          <w:rFonts w:ascii="Times New Roman" w:hAnsi="Times New Roman" w:eastAsia="Times New Roman"/>
          <w:sz w:val="18"/>
        </w:rPr>
        <w:t>Research gap: prior work supplies strong architectures and increasingly rich datasets, but performance can be inflated when labels correlate with source-specific cues or when experiment records are not reproducible. This project contributes a compact BERT/DistilBERT implementation on ISOT and foregrounds evaluation traceability. Its current evidence does not yet establish cross-source robustness because a separately verified validation set, a controlled baseline under the identical split, and a complete DistilBERT metric log are absent.</w:t>
      </w:r>
    </w:p>
    <w:p>
      <w:pPr>
        <w:keepNext/>
        <w:keepLines w:val="0"/>
        <w:widowControl/>
        <w:spacing w:before="100" w:after="60" w:line="240" w:lineRule="auto"/>
        <w:jc w:val="center"/>
      </w:pPr>
      <w:r>
        <w:rPr>
          <w:rFonts w:ascii="Times New Roman" w:hAnsi="Times New Roman" w:eastAsia="Times New Roman"/>
          <w:b/>
          <w:smallCaps/>
          <w:sz w:val="20"/>
        </w:rPr>
        <w:t>III. PROPOSED METHODOLOGY</w:t>
      </w:r>
    </w:p>
    <w:p>
      <w:pPr>
        <w:keepNext/>
        <w:keepLines w:val="0"/>
        <w:widowControl/>
        <w:spacing w:before="70" w:after="30" w:line="240" w:lineRule="auto"/>
        <w:jc w:val="left"/>
      </w:pPr>
      <w:r>
        <w:rPr>
          <w:rFonts w:ascii="Times New Roman" w:hAnsi="Times New Roman" w:eastAsia="Times New Roman"/>
          <w:b/>
          <w:i/>
          <w:sz w:val="18"/>
        </w:rPr>
        <w:t>A. System Architecture</w:t>
      </w:r>
    </w:p>
    <w:p>
      <w:pPr>
        <w:keepNext w:val="0"/>
        <w:keepLines w:val="0"/>
        <w:widowControl/>
        <w:spacing w:before="0" w:after="60" w:line="240" w:lineRule="auto"/>
        <w:ind w:firstLine="173"/>
        <w:jc w:val="both"/>
      </w:pPr>
      <w:r>
        <w:rPr>
          <w:rFonts w:ascii="Times New Roman" w:hAnsi="Times New Roman" w:eastAsia="Times New Roman"/>
          <w:sz w:val="18"/>
        </w:rPr>
        <w:t>The implemented pipeline is shown in Fig. 1. The CSV files are loaded, each title is concatenated with its article body, normalized text is deduplicated, and a fixed-size random sample is created. A group-aware 80/20 split is then defined, after which two pretrained tokenizers encode the same text. The resulting token IDs and attention masks are supplied to BERT-base-uncased and DistilBERT-base-uncased sequence classifiers. Each model emits logits for the two labels; the predicted class is the index with the largest logit. The notebook computes accuracy, precision, recall, F1, and a BERT confusion matrix.</w:t>
      </w:r>
    </w:p>
    <w:p>
      <w:pPr>
        <w:keepNext/>
        <w:keepLines w:val="0"/>
        <w:widowControl/>
        <w:spacing w:before="20" w:after="0" w:line="240" w:lineRule="auto"/>
        <w:jc w:val="center"/>
      </w:pPr>
      <w:r>
        <w:drawing>
          <wp:inline xmlns:a="http://schemas.openxmlformats.org/drawingml/2006/main" xmlns:pic="http://schemas.openxmlformats.org/drawingml/2006/picture">
            <wp:extent cx="3127248" cy="868680"/>
            <wp:docPr id="1" name="Picture 1"/>
            <wp:cNvGraphicFramePr>
              <a:graphicFrameLocks noChangeAspect="1"/>
            </wp:cNvGraphicFramePr>
            <a:graphic>
              <a:graphicData uri="http://schemas.openxmlformats.org/drawingml/2006/picture">
                <pic:pic>
                  <pic:nvPicPr>
                    <pic:cNvPr id="0" name="fake_news_workflow.png"/>
                    <pic:cNvPicPr/>
                  </pic:nvPicPr>
                  <pic:blipFill>
                    <a:blip r:embed="rId9"/>
                    <a:stretch>
                      <a:fillRect/>
                    </a:stretch>
                  </pic:blipFill>
                  <pic:spPr>
                    <a:xfrm>
                      <a:off x="0" y="0"/>
                      <a:ext cx="3127248" cy="868680"/>
                    </a:xfrm>
                    <a:prstGeom prst="rect"/>
                  </pic:spPr>
                </pic:pic>
              </a:graphicData>
            </a:graphic>
          </wp:inline>
        </w:drawing>
      </w:r>
    </w:p>
    <w:p>
      <w:pPr>
        <w:keepNext/>
        <w:keepLines w:val="0"/>
        <w:widowControl/>
        <w:spacing w:before="0" w:after="60" w:line="240" w:lineRule="auto"/>
        <w:jc w:val="center"/>
      </w:pPr>
      <w:r>
        <w:rPr>
          <w:rFonts w:ascii="Times New Roman" w:hAnsi="Times New Roman" w:eastAsia="Times New Roman"/>
          <w:i/>
          <w:sz w:val="14"/>
        </w:rPr>
        <w:t>Fig. 1. End-to-end text classification workflow implemented in the notebook.</w:t>
      </w:r>
    </w:p>
    <w:p>
      <w:pPr>
        <w:keepNext/>
        <w:keepLines w:val="0"/>
        <w:widowControl/>
        <w:spacing w:before="70" w:after="30" w:line="240" w:lineRule="auto"/>
        <w:jc w:val="left"/>
      </w:pPr>
      <w:r>
        <w:rPr>
          <w:rFonts w:ascii="Times New Roman" w:hAnsi="Times New Roman" w:eastAsia="Times New Roman"/>
          <w:b/>
          <w:i/>
          <w:sz w:val="18"/>
        </w:rPr>
        <w:t>B. Dataset and Preprocessing</w:t>
      </w:r>
    </w:p>
    <w:p>
      <w:pPr>
        <w:keepNext w:val="0"/>
        <w:keepLines w:val="0"/>
        <w:widowControl/>
        <w:spacing w:before="0" w:after="60" w:line="240" w:lineRule="auto"/>
        <w:ind w:firstLine="173"/>
        <w:jc w:val="both"/>
      </w:pPr>
      <w:r>
        <w:rPr>
          <w:rFonts w:ascii="Times New Roman" w:hAnsi="Times New Roman" w:eastAsia="Times New Roman"/>
          <w:sz w:val="18"/>
        </w:rPr>
        <w:t>The source collection contains True.csv and Fake.csv. The notebook assigns label 0 to fake articles and label 1 to real articles, concatenates both dataframes, and retains a single text field plus the label. Text cleaning converts characters to lowercase, collapses whitespace, removes punctuation with a regular expression, trims leading/trailing spaces, and drops duplicate normalized texts. The code then samples 8,000 records with random_state=42. The saved output confirms a final dataframe shape of (8,000, 2) [15]. It does not preserve the exact class counts in printed text; the confusion-matrix test subset contains 714 fake and 886 real examples, so the evaluated subset is not perfectly balanced.</w:t>
      </w:r>
    </w:p>
    <w:p>
      <w:pPr>
        <w:keepNext/>
        <w:keepLines w:val="0"/>
        <w:widowControl/>
        <w:spacing w:before="20" w:after="40" w:line="240" w:lineRule="auto"/>
        <w:jc w:val="center"/>
      </w:pPr>
      <w:r>
        <w:rPr>
          <w:rFonts w:ascii="Times New Roman" w:hAnsi="Times New Roman" w:eastAsia="Times New Roman"/>
          <w:smallCaps/>
          <w:sz w:val="14"/>
        </w:rPr>
        <w:t>TABLE I. DATASET AND PREPROCESSING SUMMARY</w:t>
      </w:r>
    </w:p>
    <w:tbl>
      <w:tblPr>
        <w:tblW w:type="dxa" w:w="4924"/>
        <w:jc w:val="center"/>
        <w:tblLayout w:type="fixed"/>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1180"/>
        <w:gridCol w:w="3744"/>
      </w:tblGrid>
      <w:tr>
        <w:trPr>
          <w:tblHeader w:val="true"/>
          <w:cantSplit/>
        </w:trPr>
        <w:tc>
          <w:tcPr>
            <w:tcW w:type="dxa" w:w="1181"/>
            <w:vAlign w:val="center"/>
            <w:shd w:fill="E9E9E9"/>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b/>
                <w:sz w:val="14"/>
              </w:rPr>
              <w:t>Item</w:t>
            </w:r>
          </w:p>
        </w:tc>
        <w:tc>
          <w:tcPr>
            <w:tcW w:type="dxa" w:w="3744"/>
            <w:vAlign w:val="center"/>
            <w:shd w:fill="E9E9E9"/>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b/>
                <w:sz w:val="14"/>
              </w:rPr>
              <w:t>Implementation</w:t>
            </w:r>
          </w:p>
        </w:tc>
      </w:tr>
      <w:tr>
        <w:trPr>
          <w:cantSplit/>
        </w:trPr>
        <w:tc>
          <w:tcPr>
            <w:tcW w:type="dxa" w:w="1181"/>
            <w:vAlign w:val="center"/>
            <w:tcMar>
              <w:top w:w="35" w:type="dxa"/>
              <w:start w:w="55" w:type="dxa"/>
              <w:bottom w:w="35" w:type="dxa"/>
              <w:end w:w="55" w:type="dxa"/>
            </w:tcMar>
          </w:tcPr>
          <w:p>
            <w:pPr>
              <w:keepNext w:val="0"/>
              <w:keepLines w:val="0"/>
              <w:widowControl/>
              <w:spacing w:before="0" w:after="0" w:line="240" w:lineRule="auto"/>
              <w:jc w:val="left"/>
            </w:pPr>
            <w:r>
              <w:rPr>
                <w:rFonts w:ascii="Times New Roman" w:hAnsi="Times New Roman" w:eastAsia="Times New Roman"/>
                <w:sz w:val="14"/>
              </w:rPr>
              <w:t>Source</w:t>
            </w:r>
          </w:p>
        </w:tc>
        <w:tc>
          <w:tcPr>
            <w:tcW w:type="dxa" w:w="3744"/>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4"/>
              </w:rPr>
              <w:t>ISOT Kaggle mirror: Fake.csv and True.csv</w:t>
            </w:r>
          </w:p>
        </w:tc>
      </w:tr>
      <w:tr>
        <w:trPr>
          <w:cantSplit/>
        </w:trPr>
        <w:tc>
          <w:tcPr>
            <w:tcW w:type="dxa" w:w="1181"/>
            <w:vAlign w:val="center"/>
            <w:tcMar>
              <w:top w:w="35" w:type="dxa"/>
              <w:start w:w="55" w:type="dxa"/>
              <w:bottom w:w="35" w:type="dxa"/>
              <w:end w:w="55" w:type="dxa"/>
            </w:tcMar>
          </w:tcPr>
          <w:p>
            <w:pPr>
              <w:keepNext w:val="0"/>
              <w:keepLines w:val="0"/>
              <w:widowControl/>
              <w:spacing w:before="0" w:after="0" w:line="240" w:lineRule="auto"/>
              <w:jc w:val="left"/>
            </w:pPr>
            <w:r>
              <w:rPr>
                <w:rFonts w:ascii="Times New Roman" w:hAnsi="Times New Roman" w:eastAsia="Times New Roman"/>
                <w:sz w:val="14"/>
              </w:rPr>
              <w:t>Labels</w:t>
            </w:r>
          </w:p>
        </w:tc>
        <w:tc>
          <w:tcPr>
            <w:tcW w:type="dxa" w:w="3744"/>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4"/>
              </w:rPr>
              <w:t>0 = fake; 1 = real</w:t>
            </w:r>
          </w:p>
        </w:tc>
      </w:tr>
      <w:tr>
        <w:trPr>
          <w:cantSplit/>
        </w:trPr>
        <w:tc>
          <w:tcPr>
            <w:tcW w:type="dxa" w:w="1181"/>
            <w:vAlign w:val="center"/>
            <w:tcMar>
              <w:top w:w="35" w:type="dxa"/>
              <w:start w:w="55" w:type="dxa"/>
              <w:bottom w:w="35" w:type="dxa"/>
              <w:end w:w="55" w:type="dxa"/>
            </w:tcMar>
          </w:tcPr>
          <w:p>
            <w:pPr>
              <w:keepNext w:val="0"/>
              <w:keepLines w:val="0"/>
              <w:widowControl/>
              <w:spacing w:before="0" w:after="0" w:line="240" w:lineRule="auto"/>
              <w:jc w:val="left"/>
            </w:pPr>
            <w:r>
              <w:rPr>
                <w:rFonts w:ascii="Times New Roman" w:hAnsi="Times New Roman" w:eastAsia="Times New Roman"/>
                <w:sz w:val="14"/>
              </w:rPr>
              <w:t>Input</w:t>
            </w:r>
          </w:p>
        </w:tc>
        <w:tc>
          <w:tcPr>
            <w:tcW w:type="dxa" w:w="3744"/>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4"/>
              </w:rPr>
              <w:t>Title + article body</w:t>
            </w:r>
          </w:p>
        </w:tc>
      </w:tr>
      <w:tr>
        <w:trPr>
          <w:cantSplit/>
        </w:trPr>
        <w:tc>
          <w:tcPr>
            <w:tcW w:type="dxa" w:w="1181"/>
            <w:vAlign w:val="center"/>
            <w:tcMar>
              <w:top w:w="35" w:type="dxa"/>
              <w:start w:w="55" w:type="dxa"/>
              <w:bottom w:w="35" w:type="dxa"/>
              <w:end w:w="55" w:type="dxa"/>
            </w:tcMar>
          </w:tcPr>
          <w:p>
            <w:pPr>
              <w:keepNext w:val="0"/>
              <w:keepLines w:val="0"/>
              <w:widowControl/>
              <w:spacing w:before="0" w:after="0" w:line="240" w:lineRule="auto"/>
              <w:jc w:val="left"/>
            </w:pPr>
            <w:r>
              <w:rPr>
                <w:rFonts w:ascii="Times New Roman" w:hAnsi="Times New Roman" w:eastAsia="Times New Roman"/>
                <w:sz w:val="14"/>
              </w:rPr>
              <w:t>Cleaning</w:t>
            </w:r>
          </w:p>
        </w:tc>
        <w:tc>
          <w:tcPr>
            <w:tcW w:type="dxa" w:w="3744"/>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4"/>
              </w:rPr>
              <w:t>Lowercase, whitespace normalization, punctuation removal</w:t>
            </w:r>
          </w:p>
        </w:tc>
      </w:tr>
      <w:tr>
        <w:trPr>
          <w:cantSplit/>
        </w:trPr>
        <w:tc>
          <w:tcPr>
            <w:tcW w:type="dxa" w:w="1181"/>
            <w:vAlign w:val="center"/>
            <w:tcMar>
              <w:top w:w="35" w:type="dxa"/>
              <w:start w:w="55" w:type="dxa"/>
              <w:bottom w:w="35" w:type="dxa"/>
              <w:end w:w="55" w:type="dxa"/>
            </w:tcMar>
          </w:tcPr>
          <w:p>
            <w:pPr>
              <w:keepNext w:val="0"/>
              <w:keepLines w:val="0"/>
              <w:widowControl/>
              <w:spacing w:before="0" w:after="0" w:line="240" w:lineRule="auto"/>
              <w:jc w:val="left"/>
            </w:pPr>
            <w:r>
              <w:rPr>
                <w:rFonts w:ascii="Times New Roman" w:hAnsi="Times New Roman" w:eastAsia="Times New Roman"/>
                <w:sz w:val="14"/>
              </w:rPr>
              <w:t>Duplicates</w:t>
            </w:r>
          </w:p>
        </w:tc>
        <w:tc>
          <w:tcPr>
            <w:tcW w:type="dxa" w:w="3744"/>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4"/>
              </w:rPr>
              <w:t>Drop duplicate normalized text</w:t>
            </w:r>
          </w:p>
        </w:tc>
      </w:tr>
      <w:tr>
        <w:trPr>
          <w:cantSplit/>
        </w:trPr>
        <w:tc>
          <w:tcPr>
            <w:tcW w:type="dxa" w:w="1181"/>
            <w:vAlign w:val="center"/>
            <w:tcMar>
              <w:top w:w="35" w:type="dxa"/>
              <w:start w:w="55" w:type="dxa"/>
              <w:bottom w:w="35" w:type="dxa"/>
              <w:end w:w="55" w:type="dxa"/>
            </w:tcMar>
          </w:tcPr>
          <w:p>
            <w:pPr>
              <w:keepNext w:val="0"/>
              <w:keepLines w:val="0"/>
              <w:widowControl/>
              <w:spacing w:before="0" w:after="0" w:line="240" w:lineRule="auto"/>
              <w:jc w:val="left"/>
            </w:pPr>
            <w:r>
              <w:rPr>
                <w:rFonts w:ascii="Times New Roman" w:hAnsi="Times New Roman" w:eastAsia="Times New Roman"/>
                <w:sz w:val="14"/>
              </w:rPr>
              <w:t>Sample</w:t>
            </w:r>
          </w:p>
        </w:tc>
        <w:tc>
          <w:tcPr>
            <w:tcW w:type="dxa" w:w="3744"/>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4"/>
              </w:rPr>
              <w:t>8,000 articles; random_state = 42</w:t>
            </w:r>
          </w:p>
        </w:tc>
      </w:tr>
      <w:tr>
        <w:trPr>
          <w:cantSplit/>
        </w:trPr>
        <w:tc>
          <w:tcPr>
            <w:tcW w:type="dxa" w:w="1181"/>
            <w:vAlign w:val="center"/>
            <w:tcMar>
              <w:top w:w="35" w:type="dxa"/>
              <w:start w:w="55" w:type="dxa"/>
              <w:bottom w:w="35" w:type="dxa"/>
              <w:end w:w="55" w:type="dxa"/>
            </w:tcMar>
          </w:tcPr>
          <w:p>
            <w:pPr>
              <w:keepNext w:val="0"/>
              <w:keepLines w:val="0"/>
              <w:widowControl/>
              <w:spacing w:before="0" w:after="0" w:line="240" w:lineRule="auto"/>
              <w:jc w:val="left"/>
            </w:pPr>
            <w:r>
              <w:rPr>
                <w:rFonts w:ascii="Times New Roman" w:hAnsi="Times New Roman" w:eastAsia="Times New Roman"/>
                <w:sz w:val="14"/>
              </w:rPr>
              <w:t>Split</w:t>
            </w:r>
          </w:p>
        </w:tc>
        <w:tc>
          <w:tcPr>
            <w:tcW w:type="dxa" w:w="3744"/>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4"/>
              </w:rPr>
              <w:t>80% train / 20% test; GroupShuffleSplit</w:t>
            </w:r>
          </w:p>
        </w:tc>
      </w:tr>
    </w:tbl>
    <w:p>
      <w:pPr>
        <w:spacing w:after="20" w:before="0" w:line="120" w:lineRule="auto"/>
      </w:pPr>
      <w:r>
        <w:rPr>
          <w:rFonts w:ascii="Times New Roman" w:hAnsi="Times New Roman" w:eastAsia="Times New Roman"/>
          <w:sz w:val="2"/>
        </w:rPr>
        <w:t xml:space="preserve"> </w:t>
      </w:r>
    </w:p>
    <w:p>
      <w:pPr>
        <w:keepNext w:val="0"/>
        <w:keepLines w:val="0"/>
        <w:widowControl/>
        <w:spacing w:before="0" w:after="60" w:line="240" w:lineRule="auto"/>
        <w:ind w:firstLine="173"/>
        <w:jc w:val="both"/>
      </w:pPr>
      <w:r>
        <w:rPr>
          <w:rFonts w:ascii="Times New Roman" w:hAnsi="Times New Roman" w:eastAsia="Times New Roman"/>
          <w:sz w:val="18"/>
        </w:rPr>
        <w:t>A GroupShuffleSplit is configured with test_size=0.2, random_state=42, and the normalized article text as groups. This is a reasonable safeguard against identical text crossing the split, while deduplication removes exact duplicates before sampling. However, the notebook's separate intersection check appears before the visible cell that creates the current train/test lists. Consequently, that printed zero-overlap result is not sufficient to verify the split produced by the later cell; the notebook should be rerun from the first cell and the overlap assertion executed immediately after splitting.</w:t>
        <w:br/>
        <w:br/>
        <w:t>Sampling 8,000 articles makes fine-tuning more feasible and produces a manageable test set of 1,600 examples, but it also discards part of the available source corpus and introduces sampling variation. A single random sample cannot establish how sensitive the result is to seed choice. The split routine is group-aware, but it is not explicitly stratified by class; the displayed test matrix confirms 714 label-0 examples and 886 label-1 examples. In a stricter evaluation, the class counts for train, validation, and test partitions should be recorded, the groups should be constructed from a stable article or source identifier where available, and multiple random seeds should be compared. The original article and publisher metadata should be retained separately for audit, even if only article text is fed into the classifier.</w:t>
      </w:r>
    </w:p>
    <w:p>
      <w:pPr>
        <w:keepNext/>
        <w:keepLines w:val="0"/>
        <w:widowControl/>
        <w:spacing w:before="70" w:after="30" w:line="240" w:lineRule="auto"/>
        <w:jc w:val="left"/>
      </w:pPr>
      <w:r>
        <w:rPr>
          <w:rFonts w:ascii="Times New Roman" w:hAnsi="Times New Roman" w:eastAsia="Times New Roman"/>
          <w:b/>
          <w:i/>
          <w:sz w:val="18"/>
        </w:rPr>
        <w:t>C. Tokenization and Model Design</w:t>
      </w:r>
    </w:p>
    <w:p>
      <w:pPr>
        <w:keepNext w:val="0"/>
        <w:keepLines w:val="0"/>
        <w:widowControl/>
        <w:spacing w:before="0" w:after="60" w:line="240" w:lineRule="auto"/>
        <w:ind w:firstLine="173"/>
        <w:jc w:val="both"/>
      </w:pPr>
      <w:r>
        <w:rPr>
          <w:rFonts w:ascii="Times New Roman" w:hAnsi="Times New Roman" w:eastAsia="Times New Roman"/>
          <w:sz w:val="18"/>
        </w:rPr>
        <w:t>The tokenizer belonging to each model encodes text with truncation, padding, and max_length=256. A custom PyTorch Dataset returns the tokenized tensors and integer labels. BERT-base-uncased has 12 transformer layers and approximately 110 million parameters [1]. DistilBERT-base-uncased has six transformer layers and approximately 66–67 million parameters [2]. Both use a two-label sequence-classification head initialized for this task and fine-tuned on the same text split. The smaller model is expected to lower memory and latency requirements; whether that trade-off is achieved in this run cannot be quantified because the saved notebook does not record per-model runtime or direct DistilBERT metrics.</w:t>
      </w:r>
    </w:p>
    <w:p>
      <w:pPr>
        <w:keepNext w:val="0"/>
        <w:keepLines w:val="0"/>
        <w:widowControl/>
        <w:spacing w:before="0" w:after="60" w:line="240" w:lineRule="auto"/>
        <w:ind w:firstLine="173"/>
        <w:jc w:val="both"/>
      </w:pPr>
      <w:r>
        <w:rPr>
          <w:rFonts w:ascii="Times New Roman" w:hAnsi="Times New Roman" w:eastAsia="Times New Roman"/>
          <w:sz w:val="18"/>
        </w:rPr>
        <w:t>Tokenization is the bridge between raw news text and the model's numerical input. Each model uses its matching tokenizer to produce token IDs and an attention mask, with padding used to batch variable-length articles and truncation applied at the 256-token limit. Because title and article body are concatenated before tokenization, the title generally appears early in the input, while later portions of a long body can be excluded. That design makes sequence length a meaningful experimental choice: it affects how much evidence is visible to the classifier and how much memory the run requires. The notebook does not compare alternate lengths, retain the title and body as separate fields, or test whether punctuation removal improves results. These choices should be assessed as ablations on a validation partition rather than assumed to be optimal. A future run could compare title-only, body-only, and title-plus-body inputs, and compare a small number of sequence lengths under the same split to determine whether the extra compute contributes measurable performance.</w:t>
      </w:r>
    </w:p>
    <w:p>
      <w:pPr>
        <w:keepNext/>
        <w:keepLines w:val="0"/>
        <w:widowControl/>
        <w:spacing w:before="70" w:after="30" w:line="240" w:lineRule="auto"/>
        <w:jc w:val="left"/>
      </w:pPr>
      <w:r>
        <w:rPr>
          <w:rFonts w:ascii="Times New Roman" w:hAnsi="Times New Roman" w:eastAsia="Times New Roman"/>
          <w:b/>
          <w:i/>
          <w:sz w:val="18"/>
        </w:rPr>
        <w:t>D. Training Configuration and Optimization</w:t>
      </w:r>
    </w:p>
    <w:p>
      <w:pPr>
        <w:keepNext w:val="0"/>
        <w:keepLines w:val="0"/>
        <w:widowControl/>
        <w:spacing w:before="0" w:after="60" w:line="240" w:lineRule="auto"/>
        <w:ind w:firstLine="173"/>
        <w:jc w:val="both"/>
      </w:pPr>
      <w:r>
        <w:rPr>
          <w:rFonts w:ascii="Times New Roman" w:hAnsi="Times New Roman" w:eastAsia="Times New Roman"/>
          <w:sz w:val="18"/>
        </w:rPr>
        <w:t>Both calls use a learning rate of 3×10⁻⁵, per-device training and evaluation batch sizes of eight, two epochs, mixed precision (fp16=True), logging every 100 steps, no model checkpoint saving, and disabled external reporting. The Hugging Face Trainer API manages batching, gradient updates, and sequence-classification loss. For a two-class output, the model produces logits z₀ and z₁ and selects ŷ = argmax(z₀, z₁). Cross-entropy is the standard classification objective used by the sequence-classification head. The notebook does not specify a separate held-out validation partition or run a parameter search; it uses one fixed configuration for each model. Therefore, this report does not claim that 3×10⁻⁵, batch size 8, or two epochs were proven optimal.</w:t>
        <w:br/>
        <w:br/>
        <w:t>During inference, the saved predict helper accepts one or many strings, tokenizes them with truncation and padding, moves the tensors to the trained BERT model device, disables gradient calculation, and applies softmax to the logits. Softmax converts the two logits into values that sum to one, but these values are not automatically calibrated probabilities. The helper implemented in the notebook is BERT-specific; an equivalent DistilBERT helper should use the DistilBERT tokenizer and trained model if both models are to be exposed behind one application interface. The code also uses save_strategy="no", so the trained model weights are not persisted through the Trainer checkpoints. A clean rerun is therefore needed to recreate the trained weights before a deployment or independent audit.</w:t>
      </w:r>
    </w:p>
    <w:p>
      <w:pPr>
        <w:keepNext/>
        <w:keepLines w:val="0"/>
        <w:widowControl/>
        <w:spacing w:before="20" w:after="40" w:line="240" w:lineRule="auto"/>
        <w:jc w:val="center"/>
      </w:pPr>
      <w:r>
        <w:rPr>
          <w:rFonts w:ascii="Times New Roman" w:hAnsi="Times New Roman" w:eastAsia="Times New Roman"/>
          <w:smallCaps/>
          <w:sz w:val="14"/>
        </w:rPr>
        <w:t>TABLE II. SHARED TRAINING CONFIGURATION</w:t>
      </w:r>
    </w:p>
    <w:tbl>
      <w:tblPr>
        <w:tblW w:type="dxa" w:w="4924"/>
        <w:jc w:val="center"/>
        <w:tblLayout w:type="fixed"/>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1929"/>
        <w:gridCol w:w="2995"/>
      </w:tblGrid>
      <w:tr>
        <w:trPr>
          <w:tblHeader w:val="true"/>
          <w:cantSplit/>
        </w:trPr>
        <w:tc>
          <w:tcPr>
            <w:tcW w:type="dxa" w:w="1930"/>
            <w:vAlign w:val="center"/>
            <w:shd w:fill="E9E9E9"/>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b/>
                <w:sz w:val="13"/>
              </w:rPr>
              <w:t>Parameter</w:t>
            </w:r>
          </w:p>
        </w:tc>
        <w:tc>
          <w:tcPr>
            <w:tcW w:type="dxa" w:w="2995"/>
            <w:vAlign w:val="center"/>
            <w:shd w:fill="E9E9E9"/>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b/>
                <w:sz w:val="13"/>
              </w:rPr>
              <w:t>Value in code</w:t>
            </w:r>
          </w:p>
        </w:tc>
      </w:tr>
      <w:tr>
        <w:trPr>
          <w:cantSplit/>
        </w:trPr>
        <w:tc>
          <w:tcPr>
            <w:tcW w:type="dxa" w:w="1930"/>
            <w:vAlign w:val="center"/>
            <w:tcMar>
              <w:top w:w="35" w:type="dxa"/>
              <w:start w:w="55" w:type="dxa"/>
              <w:bottom w:w="35" w:type="dxa"/>
              <w:end w:w="55" w:type="dxa"/>
            </w:tcMar>
          </w:tcPr>
          <w:p>
            <w:pPr>
              <w:keepNext w:val="0"/>
              <w:keepLines w:val="0"/>
              <w:widowControl/>
              <w:spacing w:before="0" w:after="0" w:line="240" w:lineRule="auto"/>
              <w:jc w:val="left"/>
            </w:pPr>
            <w:r>
              <w:rPr>
                <w:rFonts w:ascii="Times New Roman" w:hAnsi="Times New Roman" w:eastAsia="Times New Roman"/>
                <w:sz w:val="13"/>
              </w:rPr>
              <w:t>Base checkpoints</w:t>
            </w:r>
          </w:p>
        </w:tc>
        <w:tc>
          <w:tcPr>
            <w:tcW w:type="dxa" w:w="2995"/>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3"/>
              </w:rPr>
              <w:t>bert-base-uncased; distilbert-base-uncased</w:t>
            </w:r>
          </w:p>
        </w:tc>
      </w:tr>
      <w:tr>
        <w:trPr>
          <w:cantSplit/>
        </w:trPr>
        <w:tc>
          <w:tcPr>
            <w:tcW w:type="dxa" w:w="1930"/>
            <w:vAlign w:val="center"/>
            <w:tcMar>
              <w:top w:w="35" w:type="dxa"/>
              <w:start w:w="55" w:type="dxa"/>
              <w:bottom w:w="35" w:type="dxa"/>
              <w:end w:w="55" w:type="dxa"/>
            </w:tcMar>
          </w:tcPr>
          <w:p>
            <w:pPr>
              <w:keepNext w:val="0"/>
              <w:keepLines w:val="0"/>
              <w:widowControl/>
              <w:spacing w:before="0" w:after="0" w:line="240" w:lineRule="auto"/>
              <w:jc w:val="left"/>
            </w:pPr>
            <w:r>
              <w:rPr>
                <w:rFonts w:ascii="Times New Roman" w:hAnsi="Times New Roman" w:eastAsia="Times New Roman"/>
                <w:sz w:val="13"/>
              </w:rPr>
              <w:t>Learning rate</w:t>
            </w:r>
          </w:p>
        </w:tc>
        <w:tc>
          <w:tcPr>
            <w:tcW w:type="dxa" w:w="2995"/>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3"/>
              </w:rPr>
              <w:t>3 × 10⁻⁵</w:t>
            </w:r>
          </w:p>
        </w:tc>
      </w:tr>
      <w:tr>
        <w:trPr>
          <w:cantSplit/>
        </w:trPr>
        <w:tc>
          <w:tcPr>
            <w:tcW w:type="dxa" w:w="1930"/>
            <w:vAlign w:val="center"/>
            <w:tcMar>
              <w:top w:w="35" w:type="dxa"/>
              <w:start w:w="55" w:type="dxa"/>
              <w:bottom w:w="35" w:type="dxa"/>
              <w:end w:w="55" w:type="dxa"/>
            </w:tcMar>
          </w:tcPr>
          <w:p>
            <w:pPr>
              <w:keepNext w:val="0"/>
              <w:keepLines w:val="0"/>
              <w:widowControl/>
              <w:spacing w:before="0" w:after="0" w:line="240" w:lineRule="auto"/>
              <w:jc w:val="left"/>
            </w:pPr>
            <w:r>
              <w:rPr>
                <w:rFonts w:ascii="Times New Roman" w:hAnsi="Times New Roman" w:eastAsia="Times New Roman"/>
                <w:sz w:val="13"/>
              </w:rPr>
              <w:t>Batch size</w:t>
            </w:r>
          </w:p>
        </w:tc>
        <w:tc>
          <w:tcPr>
            <w:tcW w:type="dxa" w:w="2995"/>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3"/>
              </w:rPr>
              <w:t>8 train / 8 evaluation</w:t>
            </w:r>
          </w:p>
        </w:tc>
      </w:tr>
      <w:tr>
        <w:trPr>
          <w:cantSplit/>
        </w:trPr>
        <w:tc>
          <w:tcPr>
            <w:tcW w:type="dxa" w:w="1930"/>
            <w:vAlign w:val="center"/>
            <w:tcMar>
              <w:top w:w="35" w:type="dxa"/>
              <w:start w:w="55" w:type="dxa"/>
              <w:bottom w:w="35" w:type="dxa"/>
              <w:end w:w="55" w:type="dxa"/>
            </w:tcMar>
          </w:tcPr>
          <w:p>
            <w:pPr>
              <w:keepNext w:val="0"/>
              <w:keepLines w:val="0"/>
              <w:widowControl/>
              <w:spacing w:before="0" w:after="0" w:line="240" w:lineRule="auto"/>
              <w:jc w:val="left"/>
            </w:pPr>
            <w:r>
              <w:rPr>
                <w:rFonts w:ascii="Times New Roman" w:hAnsi="Times New Roman" w:eastAsia="Times New Roman"/>
                <w:sz w:val="13"/>
              </w:rPr>
              <w:t>Epochs</w:t>
            </w:r>
          </w:p>
        </w:tc>
        <w:tc>
          <w:tcPr>
            <w:tcW w:type="dxa" w:w="2995"/>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3"/>
              </w:rPr>
              <w:t>2</w:t>
            </w:r>
          </w:p>
        </w:tc>
      </w:tr>
      <w:tr>
        <w:trPr>
          <w:cantSplit/>
        </w:trPr>
        <w:tc>
          <w:tcPr>
            <w:tcW w:type="dxa" w:w="1930"/>
            <w:vAlign w:val="center"/>
            <w:tcMar>
              <w:top w:w="35" w:type="dxa"/>
              <w:start w:w="55" w:type="dxa"/>
              <w:bottom w:w="35" w:type="dxa"/>
              <w:end w:w="55" w:type="dxa"/>
            </w:tcMar>
          </w:tcPr>
          <w:p>
            <w:pPr>
              <w:keepNext w:val="0"/>
              <w:keepLines w:val="0"/>
              <w:widowControl/>
              <w:spacing w:before="0" w:after="0" w:line="240" w:lineRule="auto"/>
              <w:jc w:val="left"/>
            </w:pPr>
            <w:r>
              <w:rPr>
                <w:rFonts w:ascii="Times New Roman" w:hAnsi="Times New Roman" w:eastAsia="Times New Roman"/>
                <w:sz w:val="13"/>
              </w:rPr>
              <w:t>Maximum sequence length</w:t>
            </w:r>
          </w:p>
        </w:tc>
        <w:tc>
          <w:tcPr>
            <w:tcW w:type="dxa" w:w="2995"/>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3"/>
              </w:rPr>
              <w:t>256 tokens</w:t>
            </w:r>
          </w:p>
        </w:tc>
      </w:tr>
      <w:tr>
        <w:trPr>
          <w:cantSplit/>
        </w:trPr>
        <w:tc>
          <w:tcPr>
            <w:tcW w:type="dxa" w:w="1930"/>
            <w:vAlign w:val="center"/>
            <w:tcMar>
              <w:top w:w="35" w:type="dxa"/>
              <w:start w:w="55" w:type="dxa"/>
              <w:bottom w:w="35" w:type="dxa"/>
              <w:end w:w="55" w:type="dxa"/>
            </w:tcMar>
          </w:tcPr>
          <w:p>
            <w:pPr>
              <w:keepNext w:val="0"/>
              <w:keepLines w:val="0"/>
              <w:widowControl/>
              <w:spacing w:before="0" w:after="0" w:line="240" w:lineRule="auto"/>
              <w:jc w:val="left"/>
            </w:pPr>
            <w:r>
              <w:rPr>
                <w:rFonts w:ascii="Times New Roman" w:hAnsi="Times New Roman" w:eastAsia="Times New Roman"/>
                <w:sz w:val="13"/>
              </w:rPr>
              <w:t>Precision</w:t>
            </w:r>
          </w:p>
        </w:tc>
        <w:tc>
          <w:tcPr>
            <w:tcW w:type="dxa" w:w="2995"/>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3"/>
              </w:rPr>
              <w:t>FP16 enabled</w:t>
            </w:r>
          </w:p>
        </w:tc>
      </w:tr>
      <w:tr>
        <w:trPr>
          <w:cantSplit/>
        </w:trPr>
        <w:tc>
          <w:tcPr>
            <w:tcW w:type="dxa" w:w="1930"/>
            <w:vAlign w:val="center"/>
            <w:tcMar>
              <w:top w:w="35" w:type="dxa"/>
              <w:start w:w="55" w:type="dxa"/>
              <w:bottom w:w="35" w:type="dxa"/>
              <w:end w:w="55" w:type="dxa"/>
            </w:tcMar>
          </w:tcPr>
          <w:p>
            <w:pPr>
              <w:keepNext w:val="0"/>
              <w:keepLines w:val="0"/>
              <w:widowControl/>
              <w:spacing w:before="0" w:after="0" w:line="240" w:lineRule="auto"/>
              <w:jc w:val="left"/>
            </w:pPr>
            <w:r>
              <w:rPr>
                <w:rFonts w:ascii="Times New Roman" w:hAnsi="Times New Roman" w:eastAsia="Times New Roman"/>
                <w:sz w:val="13"/>
              </w:rPr>
              <w:t>Checkpoint saving</w:t>
            </w:r>
          </w:p>
        </w:tc>
        <w:tc>
          <w:tcPr>
            <w:tcW w:type="dxa" w:w="2995"/>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3"/>
              </w:rPr>
              <w:t>Disabled</w:t>
            </w:r>
          </w:p>
        </w:tc>
      </w:tr>
      <w:tr>
        <w:trPr>
          <w:cantSplit/>
        </w:trPr>
        <w:tc>
          <w:tcPr>
            <w:tcW w:type="dxa" w:w="1930"/>
            <w:vAlign w:val="center"/>
            <w:tcMar>
              <w:top w:w="35" w:type="dxa"/>
              <w:start w:w="55" w:type="dxa"/>
              <w:bottom w:w="35" w:type="dxa"/>
              <w:end w:w="55" w:type="dxa"/>
            </w:tcMar>
          </w:tcPr>
          <w:p>
            <w:pPr>
              <w:keepNext w:val="0"/>
              <w:keepLines w:val="0"/>
              <w:widowControl/>
              <w:spacing w:before="0" w:after="0" w:line="240" w:lineRule="auto"/>
              <w:jc w:val="left"/>
            </w:pPr>
            <w:r>
              <w:rPr>
                <w:rFonts w:ascii="Times New Roman" w:hAnsi="Times New Roman" w:eastAsia="Times New Roman"/>
                <w:sz w:val="13"/>
              </w:rPr>
              <w:t>Split/sample seed</w:t>
            </w:r>
          </w:p>
        </w:tc>
        <w:tc>
          <w:tcPr>
            <w:tcW w:type="dxa" w:w="2995"/>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3"/>
              </w:rPr>
              <w:t>42 for sampling and split</w:t>
            </w:r>
          </w:p>
        </w:tc>
      </w:tr>
    </w:tbl>
    <w:p>
      <w:pPr>
        <w:spacing w:after="20" w:before="0" w:line="120" w:lineRule="auto"/>
      </w:pPr>
      <w:r>
        <w:rPr>
          <w:rFonts w:ascii="Times New Roman" w:hAnsi="Times New Roman" w:eastAsia="Times New Roman"/>
          <w:sz w:val="2"/>
        </w:rPr>
        <w:t xml:space="preserve"> </w:t>
      </w:r>
    </w:p>
    <w:p>
      <w:pPr>
        <w:keepNext/>
        <w:keepLines w:val="0"/>
        <w:widowControl/>
        <w:spacing w:before="70" w:after="30" w:line="240" w:lineRule="auto"/>
        <w:jc w:val="left"/>
      </w:pPr>
      <w:r>
        <w:rPr>
          <w:rFonts w:ascii="Times New Roman" w:hAnsi="Times New Roman" w:eastAsia="Times New Roman"/>
          <w:b/>
          <w:i/>
          <w:sz w:val="18"/>
        </w:rPr>
        <w:t>E. Formal Objective and Prediction Rule</w:t>
      </w:r>
    </w:p>
    <w:p>
      <w:pPr>
        <w:keepNext w:val="0"/>
        <w:keepLines w:val="0"/>
        <w:widowControl/>
        <w:spacing w:before="0" w:after="60" w:line="240" w:lineRule="auto"/>
        <w:ind w:firstLine="173"/>
        <w:jc w:val="both"/>
      </w:pPr>
      <w:r>
        <w:rPr>
          <w:rFonts w:ascii="Times New Roman" w:hAnsi="Times New Roman" w:eastAsia="Times New Roman"/>
          <w:sz w:val="18"/>
        </w:rPr>
        <w:t>Let xᵢ denote the normalized title-and-body text of article i, and let yᵢ ∈ {0,1} be its dataset label, where 0 represents fake and 1 represents real. Tokenization converts xᵢ into a bounded sequence of token IDs and attention-mask values. A sequence-classification model with parameters θ produces two logits, one for each class. The softmax operation converts the logits into class scores pᵢ,c, and the predicted label is the class with the largest score. During fine-tuning, the classifier minimizes cross-entropy across the training examples. The equations below formalize the standard two-class objective associated with this model family; they describe the task and do not indicate that any additional experiment was run.</w:t>
      </w:r>
    </w:p>
    <w:p>
      <w:pPr>
        <w:keepNext w:val="0"/>
        <w:keepLines/>
        <w:widowControl/>
        <w:spacing w:before="20" w:after="40" w:line="240" w:lineRule="auto"/>
        <w:jc w:val="center"/>
      </w:pPr>
      <w:r>
        <w:rPr>
          <w:rFonts w:ascii="Times New Roman" w:hAnsi="Times New Roman" w:eastAsia="Times New Roman"/>
          <w:sz w:val="17"/>
        </w:rPr>
        <w:t>pᵢ,c = exp(zᵢ,c) / [exp(zᵢ,0) + exp(zᵢ,1)],    c ∈ {0, 1}    (1)</w:t>
      </w:r>
    </w:p>
    <w:p>
      <w:pPr>
        <w:keepNext w:val="0"/>
        <w:keepLines/>
        <w:widowControl/>
        <w:spacing w:before="20" w:after="40" w:line="240" w:lineRule="auto"/>
        <w:jc w:val="center"/>
      </w:pPr>
      <w:r>
        <w:rPr>
          <w:rFonts w:ascii="Times New Roman" w:hAnsi="Times New Roman" w:eastAsia="Times New Roman"/>
          <w:sz w:val="17"/>
        </w:rPr>
        <w:t>L(θ) = −(1/N) Σᵢ₌₁ᴺ Σ꜀₌₀¹ yᵢ,c log(pᵢ,c),    ŷᵢ = arg max꜀ pᵢ,c    (2)</w:t>
      </w:r>
    </w:p>
    <w:p>
      <w:pPr>
        <w:keepNext w:val="0"/>
        <w:keepLines w:val="0"/>
        <w:widowControl/>
        <w:spacing w:before="0" w:after="60" w:line="240" w:lineRule="auto"/>
        <w:ind w:firstLine="173"/>
        <w:jc w:val="both"/>
      </w:pPr>
      <w:r>
        <w:rPr>
          <w:rFonts w:ascii="Times New Roman" w:hAnsi="Times New Roman" w:eastAsia="Times New Roman"/>
          <w:sz w:val="18"/>
        </w:rPr>
        <w:t>Here zᵢ,c is the logit for class c, pᵢ,c is its softmax score, yᵢ,c is the one-hot target indicator, N is the number of training examples, and ŷᵢ is the predicted class. At evaluation time, the predicted label is compared with the stored dataset label to compute the confusion matrix and classification metrics. A correct prediction means agreement with the ISOT annotation, not independent verification of the article's factual claims.</w:t>
      </w:r>
    </w:p>
    <w:p>
      <w:pPr>
        <w:keepNext/>
        <w:keepLines w:val="0"/>
        <w:widowControl/>
        <w:spacing w:before="100" w:after="60" w:line="240" w:lineRule="auto"/>
        <w:jc w:val="center"/>
      </w:pPr>
      <w:r>
        <w:rPr>
          <w:rFonts w:ascii="Times New Roman" w:hAnsi="Times New Roman" w:eastAsia="Times New Roman"/>
          <w:b/>
          <w:smallCaps/>
          <w:sz w:val="20"/>
        </w:rPr>
        <w:t>IV. EXPERIMENTAL RESULTS</w:t>
      </w:r>
    </w:p>
    <w:p>
      <w:pPr>
        <w:keepNext/>
        <w:keepLines w:val="0"/>
        <w:widowControl/>
        <w:spacing w:before="70" w:after="30" w:line="240" w:lineRule="auto"/>
        <w:jc w:val="left"/>
      </w:pPr>
      <w:r>
        <w:rPr>
          <w:rFonts w:ascii="Times New Roman" w:hAnsi="Times New Roman" w:eastAsia="Times New Roman"/>
          <w:b/>
          <w:i/>
          <w:sz w:val="18"/>
        </w:rPr>
        <w:t>A. Computational Environment</w:t>
      </w:r>
    </w:p>
    <w:p>
      <w:pPr>
        <w:keepNext w:val="0"/>
        <w:keepLines w:val="0"/>
        <w:widowControl/>
        <w:spacing w:before="0" w:after="60" w:line="240" w:lineRule="auto"/>
        <w:ind w:firstLine="173"/>
        <w:jc w:val="both"/>
      </w:pPr>
      <w:r>
        <w:rPr>
          <w:rFonts w:ascii="Times New Roman" w:hAnsi="Times New Roman" w:eastAsia="Times New Roman"/>
          <w:sz w:val="18"/>
        </w:rPr>
        <w:t>The saved installation output shows a Python 3.12 environment, Transformers 5.7.0, and PyTorch 2.10.0+cu128. The training arguments enable FP16, indicating an intended CUDA-capable execution path, but the notebook does not record an exact GPU model, CPU specification, or RAM amount for this run. Those details should be captured in any repeat experiment. The code imports Pandas, NumPy, scikit-learn, Matplotlib, Seaborn, WordCloud, SHAP, PyTorch, and Hugging Face Transformers. CountVectorizer is used to visualize frequent bigrams; no classical classifier such as Logistic Regression or SVM is trained in the supplied notebook.</w:t>
      </w:r>
    </w:p>
    <w:p>
      <w:pPr>
        <w:keepNext/>
        <w:keepLines w:val="0"/>
        <w:widowControl/>
        <w:spacing w:before="70" w:after="30" w:line="240" w:lineRule="auto"/>
        <w:jc w:val="left"/>
      </w:pPr>
      <w:r>
        <w:rPr>
          <w:rFonts w:ascii="Times New Roman" w:hAnsi="Times New Roman" w:eastAsia="Times New Roman"/>
          <w:b/>
          <w:i/>
          <w:sz w:val="18"/>
        </w:rPr>
        <w:t>B. Evaluation Metrics</w:t>
      </w:r>
    </w:p>
    <w:p>
      <w:pPr>
        <w:keepNext w:val="0"/>
        <w:keepLines w:val="0"/>
        <w:widowControl/>
        <w:spacing w:before="0" w:after="60" w:line="240" w:lineRule="auto"/>
        <w:ind w:firstLine="173"/>
        <w:jc w:val="both"/>
      </w:pPr>
      <w:r>
        <w:rPr>
          <w:rFonts w:ascii="Times New Roman" w:hAnsi="Times New Roman" w:eastAsia="Times New Roman"/>
          <w:sz w:val="18"/>
        </w:rPr>
        <w:t>Accuracy measures the fraction of correct predictions: (TP+TN)/(TP+TN+FP+FN). Precision is TP/(TP+FP) and measures the fraction of predicted positives that are correct. Recall is TP/(TP+FN) and measures the fraction of actual positives recovered. F1 is the harmonic mean, 2·Precision·Recall/(Precision+Recall). In the notebook's compute_metrics function, scikit-learn uses average='binary' without overriding pos_label, so label 1 (real news) is treated as the positive class. The metrics below must therefore not be described as fake-news precision/recall.</w:t>
      </w:r>
    </w:p>
    <w:p>
      <w:pPr>
        <w:keepNext/>
        <w:keepLines w:val="0"/>
        <w:widowControl/>
        <w:spacing w:before="70" w:after="30" w:line="240" w:lineRule="auto"/>
        <w:jc w:val="left"/>
      </w:pPr>
      <w:r>
        <w:rPr>
          <w:rFonts w:ascii="Times New Roman" w:hAnsi="Times New Roman" w:eastAsia="Times New Roman"/>
          <w:b/>
          <w:i/>
          <w:sz w:val="18"/>
        </w:rPr>
        <w:t>C. Direct BERT Test Results</w:t>
      </w:r>
    </w:p>
    <w:p>
      <w:pPr>
        <w:keepNext w:val="0"/>
        <w:keepLines w:val="0"/>
        <w:widowControl/>
        <w:spacing w:before="0" w:after="60" w:line="240" w:lineRule="auto"/>
        <w:ind w:firstLine="173"/>
        <w:jc w:val="both"/>
      </w:pPr>
      <w:r>
        <w:rPr>
          <w:rFonts w:ascii="Times New Roman" w:hAnsi="Times New Roman" w:eastAsia="Times New Roman"/>
          <w:sz w:val="18"/>
        </w:rPr>
        <w:t>The explicit output of trainer_bert.evaluate() reports eval_accuracy=0.998125, eval_precision=0.997745, eval_recall=0.998871, and eval_f1=0.998308. The test set contains 1,600 articles. The BERT confusion matrix shown in the notebook reports 712 fake articles correctly classified as fake, two fake articles classified as real, one real article classified as fake, and 885 real articles classified correctly. Thus 1,597 out of 1,600 examples are correct, consistent with 99.8125% accuracy.</w:t>
        <w:br/>
        <w:br/>
        <w:t>The corresponding overall error rate is 3/1,600 = 0.1875%. For the fake class, derived directly from the confusion matrix, precision is 712/713 = 0.9986, recall is 712/714 = 0.9972, and F1 is 0.9979. For the real class, the direct Trainer output yields precision 0.9977, recall 0.9989, and F1 0.9983. The slightly lower fake-class recall means two fake-labeled articles were missed; for a screening tool intended to surface possibly misleading items, these false negatives deserve attention even when aggregate accuracy is high. One real article was incorrectly flagged as fake, illustrating the opposite cost: unnecessary human review or reputational harm if a prediction were treated as a definitive verdict.</w:t>
      </w:r>
    </w:p>
    <w:p>
      <w:pPr>
        <w:keepNext/>
        <w:keepLines w:val="0"/>
        <w:widowControl/>
        <w:spacing w:before="20" w:after="40" w:line="240" w:lineRule="auto"/>
        <w:jc w:val="center"/>
      </w:pPr>
      <w:r>
        <w:rPr>
          <w:rFonts w:ascii="Times New Roman" w:hAnsi="Times New Roman" w:eastAsia="Times New Roman"/>
          <w:smallCaps/>
          <w:sz w:val="14"/>
        </w:rPr>
        <w:t>TABLE III. CONFUSION MATRIX FOR BERT (ROWS = ACTUAL; COLUMNS = PREDICTED)</w:t>
      </w:r>
    </w:p>
    <w:tbl>
      <w:tblPr>
        <w:tblW w:type="dxa" w:w="4924"/>
        <w:jc w:val="center"/>
        <w:tblLayout w:type="fixed"/>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1468"/>
        <w:gridCol w:w="1123"/>
        <w:gridCol w:w="1123"/>
        <w:gridCol w:w="1209"/>
      </w:tblGrid>
      <w:tr>
        <w:trPr>
          <w:tblHeader w:val="true"/>
          <w:cantSplit/>
        </w:trPr>
        <w:tc>
          <w:tcPr>
            <w:tcW w:type="dxa" w:w="1469"/>
            <w:vAlign w:val="center"/>
            <w:shd w:fill="E9E9E9"/>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b/>
                <w:sz w:val="14"/>
              </w:rPr>
              <w:t>Actual class</w:t>
            </w:r>
          </w:p>
        </w:tc>
        <w:tc>
          <w:tcPr>
            <w:tcW w:type="dxa" w:w="1123"/>
            <w:vAlign w:val="center"/>
            <w:shd w:fill="E9E9E9"/>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b/>
                <w:sz w:val="14"/>
              </w:rPr>
              <w:t>Predicted fake</w:t>
            </w:r>
          </w:p>
        </w:tc>
        <w:tc>
          <w:tcPr>
            <w:tcW w:type="dxa" w:w="1123"/>
            <w:vAlign w:val="center"/>
            <w:shd w:fill="E9E9E9"/>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b/>
                <w:sz w:val="14"/>
              </w:rPr>
              <w:t>Predicted real</w:t>
            </w:r>
          </w:p>
        </w:tc>
        <w:tc>
          <w:tcPr>
            <w:tcW w:type="dxa" w:w="1210"/>
            <w:vAlign w:val="center"/>
            <w:shd w:fill="E9E9E9"/>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b/>
                <w:sz w:val="14"/>
              </w:rPr>
              <w:t>Total</w:t>
            </w:r>
          </w:p>
        </w:tc>
      </w:tr>
      <w:tr>
        <w:trPr>
          <w:cantSplit/>
        </w:trPr>
        <w:tc>
          <w:tcPr>
            <w:tcW w:type="dxa" w:w="1469"/>
            <w:vAlign w:val="center"/>
            <w:tcMar>
              <w:top w:w="35" w:type="dxa"/>
              <w:start w:w="55" w:type="dxa"/>
              <w:bottom w:w="35" w:type="dxa"/>
              <w:end w:w="55" w:type="dxa"/>
            </w:tcMar>
          </w:tcPr>
          <w:p>
            <w:pPr>
              <w:keepNext w:val="0"/>
              <w:keepLines w:val="0"/>
              <w:widowControl/>
              <w:spacing w:before="0" w:after="0" w:line="240" w:lineRule="auto"/>
              <w:jc w:val="left"/>
            </w:pPr>
            <w:r>
              <w:rPr>
                <w:rFonts w:ascii="Times New Roman" w:hAnsi="Times New Roman" w:eastAsia="Times New Roman"/>
                <w:sz w:val="14"/>
              </w:rPr>
              <w:t>Fake (0)</w:t>
            </w:r>
          </w:p>
        </w:tc>
        <w:tc>
          <w:tcPr>
            <w:tcW w:type="dxa" w:w="1123"/>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4"/>
              </w:rPr>
              <w:t>712</w:t>
            </w:r>
          </w:p>
        </w:tc>
        <w:tc>
          <w:tcPr>
            <w:tcW w:type="dxa" w:w="1123"/>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4"/>
              </w:rPr>
              <w:t>2</w:t>
            </w:r>
          </w:p>
        </w:tc>
        <w:tc>
          <w:tcPr>
            <w:tcW w:type="dxa" w:w="1210"/>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4"/>
              </w:rPr>
              <w:t>714</w:t>
            </w:r>
          </w:p>
        </w:tc>
      </w:tr>
      <w:tr>
        <w:trPr>
          <w:cantSplit/>
        </w:trPr>
        <w:tc>
          <w:tcPr>
            <w:tcW w:type="dxa" w:w="1469"/>
            <w:vAlign w:val="center"/>
            <w:tcMar>
              <w:top w:w="35" w:type="dxa"/>
              <w:start w:w="55" w:type="dxa"/>
              <w:bottom w:w="35" w:type="dxa"/>
              <w:end w:w="55" w:type="dxa"/>
            </w:tcMar>
          </w:tcPr>
          <w:p>
            <w:pPr>
              <w:keepNext w:val="0"/>
              <w:keepLines w:val="0"/>
              <w:widowControl/>
              <w:spacing w:before="0" w:after="0" w:line="240" w:lineRule="auto"/>
              <w:jc w:val="left"/>
            </w:pPr>
            <w:r>
              <w:rPr>
                <w:rFonts w:ascii="Times New Roman" w:hAnsi="Times New Roman" w:eastAsia="Times New Roman"/>
                <w:sz w:val="14"/>
              </w:rPr>
              <w:t>Real (1)</w:t>
            </w:r>
          </w:p>
        </w:tc>
        <w:tc>
          <w:tcPr>
            <w:tcW w:type="dxa" w:w="1123"/>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4"/>
              </w:rPr>
              <w:t>1</w:t>
            </w:r>
          </w:p>
        </w:tc>
        <w:tc>
          <w:tcPr>
            <w:tcW w:type="dxa" w:w="1123"/>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4"/>
              </w:rPr>
              <w:t>885</w:t>
            </w:r>
          </w:p>
        </w:tc>
        <w:tc>
          <w:tcPr>
            <w:tcW w:type="dxa" w:w="1210"/>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4"/>
              </w:rPr>
              <w:t>886</w:t>
            </w:r>
          </w:p>
        </w:tc>
      </w:tr>
      <w:tr>
        <w:trPr>
          <w:cantSplit/>
        </w:trPr>
        <w:tc>
          <w:tcPr>
            <w:tcW w:type="dxa" w:w="1469"/>
            <w:vAlign w:val="center"/>
            <w:tcMar>
              <w:top w:w="35" w:type="dxa"/>
              <w:start w:w="55" w:type="dxa"/>
              <w:bottom w:w="35" w:type="dxa"/>
              <w:end w:w="55" w:type="dxa"/>
            </w:tcMar>
          </w:tcPr>
          <w:p>
            <w:pPr>
              <w:keepNext w:val="0"/>
              <w:keepLines w:val="0"/>
              <w:widowControl/>
              <w:spacing w:before="0" w:after="0" w:line="240" w:lineRule="auto"/>
              <w:jc w:val="left"/>
            </w:pPr>
            <w:r>
              <w:rPr>
                <w:rFonts w:ascii="Times New Roman" w:hAnsi="Times New Roman" w:eastAsia="Times New Roman"/>
                <w:sz w:val="14"/>
              </w:rPr>
              <w:t>Total</w:t>
            </w:r>
          </w:p>
        </w:tc>
        <w:tc>
          <w:tcPr>
            <w:tcW w:type="dxa" w:w="1123"/>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4"/>
              </w:rPr>
              <w:t>713</w:t>
            </w:r>
          </w:p>
        </w:tc>
        <w:tc>
          <w:tcPr>
            <w:tcW w:type="dxa" w:w="1123"/>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4"/>
              </w:rPr>
              <w:t>887</w:t>
            </w:r>
          </w:p>
        </w:tc>
        <w:tc>
          <w:tcPr>
            <w:tcW w:type="dxa" w:w="1210"/>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4"/>
              </w:rPr>
              <w:t>1,600</w:t>
            </w:r>
          </w:p>
        </w:tc>
      </w:tr>
    </w:tbl>
    <w:p>
      <w:pPr>
        <w:spacing w:after="20" w:before="0" w:line="120" w:lineRule="auto"/>
      </w:pPr>
      <w:r>
        <w:rPr>
          <w:rFonts w:ascii="Times New Roman" w:hAnsi="Times New Roman" w:eastAsia="Times New Roman"/>
          <w:sz w:val="2"/>
        </w:rPr>
        <w:t xml:space="preserve"> </w:t>
      </w:r>
    </w:p>
    <w:p>
      <w:pPr>
        <w:spacing w:before="0" w:after="0"/>
      </w:pPr>
      <w:r>
        <w:br w:type="column"/>
      </w:r>
    </w:p>
    <w:p>
      <w:pPr>
        <w:keepNext/>
        <w:keepLines w:val="0"/>
        <w:widowControl/>
        <w:spacing w:before="20" w:after="40" w:line="240" w:lineRule="auto"/>
        <w:jc w:val="center"/>
      </w:pPr>
      <w:r>
        <w:rPr>
          <w:rFonts w:ascii="Times New Roman" w:hAnsi="Times New Roman" w:eastAsia="Times New Roman"/>
          <w:smallCaps/>
          <w:sz w:val="14"/>
        </w:rPr>
        <w:t>TABLE IV. DIRECT BERT METRICS AND TRACEABILITY STATUS</w:t>
      </w:r>
    </w:p>
    <w:tbl>
      <w:tblPr>
        <w:tblW w:type="dxa" w:w="4924"/>
        <w:jc w:val="center"/>
        <w:tblLayout w:type="fixed"/>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1699"/>
        <w:gridCol w:w="806"/>
        <w:gridCol w:w="806"/>
        <w:gridCol w:w="806"/>
        <w:gridCol w:w="806"/>
      </w:tblGrid>
      <w:tr>
        <w:trPr>
          <w:tblHeader w:val="true"/>
          <w:cantSplit/>
        </w:trPr>
        <w:tc>
          <w:tcPr>
            <w:tcW w:type="dxa" w:w="1699"/>
            <w:vAlign w:val="center"/>
            <w:shd w:fill="E9E9E9"/>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b/>
                <w:sz w:val="14"/>
              </w:rPr>
              <w:t>Model/output</w:t>
            </w:r>
          </w:p>
        </w:tc>
        <w:tc>
          <w:tcPr>
            <w:tcW w:type="dxa" w:w="806"/>
            <w:vAlign w:val="center"/>
            <w:shd w:fill="E9E9E9"/>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b/>
                <w:sz w:val="14"/>
              </w:rPr>
              <w:t>Accuracy</w:t>
            </w:r>
          </w:p>
        </w:tc>
        <w:tc>
          <w:tcPr>
            <w:tcW w:type="dxa" w:w="806"/>
            <w:vAlign w:val="center"/>
            <w:shd w:fill="E9E9E9"/>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b/>
                <w:sz w:val="14"/>
              </w:rPr>
              <w:t>Precision</w:t>
            </w:r>
          </w:p>
        </w:tc>
        <w:tc>
          <w:tcPr>
            <w:tcW w:type="dxa" w:w="806"/>
            <w:vAlign w:val="center"/>
            <w:shd w:fill="E9E9E9"/>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b/>
                <w:sz w:val="14"/>
              </w:rPr>
              <w:t>Recall</w:t>
            </w:r>
          </w:p>
        </w:tc>
        <w:tc>
          <w:tcPr>
            <w:tcW w:type="dxa" w:w="806"/>
            <w:vAlign w:val="center"/>
            <w:shd w:fill="E9E9E9"/>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b/>
                <w:sz w:val="14"/>
              </w:rPr>
              <w:t>F1</w:t>
            </w:r>
          </w:p>
        </w:tc>
      </w:tr>
      <w:tr>
        <w:trPr>
          <w:cantSplit/>
        </w:trPr>
        <w:tc>
          <w:tcPr>
            <w:tcW w:type="dxa" w:w="1699"/>
            <w:vAlign w:val="center"/>
            <w:tcMar>
              <w:top w:w="35" w:type="dxa"/>
              <w:start w:w="55" w:type="dxa"/>
              <w:bottom w:w="35" w:type="dxa"/>
              <w:end w:w="55" w:type="dxa"/>
            </w:tcMar>
          </w:tcPr>
          <w:p>
            <w:pPr>
              <w:keepNext w:val="0"/>
              <w:keepLines w:val="0"/>
              <w:widowControl/>
              <w:spacing w:before="0" w:after="0" w:line="240" w:lineRule="auto"/>
              <w:jc w:val="left"/>
            </w:pPr>
            <w:r>
              <w:rPr>
                <w:rFonts w:ascii="Times New Roman" w:hAnsi="Times New Roman" w:eastAsia="Times New Roman"/>
                <w:sz w:val="14"/>
              </w:rPr>
              <w:t>BERT evaluate()</w:t>
            </w:r>
          </w:p>
        </w:tc>
        <w:tc>
          <w:tcPr>
            <w:tcW w:type="dxa" w:w="806"/>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4"/>
              </w:rPr>
              <w:t>0.9981</w:t>
            </w:r>
          </w:p>
        </w:tc>
        <w:tc>
          <w:tcPr>
            <w:tcW w:type="dxa" w:w="806"/>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4"/>
              </w:rPr>
              <w:t>0.9977</w:t>
            </w:r>
          </w:p>
        </w:tc>
        <w:tc>
          <w:tcPr>
            <w:tcW w:type="dxa" w:w="806"/>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4"/>
              </w:rPr>
              <w:t>0.9989</w:t>
            </w:r>
          </w:p>
        </w:tc>
        <w:tc>
          <w:tcPr>
            <w:tcW w:type="dxa" w:w="806"/>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4"/>
              </w:rPr>
              <w:t>0.9983</w:t>
            </w:r>
          </w:p>
        </w:tc>
      </w:tr>
      <w:tr>
        <w:trPr>
          <w:cantSplit/>
        </w:trPr>
        <w:tc>
          <w:tcPr>
            <w:tcW w:type="dxa" w:w="1699"/>
            <w:vAlign w:val="center"/>
            <w:tcMar>
              <w:top w:w="35" w:type="dxa"/>
              <w:start w:w="55" w:type="dxa"/>
              <w:bottom w:w="35" w:type="dxa"/>
              <w:end w:w="55" w:type="dxa"/>
            </w:tcMar>
          </w:tcPr>
          <w:p>
            <w:pPr>
              <w:keepNext w:val="0"/>
              <w:keepLines w:val="0"/>
              <w:widowControl/>
              <w:spacing w:before="0" w:after="0" w:line="240" w:lineRule="auto"/>
              <w:jc w:val="left"/>
            </w:pPr>
            <w:r>
              <w:rPr>
                <w:rFonts w:ascii="Times New Roman" w:hAnsi="Times New Roman" w:eastAsia="Times New Roman"/>
                <w:sz w:val="14"/>
              </w:rPr>
              <w:t>DistilBERT evaluate()</w:t>
            </w:r>
          </w:p>
        </w:tc>
        <w:tc>
          <w:tcPr>
            <w:tcW w:type="dxa" w:w="806"/>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4"/>
              </w:rPr>
              <w:t>Not printed</w:t>
            </w:r>
          </w:p>
        </w:tc>
        <w:tc>
          <w:tcPr>
            <w:tcW w:type="dxa" w:w="806"/>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4"/>
              </w:rPr>
              <w:t>Not printed</w:t>
            </w:r>
          </w:p>
        </w:tc>
        <w:tc>
          <w:tcPr>
            <w:tcW w:type="dxa" w:w="806"/>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4"/>
              </w:rPr>
              <w:t>Not printed</w:t>
            </w:r>
          </w:p>
        </w:tc>
        <w:tc>
          <w:tcPr>
            <w:tcW w:type="dxa" w:w="806"/>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4"/>
              </w:rPr>
              <w:t>Not printed</w:t>
            </w:r>
          </w:p>
        </w:tc>
      </w:tr>
    </w:tbl>
    <w:p>
      <w:pPr>
        <w:spacing w:after="20" w:before="0" w:line="120" w:lineRule="auto"/>
      </w:pPr>
      <w:r>
        <w:rPr>
          <w:rFonts w:ascii="Times New Roman" w:hAnsi="Times New Roman" w:eastAsia="Times New Roman"/>
          <w:sz w:val="2"/>
        </w:rPr>
        <w:t xml:space="preserve"> </w:t>
      </w:r>
    </w:p>
    <w:p>
      <w:pPr>
        <w:keepNext w:val="0"/>
        <w:keepLines w:val="0"/>
        <w:widowControl/>
        <w:spacing w:before="0" w:after="60" w:line="240" w:lineRule="auto"/>
        <w:ind w:firstLine="173"/>
        <w:jc w:val="both"/>
      </w:pPr>
      <w:r>
        <w:rPr>
          <w:rFonts w:ascii="Times New Roman" w:hAnsi="Times New Roman" w:eastAsia="Times New Roman"/>
          <w:sz w:val="18"/>
        </w:rPr>
        <w:t>The saved notebook also contains a later dataframe that prints BERT accuracy 0.999889 and DistilBERT accuracy 1.000000. However, the visible cells do not define the `results` dictionary used to create that dataframe, and the printed BERT metric conflicts with the direct evaluate() output above. Those values are not treated as verified results. The DistilBERT training call and evaluate() call appear in the notebook, but the numeric evaluation dictionary is not printed in the saved output. A final model ranking cannot be established from these recorded outputs alone.</w:t>
        <w:br/>
        <w:br/>
        <w:t>This report intentionally separates visible, traceable measurements from orphaned summary output. The difference is small for BERT in absolute terms, but the lack of provenance makes it impossible to know whether the summary came from the same sample, a prior model checkpoint, or a different run. Perfect accuracy for DistilBERT would also require individual predictions to be inspected, because an exact 1.0000 score can result from shortcut features in a dataset as well as a genuinely discriminative representation. The appropriate corrective action is not to choose the more flattering number; it is to rerun the notebook from a clean runtime and print `results_bert`, `results_distil`, each confusion matrix, and the test indices from the same execution.</w:t>
      </w:r>
    </w:p>
    <w:p>
      <w:pPr>
        <w:keepNext/>
        <w:keepLines w:val="0"/>
        <w:widowControl/>
        <w:spacing w:before="70" w:after="30" w:line="240" w:lineRule="auto"/>
        <w:jc w:val="left"/>
      </w:pPr>
      <w:r>
        <w:rPr>
          <w:rFonts w:ascii="Times New Roman" w:hAnsi="Times New Roman" w:eastAsia="Times New Roman"/>
          <w:b/>
          <w:i/>
          <w:sz w:val="18"/>
        </w:rPr>
        <w:t>D. Comparison with Prior Work</w:t>
      </w:r>
    </w:p>
    <w:p>
      <w:pPr>
        <w:keepNext w:val="0"/>
        <w:keepLines w:val="0"/>
        <w:widowControl/>
        <w:spacing w:before="0" w:after="60" w:line="240" w:lineRule="auto"/>
        <w:ind w:firstLine="173"/>
        <w:jc w:val="both"/>
      </w:pPr>
      <w:r>
        <w:rPr>
          <w:rFonts w:ascii="Times New Roman" w:hAnsi="Times New Roman" w:eastAsia="Times New Roman"/>
          <w:sz w:val="18"/>
        </w:rPr>
        <w:t>Published results provide context, but they are not a controlled baseline because datasets, labels, train/test protocols, preprocessing, and compute settings differ. FakeBERT reports 98.90% accuracy in its experimental setting [7]. Babu et al. report strong RoBERTa performance on FNC-1 but lower performance on LIAR, illustrating the effect of corpus difficulty and label structure [9]. Kuntur et al. found near-perfect transformer results on ISOT and WELFake but materially lower performance on FakeNewsNet, and they emphasize verification across datasets [12]. The previous project report separately recorded 98% BERT accuracy/F1 and 95% DistilBERT accuracy/F1 for a different configuration with more data and three epochs. Those earlier results are retained as prior-report context, not merged with the 8,000-record notebook run.</w:t>
      </w:r>
    </w:p>
    <w:p>
      <w:pPr>
        <w:keepNext/>
        <w:keepLines w:val="0"/>
        <w:widowControl/>
        <w:spacing w:before="20" w:after="40" w:line="240" w:lineRule="auto"/>
        <w:jc w:val="center"/>
      </w:pPr>
      <w:r>
        <w:rPr>
          <w:rFonts w:ascii="Times New Roman" w:hAnsi="Times New Roman" w:eastAsia="Times New Roman"/>
          <w:smallCaps/>
          <w:sz w:val="14"/>
        </w:rPr>
        <w:t>TABLE V. CONTEXTUAL COMPARISON WITH PUBLISHED AND PRIOR-REPORT RESULTS</w:t>
      </w:r>
    </w:p>
    <w:tbl>
      <w:tblPr>
        <w:tblW w:type="dxa" w:w="4924"/>
        <w:jc w:val="center"/>
        <w:tblLayout w:type="fixed"/>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1324"/>
        <w:gridCol w:w="979"/>
        <w:gridCol w:w="1267"/>
        <w:gridCol w:w="1353"/>
      </w:tblGrid>
      <w:tr>
        <w:trPr>
          <w:tblHeader w:val="true"/>
          <w:cantSplit/>
        </w:trPr>
        <w:tc>
          <w:tcPr>
            <w:tcW w:type="dxa" w:w="1325"/>
            <w:vAlign w:val="center"/>
            <w:shd w:fill="E9E9E9"/>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b/>
                <w:sz w:val="13"/>
              </w:rPr>
              <w:t>Study / setup</w:t>
            </w:r>
          </w:p>
        </w:tc>
        <w:tc>
          <w:tcPr>
            <w:tcW w:type="dxa" w:w="979"/>
            <w:vAlign w:val="center"/>
            <w:shd w:fill="E9E9E9"/>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b/>
                <w:sz w:val="13"/>
              </w:rPr>
              <w:t>Dataset</w:t>
            </w:r>
          </w:p>
        </w:tc>
        <w:tc>
          <w:tcPr>
            <w:tcW w:type="dxa" w:w="1267"/>
            <w:vAlign w:val="center"/>
            <w:shd w:fill="E9E9E9"/>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b/>
                <w:sz w:val="13"/>
              </w:rPr>
              <w:t>Reported result</w:t>
            </w:r>
          </w:p>
        </w:tc>
        <w:tc>
          <w:tcPr>
            <w:tcW w:type="dxa" w:w="1354"/>
            <w:vAlign w:val="center"/>
            <w:shd w:fill="E9E9E9"/>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b/>
                <w:sz w:val="13"/>
              </w:rPr>
              <w:t>Interpretation</w:t>
            </w:r>
          </w:p>
        </w:tc>
      </w:tr>
      <w:tr>
        <w:trPr>
          <w:cantSplit/>
        </w:trPr>
        <w:tc>
          <w:tcPr>
            <w:tcW w:type="dxa" w:w="1325"/>
            <w:vAlign w:val="center"/>
            <w:tcMar>
              <w:top w:w="35" w:type="dxa"/>
              <w:start w:w="55" w:type="dxa"/>
              <w:bottom w:w="35" w:type="dxa"/>
              <w:end w:w="55" w:type="dxa"/>
            </w:tcMar>
          </w:tcPr>
          <w:p>
            <w:pPr>
              <w:keepNext w:val="0"/>
              <w:keepLines w:val="0"/>
              <w:widowControl/>
              <w:spacing w:before="0" w:after="0" w:line="240" w:lineRule="auto"/>
              <w:jc w:val="left"/>
            </w:pPr>
            <w:r>
              <w:rPr>
                <w:rFonts w:ascii="Times New Roman" w:hAnsi="Times New Roman" w:eastAsia="Times New Roman"/>
                <w:sz w:val="13"/>
              </w:rPr>
              <w:t>FakeBERT [7]</w:t>
            </w:r>
          </w:p>
        </w:tc>
        <w:tc>
          <w:tcPr>
            <w:tcW w:type="dxa" w:w="979"/>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3"/>
              </w:rPr>
              <w:t>Study setting</w:t>
            </w:r>
          </w:p>
        </w:tc>
        <w:tc>
          <w:tcPr>
            <w:tcW w:type="dxa" w:w="1267"/>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3"/>
              </w:rPr>
              <w:t>98.90% accuracy</w:t>
            </w:r>
          </w:p>
        </w:tc>
        <w:tc>
          <w:tcPr>
            <w:tcW w:type="dxa" w:w="1354"/>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3"/>
              </w:rPr>
              <w:t>Different architecture and protocol</w:t>
            </w:r>
          </w:p>
        </w:tc>
      </w:tr>
      <w:tr>
        <w:trPr>
          <w:cantSplit/>
        </w:trPr>
        <w:tc>
          <w:tcPr>
            <w:tcW w:type="dxa" w:w="1325"/>
            <w:vAlign w:val="center"/>
            <w:tcMar>
              <w:top w:w="35" w:type="dxa"/>
              <w:start w:w="55" w:type="dxa"/>
              <w:bottom w:w="35" w:type="dxa"/>
              <w:end w:w="55" w:type="dxa"/>
            </w:tcMar>
          </w:tcPr>
          <w:p>
            <w:pPr>
              <w:keepNext w:val="0"/>
              <w:keepLines w:val="0"/>
              <w:widowControl/>
              <w:spacing w:before="0" w:after="0" w:line="240" w:lineRule="auto"/>
              <w:jc w:val="left"/>
            </w:pPr>
            <w:r>
              <w:rPr>
                <w:rFonts w:ascii="Times New Roman" w:hAnsi="Times New Roman" w:eastAsia="Times New Roman"/>
                <w:sz w:val="13"/>
              </w:rPr>
              <w:t>Babu et al. [9]</w:t>
            </w:r>
          </w:p>
        </w:tc>
        <w:tc>
          <w:tcPr>
            <w:tcW w:type="dxa" w:w="979"/>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3"/>
              </w:rPr>
              <w:t>FNC-1</w:t>
            </w:r>
          </w:p>
        </w:tc>
        <w:tc>
          <w:tcPr>
            <w:tcW w:type="dxa" w:w="1267"/>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3"/>
              </w:rPr>
              <w:t>RoBERTa: 97% accuracy</w:t>
            </w:r>
          </w:p>
        </w:tc>
        <w:tc>
          <w:tcPr>
            <w:tcW w:type="dxa" w:w="1354"/>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3"/>
              </w:rPr>
              <w:t>Not same dataset</w:t>
            </w:r>
          </w:p>
        </w:tc>
      </w:tr>
      <w:tr>
        <w:trPr>
          <w:cantSplit/>
        </w:trPr>
        <w:tc>
          <w:tcPr>
            <w:tcW w:type="dxa" w:w="1325"/>
            <w:vAlign w:val="center"/>
            <w:tcMar>
              <w:top w:w="35" w:type="dxa"/>
              <w:start w:w="55" w:type="dxa"/>
              <w:bottom w:w="35" w:type="dxa"/>
              <w:end w:w="55" w:type="dxa"/>
            </w:tcMar>
          </w:tcPr>
          <w:p>
            <w:pPr>
              <w:keepNext w:val="0"/>
              <w:keepLines w:val="0"/>
              <w:widowControl/>
              <w:spacing w:before="0" w:after="0" w:line="240" w:lineRule="auto"/>
              <w:jc w:val="left"/>
            </w:pPr>
            <w:r>
              <w:rPr>
                <w:rFonts w:ascii="Times New Roman" w:hAnsi="Times New Roman" w:eastAsia="Times New Roman"/>
                <w:sz w:val="13"/>
              </w:rPr>
              <w:t>Kuntur et al. [12]</w:t>
            </w:r>
          </w:p>
        </w:tc>
        <w:tc>
          <w:tcPr>
            <w:tcW w:type="dxa" w:w="979"/>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3"/>
              </w:rPr>
              <w:t>ISOT</w:t>
            </w:r>
          </w:p>
        </w:tc>
        <w:tc>
          <w:tcPr>
            <w:tcW w:type="dxa" w:w="1267"/>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3"/>
              </w:rPr>
              <w:t>RoBERTa: 99.99% accuracy</w:t>
            </w:r>
          </w:p>
        </w:tc>
        <w:tc>
          <w:tcPr>
            <w:tcW w:type="dxa" w:w="1354"/>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3"/>
              </w:rPr>
              <w:t>Reimplementation; source-bias caveat</w:t>
            </w:r>
          </w:p>
        </w:tc>
      </w:tr>
      <w:tr>
        <w:trPr>
          <w:cantSplit/>
        </w:trPr>
        <w:tc>
          <w:tcPr>
            <w:tcW w:type="dxa" w:w="1325"/>
            <w:vAlign w:val="center"/>
            <w:tcMar>
              <w:top w:w="35" w:type="dxa"/>
              <w:start w:w="55" w:type="dxa"/>
              <w:bottom w:w="35" w:type="dxa"/>
              <w:end w:w="55" w:type="dxa"/>
            </w:tcMar>
          </w:tcPr>
          <w:p>
            <w:pPr>
              <w:keepNext w:val="0"/>
              <w:keepLines w:val="0"/>
              <w:widowControl/>
              <w:spacing w:before="0" w:after="0" w:line="240" w:lineRule="auto"/>
              <w:jc w:val="left"/>
            </w:pPr>
            <w:r>
              <w:rPr>
                <w:rFonts w:ascii="Times New Roman" w:hAnsi="Times New Roman" w:eastAsia="Times New Roman"/>
                <w:sz w:val="13"/>
              </w:rPr>
              <w:t>Earlier report</w:t>
            </w:r>
          </w:p>
        </w:tc>
        <w:tc>
          <w:tcPr>
            <w:tcW w:type="dxa" w:w="979"/>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3"/>
              </w:rPr>
              <w:t>ISOT, larger run</w:t>
            </w:r>
          </w:p>
        </w:tc>
        <w:tc>
          <w:tcPr>
            <w:tcW w:type="dxa" w:w="1267"/>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3"/>
              </w:rPr>
              <w:t>BERT 98%; DistilBERT 95%</w:t>
            </w:r>
          </w:p>
        </w:tc>
        <w:tc>
          <w:tcPr>
            <w:tcW w:type="dxa" w:w="1354"/>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3"/>
              </w:rPr>
              <w:t>Different training configuration</w:t>
            </w:r>
          </w:p>
        </w:tc>
      </w:tr>
      <w:tr>
        <w:trPr>
          <w:cantSplit/>
        </w:trPr>
        <w:tc>
          <w:tcPr>
            <w:tcW w:type="dxa" w:w="1325"/>
            <w:vAlign w:val="center"/>
            <w:tcMar>
              <w:top w:w="35" w:type="dxa"/>
              <w:start w:w="55" w:type="dxa"/>
              <w:bottom w:w="35" w:type="dxa"/>
              <w:end w:w="55" w:type="dxa"/>
            </w:tcMar>
          </w:tcPr>
          <w:p>
            <w:pPr>
              <w:keepNext w:val="0"/>
              <w:keepLines w:val="0"/>
              <w:widowControl/>
              <w:spacing w:before="0" w:after="0" w:line="240" w:lineRule="auto"/>
              <w:jc w:val="left"/>
            </w:pPr>
            <w:r>
              <w:rPr>
                <w:rFonts w:ascii="Times New Roman" w:hAnsi="Times New Roman" w:eastAsia="Times New Roman"/>
                <w:sz w:val="13"/>
              </w:rPr>
              <w:t>Current direct output</w:t>
            </w:r>
          </w:p>
        </w:tc>
        <w:tc>
          <w:tcPr>
            <w:tcW w:type="dxa" w:w="979"/>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3"/>
              </w:rPr>
              <w:t>ISOT sample, n=8,000</w:t>
            </w:r>
          </w:p>
        </w:tc>
        <w:tc>
          <w:tcPr>
            <w:tcW w:type="dxa" w:w="1267"/>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3"/>
              </w:rPr>
              <w:t>BERT: 99.8125% accuracy</w:t>
            </w:r>
          </w:p>
        </w:tc>
        <w:tc>
          <w:tcPr>
            <w:tcW w:type="dxa" w:w="1354"/>
            <w:vAlign w:val="center"/>
            <w:tcMar>
              <w:top w:w="35" w:type="dxa"/>
              <w:start w:w="55" w:type="dxa"/>
              <w:bottom w:w="35" w:type="dxa"/>
              <w:end w:w="55" w:type="dxa"/>
            </w:tcMar>
          </w:tcPr>
          <w:p>
            <w:pPr>
              <w:keepNext w:val="0"/>
              <w:keepLines w:val="0"/>
              <w:widowControl/>
              <w:spacing w:before="0" w:after="0" w:line="240" w:lineRule="auto"/>
              <w:jc w:val="center"/>
            </w:pPr>
            <w:r>
              <w:rPr>
                <w:rFonts w:ascii="Times New Roman" w:hAnsi="Times New Roman" w:eastAsia="Times New Roman"/>
                <w:sz w:val="13"/>
              </w:rPr>
              <w:t>Direct evaluate() output</w:t>
            </w:r>
          </w:p>
        </w:tc>
      </w:tr>
    </w:tbl>
    <w:p>
      <w:pPr>
        <w:spacing w:after="20" w:before="0" w:line="120" w:lineRule="auto"/>
      </w:pPr>
      <w:r>
        <w:rPr>
          <w:rFonts w:ascii="Times New Roman" w:hAnsi="Times New Roman" w:eastAsia="Times New Roman"/>
          <w:sz w:val="2"/>
        </w:rPr>
        <w:t xml:space="preserve"> </w:t>
      </w:r>
    </w:p>
    <w:p>
      <w:pPr>
        <w:keepNext w:val="0"/>
        <w:keepLines w:val="0"/>
        <w:widowControl/>
        <w:spacing w:before="0" w:after="60" w:line="240" w:lineRule="auto"/>
        <w:ind w:firstLine="173"/>
        <w:jc w:val="both"/>
      </w:pPr>
      <w:r>
        <w:rPr>
          <w:rFonts w:ascii="Times New Roman" w:hAnsi="Times New Roman" w:eastAsia="Times New Roman"/>
          <w:sz w:val="18"/>
        </w:rPr>
        <w:t>The current notebook therefore demonstrates that BERT can separate the labels in this test subset with very few errors. The result should be interpreted as in-dataset classification performance, not proof of real-world truth detection. The class labels originate from the dataset's collection process; publisher-specific language, topics, and dates may serve as shortcuts. Cross-source and cross-dataset tests are required before concluding that the model generalizes [12]–[14].</w:t>
        <w:br/>
        <w:br/>
        <w:t>The previously submitted report and current notebook should not be averaged or treated as repeated runs of one experiment. The earlier report described a larger ISOT corpus and three training epochs, while the attached notebook explicitly samples 8,000 records and sets two epochs. Changes in sample size, data selection, preprocessing and training can change both the difficulty of the test examples and the learned decision boundary. Before presenting a final BERT-versus-DistilBERT claim, the same exact split should be used for both models, class-wise and macro metrics should be calculated in one script, and runtime and parameter counts should be reported beside accuracy. A simple TF-IDF Logistic Regression baseline and a linear SVM would help reveal whether the high score comes from contextual semantics or from lexical/source artifacts.</w:t>
      </w:r>
    </w:p>
    <w:p>
      <w:pPr>
        <w:keepNext w:val="0"/>
        <w:keepLines w:val="0"/>
        <w:widowControl/>
        <w:spacing w:before="0" w:after="60" w:line="240" w:lineRule="auto"/>
        <w:ind w:firstLine="173"/>
        <w:jc w:val="both"/>
      </w:pPr>
      <w:r>
        <w:rPr>
          <w:rFonts w:ascii="Times New Roman" w:hAnsi="Times New Roman" w:eastAsia="Times New Roman"/>
          <w:sz w:val="18"/>
        </w:rPr>
        <w:t>A fair numerical comparison must distinguish architecture effects from changes in experimental protocol. The 98% BERT and 95% DistilBERT values in the earlier report were produced under a larger-data, three-epoch setup; the current run sampled 8,000 examples and used two epochs. These values cannot be read as evidence that either model improved or regressed without rerunning them under matched conditions. The same principle applies to literature results: a figure reported for FNC-1, WELFake, or a custom dataset is useful context, but different label taxonomies and source mixtures make it unsuitable for direct ranking. A controlled benchmark should state the dataset version, sample counts, split method, class definition, model checkpoint, and whether scores come from an independent held-out set. Here, the most defensible comparison is between the current logged BERT result and the earlier report's context, with an explicit note that the DistilBERT result remains unverified.</w:t>
      </w:r>
    </w:p>
    <w:p>
      <w:pPr>
        <w:keepNext/>
        <w:keepLines w:val="0"/>
        <w:widowControl/>
        <w:spacing w:before="70" w:after="30" w:line="240" w:lineRule="auto"/>
        <w:jc w:val="left"/>
      </w:pPr>
      <w:r>
        <w:rPr>
          <w:rFonts w:ascii="Times New Roman" w:hAnsi="Times New Roman" w:eastAsia="Times New Roman"/>
          <w:b/>
          <w:i/>
          <w:sz w:val="18"/>
        </w:rPr>
        <w:t>E. Hyperparameter Tuning and Reproducibility</w:t>
      </w:r>
    </w:p>
    <w:p>
      <w:pPr>
        <w:keepNext w:val="0"/>
        <w:keepLines w:val="0"/>
        <w:widowControl/>
        <w:spacing w:before="0" w:after="60" w:line="240" w:lineRule="auto"/>
        <w:ind w:firstLine="173"/>
        <w:jc w:val="both"/>
      </w:pPr>
      <w:r>
        <w:rPr>
          <w:rFonts w:ascii="Times New Roman" w:hAnsi="Times New Roman" w:eastAsia="Times New Roman"/>
          <w:sz w:val="18"/>
        </w:rPr>
        <w:t>The supplied code uses a single configuration rather than grid search or random search. No validation-accuracy table for alternate learning rates, batch sizes, sequence lengths, or epoch counts is present. The settings in Table II should consequently be understood as the configuration used, not as an empirically optimized configuration. The notebook also disables model checkpoint saving and does not export the trained weights or prediction arrays as stable artifacts. For a final reproducible benchmark, the notebook should be run from a clean kernel, preserve the evaluation dictionaries for both models, save the confusion matrix for each, and record package versions and hardware. A validation split should be created within the training data, with the final test set held untouched until the chosen configuration is frozen.</w:t>
        <w:br/>
        <w:br/>
        <w:t>A suitable next experiment would test learning rates of 2×10⁻⁵, 3×10⁻⁵, and 5×10⁻⁵; batch sizes of 8 and 16 where memory permits; and two versus three epochs. The best setting should be chosen using validation macro-F1 or fake-class recall according to the intended review policy, not by repeatedly checking the test set. The final test results should be generated only once after model selection. This plan is proposed future work, not an experiment completed in the current notebook. Reproducibility also requires saving the exact dataset version and the list of sampled article identifiers, not only random_state=42, because the Kaggle dataset can be mirrored or updated separately from the code.</w:t>
      </w:r>
    </w:p>
    <w:p>
      <w:pPr>
        <w:keepNext/>
        <w:keepLines w:val="0"/>
        <w:widowControl/>
        <w:spacing w:before="70" w:after="30" w:line="240" w:lineRule="auto"/>
        <w:jc w:val="left"/>
      </w:pPr>
      <w:r>
        <w:rPr>
          <w:rFonts w:ascii="Times New Roman" w:hAnsi="Times New Roman" w:eastAsia="Times New Roman"/>
          <w:b/>
          <w:i/>
          <w:sz w:val="18"/>
        </w:rPr>
        <w:t>F. Limitations and Responsible Use</w:t>
      </w:r>
    </w:p>
    <w:p>
      <w:pPr>
        <w:keepNext w:val="0"/>
        <w:keepLines w:val="0"/>
        <w:widowControl/>
        <w:spacing w:before="0" w:after="60" w:line="240" w:lineRule="auto"/>
        <w:ind w:firstLine="173"/>
        <w:jc w:val="both"/>
      </w:pPr>
      <w:r>
        <w:rPr>
          <w:rFonts w:ascii="Times New Roman" w:hAnsi="Times New Roman" w:eastAsia="Times New Roman"/>
          <w:sz w:val="18"/>
        </w:rPr>
        <w:t>The dataset is English-language and mainly represents political/world news from around 2016–2017 [15]. The labels are binary and do not express degrees of uncertainty, satire, misleading framing, or partial factual error. The experiment is text-only: images, linked sources, author information, and social propagation features are not used. SHAP is imported but not executed, so the system does not explain which words influenced an individual prediction. The code's split-overlap check appears before the later visible split cell, and DistilBERT's numeric evaluation is not preserved in the visible output. Finally, the class imbalance in the test subset and the extremely high in-domain score motivate class-specific reporting and external evaluation. The classifier should be used to flag articles for human verification, never as the sole basis for content moderation or a claim of factual certainty.</w:t>
        <w:br/>
        <w:br/>
        <w:t>A further limitation is that removing punctuation and lowercasing may erase useful stylistic signals, while truncating at 256 tokens may omit evidence that appears late in a long article. Because the code concatenates title and body before truncation, the title is likely to remain, but long bodies can be cut off. Source labels also mean the task may partially learn to distinguish outlet identities rather than check whether a claim is supported. A more robust study should report performance when publisher identifiers are excluded or held out, test newer reporting and multiple topics, and manually inspect a sample of false positives and false negatives. Confidence thresholds, abstention for uncertain examples, and citations to supporting evidence would be needed before an operational system could be considered responsible.</w:t>
      </w:r>
    </w:p>
    <w:p>
      <w:pPr>
        <w:keepNext/>
        <w:keepLines w:val="0"/>
        <w:widowControl/>
        <w:spacing w:before="70" w:after="30" w:line="240" w:lineRule="auto"/>
        <w:jc w:val="left"/>
      </w:pPr>
      <w:r>
        <w:rPr>
          <w:rFonts w:ascii="Times New Roman" w:hAnsi="Times New Roman" w:eastAsia="Times New Roman"/>
          <w:b/>
          <w:i/>
          <w:sz w:val="18"/>
        </w:rPr>
        <w:t>G. Error Analysis and Decision Thresholds</w:t>
      </w:r>
    </w:p>
    <w:p>
      <w:pPr>
        <w:keepNext w:val="0"/>
        <w:keepLines w:val="0"/>
        <w:widowControl/>
        <w:spacing w:before="0" w:after="60" w:line="240" w:lineRule="auto"/>
        <w:ind w:firstLine="173"/>
        <w:jc w:val="both"/>
      </w:pPr>
      <w:r>
        <w:rPr>
          <w:rFonts w:ascii="Times New Roman" w:hAnsi="Times New Roman" w:eastAsia="Times New Roman"/>
          <w:sz w:val="18"/>
        </w:rPr>
        <w:t>The confusion matrix allows the observed errors to be interpreted by class rather than hidden inside a single accuracy value. Of the 714 fake-labeled articles, 712 were detected and two were classified as real, giving fake-class recall of 99.72%. Of the 886 real-labeled articles, 885 were classified correctly and one was flagged as fake, giving real-class recall of 99.89%. Derived fake-class precision is 99.86%, while real-class precision is 99.77%. These values are calculations from the saved matrix, not a second independent evaluation. Because the test set contains more real than fake examples, reporting accuracy alone would obscure the fact that a small number of false negatives remain. For a screening workflow, missing a potentially misleading story and unnecessarily flagging a reliable story have different consequences; the preferred operating point depends on whether recall, precision, reviewer capacity, or reputational harm is the primary concern.</w:t>
      </w:r>
    </w:p>
    <w:p>
      <w:pPr>
        <w:keepNext w:val="0"/>
        <w:keepLines w:val="0"/>
        <w:widowControl/>
        <w:spacing w:before="0" w:after="60" w:line="240" w:lineRule="auto"/>
        <w:ind w:firstLine="173"/>
        <w:jc w:val="both"/>
      </w:pPr>
      <w:r>
        <w:rPr>
          <w:rFonts w:ascii="Times New Roman" w:hAnsi="Times New Roman" w:eastAsia="Times New Roman"/>
          <w:sz w:val="18"/>
        </w:rPr>
        <w:t>The notebook's prediction helper applies argmax to the two class logits after softmax. This produces a class label but does not define a decision threshold selected for a human-review workload, and softmax scores should not be assumed to be calibrated probabilities. A future evaluation should retain class scores for every test example, plot precision-recall curves, assess calibration, and select a threshold on a validation set. It should also report both classes' precision and recall, macro-F1, and the confusion matrix for each architecture. A threshold can then be chosen to meet a stated policy, such as prioritizing fake-class recall while limiting the number of articles sent to human reviewers. No such threshold optimization or calibration experiment is recorded in the current notebook [10], [13].</w:t>
      </w:r>
    </w:p>
    <w:p>
      <w:pPr>
        <w:keepNext/>
        <w:keepLines w:val="0"/>
        <w:widowControl/>
        <w:spacing w:before="70" w:after="30" w:line="240" w:lineRule="auto"/>
        <w:jc w:val="left"/>
      </w:pPr>
      <w:r>
        <w:rPr>
          <w:rFonts w:ascii="Times New Roman" w:hAnsi="Times New Roman" w:eastAsia="Times New Roman"/>
          <w:b/>
          <w:i/>
          <w:sz w:val="18"/>
        </w:rPr>
        <w:t>H. Generalization and Follow-up Evaluation</w:t>
      </w:r>
    </w:p>
    <w:p>
      <w:pPr>
        <w:keepNext w:val="0"/>
        <w:keepLines w:val="0"/>
        <w:widowControl/>
        <w:spacing w:before="0" w:after="60" w:line="240" w:lineRule="auto"/>
        <w:ind w:firstLine="173"/>
        <w:jc w:val="both"/>
      </w:pPr>
      <w:r>
        <w:rPr>
          <w:rFonts w:ascii="Times New Roman" w:hAnsi="Times New Roman" w:eastAsia="Times New Roman"/>
          <w:sz w:val="18"/>
        </w:rPr>
        <w:t>The next evaluation should be designed to test whether the classifier has learned transferable indicators instead of collection-specific patterns. First, keep all articles from a publisher or domain on only one side of the split wherever source metadata permits; a publisher-held-out test is stricter than randomly splitting individual articles. Second, run a chronological test in which training examples precede the evaluation period, since vocabulary, topics, and reporting conventions change over time. Third, evaluate without changing the model on at least one distinct dataset, such as FakeNewsNet or WELFake, after mapping its labels carefully to the binary task. Such tests should be reported separately rather than pooled with ISOT scores because data sources and label definitions differ [5], [12], [13].</w:t>
      </w:r>
    </w:p>
    <w:p>
      <w:pPr>
        <w:keepNext w:val="0"/>
        <w:keepLines w:val="0"/>
        <w:widowControl/>
        <w:spacing w:before="0" w:after="60" w:line="240" w:lineRule="auto"/>
        <w:ind w:firstLine="173"/>
        <w:jc w:val="both"/>
      </w:pPr>
      <w:r>
        <w:rPr>
          <w:rFonts w:ascii="Times New Roman" w:hAnsi="Times New Roman" w:eastAsia="Times New Roman"/>
          <w:sz w:val="18"/>
        </w:rPr>
        <w:t>For each evaluation, the experiment should save dataset identifiers, train/validation/test indices, package versions, checkpoint names, seeds, class counts, prediction logits, and the complete metric dictionary. BERT and DistilBERT must use exactly the same partitions, and a TF-IDF baseline should be trained on those partitions to estimate the value added by contextual encoders. A manual review of false positives and false negatives would help identify whether errors involve satire, outdated stories, misleading headlines, or article-level source cues. The current run does not contain these analyses; they are proposed controls for a stronger follow-up study, not claimed accomplishments. This staged process would produce a more defensible comparison while keeping the final user-facing purpose modest: prioritize stories for evidence-based human review, not automatically label an article as true or false in an absolute sense.</w:t>
      </w:r>
    </w:p>
    <w:p>
      <w:pPr>
        <w:keepNext/>
        <w:keepLines w:val="0"/>
        <w:widowControl/>
        <w:spacing w:before="70" w:after="30" w:line="240" w:lineRule="auto"/>
        <w:jc w:val="left"/>
      </w:pPr>
      <w:r>
        <w:rPr>
          <w:rFonts w:ascii="Times New Roman" w:hAnsi="Times New Roman" w:eastAsia="Times New Roman"/>
          <w:b/>
          <w:i/>
          <w:sz w:val="18"/>
        </w:rPr>
        <w:t>I. Reporting Completeness and Interpretation</w:t>
      </w:r>
    </w:p>
    <w:p>
      <w:pPr>
        <w:keepNext w:val="0"/>
        <w:keepLines w:val="0"/>
        <w:widowControl/>
        <w:spacing w:before="0" w:after="60" w:line="240" w:lineRule="auto"/>
        <w:ind w:firstLine="173"/>
        <w:jc w:val="both"/>
      </w:pPr>
      <w:r>
        <w:rPr>
          <w:rFonts w:ascii="Times New Roman" w:hAnsi="Times New Roman" w:eastAsia="Times New Roman"/>
          <w:sz w:val="18"/>
        </w:rPr>
        <w:t>The strength of a machine-learning claim depends not only on the reported score but also on whether another person can trace it back to a defined dataset split and prediction file. The current BERT output can be audited: the confusion matrix totals 1,600 examples, its diagonal contains 1,597 correct predictions, and this equals the direct accuracy of 0.998125. The class-specific values calculated from that matrix are useful because the metric function treats label 1 (real news) as the positive class by default. In this report, fake-class precision and recall are therefore derived explicitly from the matrix instead of being incorrectly copied from the default binary metric output. This makes the label convention visible and avoids treating one class's metrics as if they described the other class.</w:t>
      </w:r>
    </w:p>
    <w:p>
      <w:pPr>
        <w:keepNext w:val="0"/>
        <w:keepLines w:val="0"/>
        <w:widowControl/>
        <w:spacing w:before="0" w:after="60" w:line="240" w:lineRule="auto"/>
        <w:ind w:firstLine="173"/>
        <w:jc w:val="both"/>
      </w:pPr>
      <w:r>
        <w:rPr>
          <w:rFonts w:ascii="Times New Roman" w:hAnsi="Times New Roman" w:eastAsia="Times New Roman"/>
          <w:sz w:val="18"/>
        </w:rPr>
        <w:t>The evidence still has limits. A single held-out partition gives one estimate under one sample and split; the saved notebook does not report variation across seeds, confidence intervals, or a separate validation set. The DistilBERT numeric metric dictionary is missing from the saved outputs, and the later summary dataframe is inconsistent with the direct BERT metric. For a verifiable release, the training script should save the sampled row identifiers, train/test indices, model checkpoint identifier, evaluation dictionary, class-wise report, confusion matrix, and prediction scores for both architectures to stable files. The report should then be regenerated from that same run. This audit trail would allow the team to reproduce every table, determine whether the group split actually has zero overlap, and compare model cost and performance without relying on notebook display state. These artifacts are recommendations for the next run; they are not claimed to exist in the current submission.</w:t>
      </w:r>
    </w:p>
    <w:p>
      <w:pPr>
        <w:keepNext/>
        <w:keepLines w:val="0"/>
        <w:widowControl/>
        <w:spacing w:before="100" w:after="60" w:line="240" w:lineRule="auto"/>
        <w:jc w:val="center"/>
      </w:pPr>
      <w:r>
        <w:rPr>
          <w:rFonts w:ascii="Times New Roman" w:hAnsi="Times New Roman" w:eastAsia="Times New Roman"/>
          <w:b/>
          <w:smallCaps/>
          <w:sz w:val="20"/>
        </w:rPr>
        <w:t>V. CONCLUSION</w:t>
      </w:r>
    </w:p>
    <w:p>
      <w:pPr>
        <w:keepNext w:val="0"/>
        <w:keepLines w:val="0"/>
        <w:widowControl/>
        <w:spacing w:before="0" w:after="60" w:line="240" w:lineRule="auto"/>
        <w:ind w:firstLine="173"/>
        <w:jc w:val="both"/>
      </w:pPr>
      <w:r>
        <w:rPr>
          <w:rFonts w:ascii="Times New Roman" w:hAnsi="Times New Roman" w:eastAsia="Times New Roman"/>
          <w:sz w:val="18"/>
        </w:rPr>
        <w:t>This project implements a transformer-based fake-news classification pipeline using BERT and DistilBERT with the ISOT Fake and Real News dataset. The notebook cleans article text, removes duplicates, samples 8,000 examples, configures a group-aware 80/20 split, tokenizes to 256 tokens, and fine-tunes both models for two epochs. The directly recorded BERT evaluation achieved 99.8125% accuracy and 0.9983 F1 for label 1 (real news), with three errors in a 1,600-article test set. A comparable DistilBERT score cannot be confirmed from the saved numeric outputs, and the later near-perfect comparison cell is inconsistent with the direct evaluation log. This evidence supports strong performance on the available ISOT test subset but does not establish robust real-world misinformation detection. Future work should rerun and preserve both evaluation outputs, test on source-held-out and external datasets, compare traditional baselines on the same split, tune hyperparameters on a separate validation set, and add explainability and calibration. The output should support human fact-checking rather than replace it.</w:t>
      </w:r>
    </w:p>
    <w:p>
      <w:pPr>
        <w:keepNext/>
        <w:keepLines w:val="0"/>
        <w:widowControl/>
        <w:spacing w:before="100" w:after="60" w:line="240" w:lineRule="auto"/>
        <w:jc w:val="center"/>
      </w:pPr>
      <w:r>
        <w:rPr>
          <w:rFonts w:ascii="Times New Roman" w:hAnsi="Times New Roman" w:eastAsia="Times New Roman"/>
          <w:b/>
          <w:smallCaps/>
          <w:sz w:val="20"/>
        </w:rPr>
        <w:t>REFERENCES</w:t>
      </w:r>
    </w:p>
    <w:p>
      <w:pPr>
        <w:keepNext w:val="0"/>
        <w:keepLines/>
        <w:widowControl/>
        <w:spacing w:before="0" w:after="20" w:line="230" w:lineRule="auto"/>
        <w:ind w:left="288" w:hanging="288"/>
        <w:jc w:val="left"/>
      </w:pPr>
      <w:r>
        <w:rPr>
          <w:rFonts w:ascii="Times New Roman" w:hAnsi="Times New Roman" w:eastAsia="Times New Roman"/>
          <w:sz w:val="15"/>
        </w:rPr>
        <w:t>[1] J. Devlin, M.-W. Chang, K. Lee, and K. Toutanova, “BERT: Pre-training of deep bidirectional transformers for language understanding,” in Proc. 2019 Conf. North American Chapter of the Association for Computational Linguistics: Human Language Technologies, Minneapolis, MN, USA, 2019, pp. 4171–4186, doi: 10.18653/v1/N19-1423.</w:t>
      </w:r>
    </w:p>
    <w:p>
      <w:pPr>
        <w:keepNext w:val="0"/>
        <w:keepLines/>
        <w:widowControl/>
        <w:spacing w:before="0" w:after="20" w:line="230" w:lineRule="auto"/>
        <w:ind w:left="288" w:hanging="288"/>
        <w:jc w:val="left"/>
      </w:pPr>
      <w:r>
        <w:rPr>
          <w:rFonts w:ascii="Times New Roman" w:hAnsi="Times New Roman" w:eastAsia="Times New Roman"/>
          <w:sz w:val="15"/>
        </w:rPr>
        <w:t>[2] V. Sanh, L. Debut, J. Chaumond, and T. Wolf, “DistilBERT, a distilled version of BERT: Smaller, faster, cheaper and lighter,” arXiv:1910.01108, 2019.</w:t>
      </w:r>
    </w:p>
    <w:p>
      <w:pPr>
        <w:keepNext w:val="0"/>
        <w:keepLines/>
        <w:widowControl/>
        <w:spacing w:before="0" w:after="20" w:line="230" w:lineRule="auto"/>
        <w:ind w:left="288" w:hanging="288"/>
        <w:jc w:val="left"/>
      </w:pPr>
      <w:r>
        <w:rPr>
          <w:rFonts w:ascii="Times New Roman" w:hAnsi="Times New Roman" w:eastAsia="Times New Roman"/>
          <w:sz w:val="15"/>
        </w:rPr>
        <w:t>[3] X. Zhou and R. Zafarani, “A survey of fake news: Fundamental theories, detection methods, and opportunities,” ACM Comput. Surv., vol. 53, no. 5, Art. no. 109, pp. 1–40, 2020, doi: 10.1145/3395046.</w:t>
      </w:r>
    </w:p>
    <w:p>
      <w:pPr>
        <w:keepNext w:val="0"/>
        <w:keepLines/>
        <w:widowControl/>
        <w:spacing w:before="0" w:after="20" w:line="230" w:lineRule="auto"/>
        <w:ind w:left="288" w:hanging="288"/>
        <w:jc w:val="left"/>
      </w:pPr>
      <w:r>
        <w:rPr>
          <w:rFonts w:ascii="Times New Roman" w:hAnsi="Times New Roman" w:eastAsia="Times New Roman"/>
          <w:sz w:val="15"/>
        </w:rPr>
        <w:t>[4] K. Shu, A. Sliva, S. Wang, J. Tang, and H. Liu, “Fake news detection on social media: A data mining perspective,” ACM SIGKDD Explor. Newsl., vol. 19, no. 1, pp. 22–36, 2017, doi: 10.1145/3137597.3137600.</w:t>
      </w:r>
    </w:p>
    <w:p>
      <w:pPr>
        <w:keepNext w:val="0"/>
        <w:keepLines/>
        <w:widowControl/>
        <w:spacing w:before="0" w:after="20" w:line="230" w:lineRule="auto"/>
        <w:ind w:left="288" w:hanging="288"/>
        <w:jc w:val="left"/>
      </w:pPr>
      <w:r>
        <w:rPr>
          <w:rFonts w:ascii="Times New Roman" w:hAnsi="Times New Roman" w:eastAsia="Times New Roman"/>
          <w:sz w:val="15"/>
        </w:rPr>
        <w:t>[5] K. Shu, D. Mahudeswaran, S. Wang, D. Lee, and H. Liu, “FakeNewsNet: A data repository with news content, social context, and spatiotemporal information for studying fake news on social media,” Big Data, vol. 8, no. 3, pp. 171–188, 2020, doi: 10.1089/big.2020.0062.</w:t>
      </w:r>
    </w:p>
    <w:p>
      <w:pPr>
        <w:keepNext w:val="0"/>
        <w:keepLines/>
        <w:widowControl/>
        <w:spacing w:before="0" w:after="20" w:line="230" w:lineRule="auto"/>
        <w:ind w:left="288" w:hanging="288"/>
        <w:jc w:val="left"/>
      </w:pPr>
      <w:r>
        <w:rPr>
          <w:rFonts w:ascii="Times New Roman" w:hAnsi="Times New Roman" w:eastAsia="Times New Roman"/>
          <w:sz w:val="15"/>
        </w:rPr>
        <w:t>[6] K. Nakamura, S. Levy, and W. Y. Wang, “Fakeddit: A new multimodal benchmark dataset for fine-grained fake news detection,” in Proc. 12th Language Resources and Evaluation Conf. (LREC), Marseille, France, 2020, pp. 6149–6157.</w:t>
      </w:r>
    </w:p>
    <w:p>
      <w:pPr>
        <w:keepNext w:val="0"/>
        <w:keepLines/>
        <w:widowControl/>
        <w:spacing w:before="0" w:after="20" w:line="230" w:lineRule="auto"/>
        <w:ind w:left="288" w:hanging="288"/>
        <w:jc w:val="left"/>
      </w:pPr>
      <w:r>
        <w:rPr>
          <w:rFonts w:ascii="Times New Roman" w:hAnsi="Times New Roman" w:eastAsia="Times New Roman"/>
          <w:sz w:val="15"/>
        </w:rPr>
        <w:t>[7] R. K. Kaliyar, A. Goswami, and P. Narang, “FakeBERT: Fake news detection in social media with a BERT-based deep learning approach,” Multimedia Tools Appl., vol. 80, no. 8, pp. 11765–11788, 2021, doi: 10.1007/s11042-020-10183-2.</w:t>
      </w:r>
    </w:p>
    <w:p>
      <w:pPr>
        <w:keepNext w:val="0"/>
        <w:keepLines/>
        <w:widowControl/>
        <w:spacing w:before="0" w:after="20" w:line="230" w:lineRule="auto"/>
        <w:ind w:left="288" w:hanging="288"/>
        <w:jc w:val="left"/>
      </w:pPr>
      <w:r>
        <w:rPr>
          <w:rFonts w:ascii="Times New Roman" w:hAnsi="Times New Roman" w:eastAsia="Times New Roman"/>
          <w:sz w:val="15"/>
        </w:rPr>
        <w:t>[8] J. F. Low, B. C. M. Fung, F. Iqbal, and S.-C. Huang, “Distinguishing between fake news and satire with transformers,” Expert Syst. Appl., vol. 187, Art. no. 115824, 2022, doi: 10.1016/j.eswa.2021.115824.</w:t>
      </w:r>
    </w:p>
    <w:p>
      <w:pPr>
        <w:keepNext w:val="0"/>
        <w:keepLines/>
        <w:widowControl/>
        <w:spacing w:before="0" w:after="20" w:line="230" w:lineRule="auto"/>
        <w:ind w:left="288" w:hanging="288"/>
        <w:jc w:val="left"/>
      </w:pPr>
      <w:r>
        <w:rPr>
          <w:rFonts w:ascii="Times New Roman" w:hAnsi="Times New Roman" w:eastAsia="Times New Roman"/>
          <w:sz w:val="15"/>
        </w:rPr>
        <w:t>[9] R. N. Babu, C.-H. Lung, and M. Zaman, “Performance evaluation of transformer-based NLP models on fake news detection datasets,” in Proc. IEEE 47th Annual Computers, Software, and Applications Conf. (COMPSAC), 2023, doi: 10.1109/COMPSAC57700.2023.00049.</w:t>
      </w:r>
    </w:p>
    <w:p>
      <w:pPr>
        <w:keepNext w:val="0"/>
        <w:keepLines/>
        <w:widowControl/>
        <w:spacing w:before="0" w:after="20" w:line="230" w:lineRule="auto"/>
        <w:ind w:left="288" w:hanging="288"/>
        <w:jc w:val="left"/>
      </w:pPr>
      <w:r>
        <w:rPr>
          <w:rFonts w:ascii="Times New Roman" w:hAnsi="Times New Roman" w:eastAsia="Times New Roman"/>
          <w:sz w:val="15"/>
        </w:rPr>
        <w:t>[10] A. B. Athira, S. D. M. Kumar, and A. M. Chacko, “A systematic survey on explainable AI applied to fake news detection,” Eng. Appl. Artif. Intell., vol. 122, Art. no. 106087, 2023, doi: 10.1016/j.engappai.2023.106087.</w:t>
      </w:r>
    </w:p>
    <w:p>
      <w:pPr>
        <w:keepNext w:val="0"/>
        <w:keepLines/>
        <w:widowControl/>
        <w:spacing w:before="0" w:after="20" w:line="230" w:lineRule="auto"/>
        <w:ind w:left="288" w:hanging="288"/>
        <w:jc w:val="left"/>
      </w:pPr>
      <w:r>
        <w:rPr>
          <w:rFonts w:ascii="Times New Roman" w:hAnsi="Times New Roman" w:eastAsia="Times New Roman"/>
          <w:sz w:val="15"/>
        </w:rPr>
        <w:t>[11] J. Alghamdi, S. Luo, and Y. Lin, “A comprehensive survey on machine learning approaches for fake news detection,” Multimedia Tools Appl., vol. 83, pp. 51009–51067, 2024, doi: 10.1007/s11042-023-17470-8.</w:t>
      </w:r>
    </w:p>
    <w:p>
      <w:pPr>
        <w:keepNext w:val="0"/>
        <w:keepLines/>
        <w:widowControl/>
        <w:spacing w:before="0" w:after="20" w:line="230" w:lineRule="auto"/>
        <w:ind w:left="288" w:hanging="288"/>
        <w:jc w:val="left"/>
      </w:pPr>
      <w:r>
        <w:rPr>
          <w:rFonts w:ascii="Times New Roman" w:hAnsi="Times New Roman" w:eastAsia="Times New Roman"/>
          <w:sz w:val="15"/>
        </w:rPr>
        <w:t>[12] S. Kuntur, M. Krzywda, A. Wróblewska, M. Paprzycki, and M. Ganzha, “Comparative analysis of graph neural networks and transformers for robust fake news detection: A verification and reimplementation study,” Electronics, vol. 13, no. 23, Art. no. 4784, 2024, doi: 10.3390/electronics13234784.</w:t>
      </w:r>
    </w:p>
    <w:p>
      <w:pPr>
        <w:keepNext w:val="0"/>
        <w:keepLines/>
        <w:widowControl/>
        <w:spacing w:before="0" w:after="20" w:line="230" w:lineRule="auto"/>
        <w:ind w:left="288" w:hanging="288"/>
        <w:jc w:val="left"/>
      </w:pPr>
      <w:r>
        <w:rPr>
          <w:rFonts w:ascii="Times New Roman" w:hAnsi="Times New Roman" w:eastAsia="Times New Roman"/>
          <w:sz w:val="15"/>
        </w:rPr>
        <w:t>[13] P. Bazmi, M. Asadpour, A. Shakery, and A. Maazallahi, “Entity-centric multi-domain transformer for improving generalization in fake news detection,” Inf. Process. Manag., vol. 61, no. 5, Art. no. 103807, 2024, doi: 10.1016/j.ipm.2024.103807.</w:t>
      </w:r>
    </w:p>
    <w:p>
      <w:pPr>
        <w:keepNext w:val="0"/>
        <w:keepLines/>
        <w:widowControl/>
        <w:spacing w:before="0" w:after="20" w:line="230" w:lineRule="auto"/>
        <w:ind w:left="288" w:hanging="288"/>
        <w:jc w:val="left"/>
      </w:pPr>
      <w:r>
        <w:rPr>
          <w:rFonts w:ascii="Times New Roman" w:hAnsi="Times New Roman" w:eastAsia="Times New Roman"/>
          <w:sz w:val="15"/>
        </w:rPr>
        <w:t>[14] Y. Kishi, Y. Arima, and H. Iyatomi, “Fake news detection strategies under dataset bias: Using large-scale coarse-grained labels,” in Proc. 19th Conf. European Chapter of the Association for Computational Linguistics, Student Research Workshop, Rabat, Morocco, 2026, pp. 612–621, doi: 10.18653/v1/2026.eacl-srw.47.</w:t>
      </w:r>
    </w:p>
    <w:p>
      <w:pPr>
        <w:keepNext w:val="0"/>
        <w:keepLines/>
        <w:widowControl/>
        <w:spacing w:before="0" w:after="20" w:line="230" w:lineRule="auto"/>
        <w:ind w:left="288" w:hanging="288"/>
        <w:jc w:val="left"/>
      </w:pPr>
      <w:r>
        <w:rPr>
          <w:rFonts w:ascii="Times New Roman" w:hAnsi="Times New Roman" w:eastAsia="Times New Roman"/>
          <w:sz w:val="15"/>
        </w:rPr>
        <w:t>[15] ISOT Research Group, University of Victoria, “ISOT Fake News Dataset: ReadMe,” 2023. [Online]. Available: https://onlineacademiccommunity.uvic.ca/isot/wp-content/uploads/sites/7295/2023/02/ISOT_Fake_News_Dataset_ReadMe.pdf</w:t>
      </w:r>
    </w:p>
    <w:p>
      <w:pPr>
        <w:keepNext w:val="0"/>
        <w:keepLines/>
        <w:widowControl/>
        <w:spacing w:before="0" w:after="20" w:line="230" w:lineRule="auto"/>
        <w:ind w:left="288" w:hanging="288"/>
        <w:jc w:val="left"/>
      </w:pPr>
      <w:r>
        <w:rPr>
          <w:rFonts w:ascii="Times New Roman" w:hAnsi="Times New Roman" w:eastAsia="Times New Roman"/>
          <w:sz w:val="15"/>
        </w:rPr>
        <w:t>[16] S. Vosoughi, D. Roy, and S. Aral, “The spread of true and false news online,” Science, vol. 359, no. 6380, pp. 1146–1151, 2018, doi: 10.1126/science.aap9559.</w:t>
      </w:r>
    </w:p>
    <w:p>
      <w:pPr>
        <w:keepNext w:val="0"/>
        <w:keepLines/>
        <w:widowControl/>
        <w:spacing w:before="0" w:after="20" w:line="230" w:lineRule="auto"/>
        <w:ind w:left="288" w:hanging="288"/>
        <w:jc w:val="left"/>
      </w:pPr>
      <w:r>
        <w:rPr>
          <w:rFonts w:ascii="Times New Roman" w:hAnsi="Times New Roman" w:eastAsia="Times New Roman"/>
          <w:sz w:val="15"/>
        </w:rPr>
        <w:t>[17] H. Allcott and M. Gentzkow, “Social media and fake news in the 2016 election,” J. Econ. Perspect., vol. 31, no. 2, pp. 211–236, 2017, doi: 10.1257/jep.31.2.211.</w:t>
      </w:r>
    </w:p>
    <w:p>
      <w:pPr>
        <w:keepNext w:val="0"/>
        <w:keepLines/>
        <w:widowControl/>
        <w:spacing w:before="0" w:after="20" w:line="230" w:lineRule="auto"/>
        <w:ind w:left="288" w:hanging="288"/>
        <w:jc w:val="left"/>
      </w:pPr>
      <w:r>
        <w:rPr>
          <w:rFonts w:ascii="Times New Roman" w:hAnsi="Times New Roman" w:eastAsia="Times New Roman"/>
          <w:sz w:val="15"/>
        </w:rPr>
        <w:t>[18] D. M. J. Lazer et al., “The science of fake news,” Science, vol. 359, no. 6380, pp. 1094–1096, 2018, doi: 10.1126/science.aao2998.</w:t>
      </w:r>
    </w:p>
    <w:p>
      <w:pPr>
        <w:sectPr>
          <w:type w:val="continuous"/>
          <w:pgSz w:w="12240" w:h="15840"/>
          <w:pgMar w:top="893" w:right="922" w:bottom="893" w:left="922" w:header="317" w:footer="317" w:gutter="0"/>
          <w:cols w:space="320" w:num="2" w:sep="0"/>
          <w:docGrid w:linePitch="360"/>
        </w:sectPr>
      </w:pPr>
    </w:p>
    <w:sectPr w:rsidR="00FC693F" w:rsidRPr="0006063C" w:rsidSect="00034616">
      <w:type w:val="continuous"/>
      <w:pgSz w:w="12240" w:h="15840"/>
      <w:pgMar w:top="893" w:right="922" w:bottom="893" w:left="922" w:header="317" w:footer="317" w:gutter="0"/>
      <w:cols w:space="320" w:num="1" w:sep="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Times New Roman" w:hAnsi="Times New Roman" w:eastAsia="Times New Roman"/>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Transformer-Based Fake News Detection Using BERT and DistilBERT</dc:title>
  <dc:subject>Final mini-project report in IEEE conference format</dc:subject>
  <dc:creator>Group 60 - Bennett University</dc:creator>
  <cp:keywords>fake news detection, BERT, DistilBERT, ISOT, IEEE report</cp:keywords>
  <dc:description>generated by python-docx</dc:description>
  <cp:lastModifiedBy/>
  <cp:revision>1</cp:revision>
  <dcterms:created xsi:type="dcterms:W3CDTF">2013-12-23T23:15:00Z</dcterms:created>
  <dcterms:modified xsi:type="dcterms:W3CDTF">2013-12-23T23:15:00Z</dcterms:modified>
  <cp:category/>
</cp:coreProperties>
</file>