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B382" w14:textId="22F164D6" w:rsidR="00880882" w:rsidRPr="001014A6" w:rsidRDefault="00412630" w:rsidP="00880882">
      <w:pPr>
        <w:spacing w:before="100" w:beforeAutospacing="1" w:after="100" w:afterAutospacing="1" w:line="240" w:lineRule="auto"/>
        <w:rPr>
          <w:rFonts w:eastAsia="Times New Roman" w:cstheme="minorHAnsi"/>
          <w:color w:val="FF0000"/>
          <w:lang w:eastAsia="en-GB"/>
        </w:rPr>
      </w:pPr>
      <w:r>
        <w:rPr>
          <w:rFonts w:eastAsia="Times New Roman" w:cstheme="minorHAnsi"/>
          <w:b/>
          <w:bCs/>
          <w:color w:val="FF0000"/>
          <w:lang w:eastAsia="en-GB"/>
        </w:rPr>
        <w:t>FINAL PRESENTATION</w:t>
      </w:r>
      <w:r w:rsidR="00880882" w:rsidRPr="001014A6">
        <w:rPr>
          <w:rFonts w:eastAsia="Times New Roman" w:cstheme="minorHAnsi"/>
          <w:b/>
          <w:bCs/>
          <w:color w:val="FF0000"/>
          <w:lang w:eastAsia="en-GB"/>
        </w:rPr>
        <w:t xml:space="preserve"> FOR </w:t>
      </w:r>
      <w:r w:rsidR="00705A17" w:rsidRPr="001014A6">
        <w:rPr>
          <w:rFonts w:eastAsia="Times New Roman" w:cstheme="minorHAnsi"/>
          <w:b/>
          <w:bCs/>
          <w:color w:val="FF0000"/>
          <w:lang w:eastAsia="en-GB"/>
        </w:rPr>
        <w:t xml:space="preserve">CREDIT </w:t>
      </w:r>
      <w:r w:rsidR="00880882" w:rsidRPr="001014A6">
        <w:rPr>
          <w:rFonts w:eastAsia="Times New Roman" w:cstheme="minorHAnsi"/>
          <w:b/>
          <w:bCs/>
          <w:color w:val="FF0000"/>
          <w:lang w:eastAsia="en-GB"/>
        </w:rPr>
        <w:t>ANALYST</w:t>
      </w:r>
    </w:p>
    <w:p w14:paraId="273A424B"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Good morning Darren,</w:t>
      </w:r>
    </w:p>
    <w:p w14:paraId="010DF657" w14:textId="77777777" w:rsidR="00880882" w:rsidRPr="001014A6" w:rsidRDefault="001014A6"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I am Joe Bloggs, and I work as a </w:t>
      </w:r>
      <w:r>
        <w:rPr>
          <w:rFonts w:eastAsia="Times New Roman" w:cstheme="minorHAnsi"/>
          <w:lang w:eastAsia="en-GB"/>
        </w:rPr>
        <w:t>C</w:t>
      </w:r>
      <w:r w:rsidRPr="001014A6">
        <w:rPr>
          <w:rFonts w:eastAsia="Times New Roman" w:cstheme="minorHAnsi"/>
          <w:lang w:eastAsia="en-GB"/>
        </w:rPr>
        <w:t xml:space="preserve">redit </w:t>
      </w:r>
      <w:r>
        <w:rPr>
          <w:rFonts w:eastAsia="Times New Roman" w:cstheme="minorHAnsi"/>
          <w:lang w:eastAsia="en-GB"/>
        </w:rPr>
        <w:t>A</w:t>
      </w:r>
      <w:r w:rsidRPr="001014A6">
        <w:rPr>
          <w:rFonts w:eastAsia="Times New Roman" w:cstheme="minorHAnsi"/>
          <w:lang w:eastAsia="en-GB"/>
        </w:rPr>
        <w:t>nalyst at Standard Chartered.</w:t>
      </w:r>
      <w:r w:rsidR="00880882" w:rsidRPr="001014A6">
        <w:rPr>
          <w:rFonts w:eastAsia="Times New Roman" w:cstheme="minorHAnsi"/>
          <w:lang w:eastAsia="en-GB"/>
        </w:rPr>
        <w:t xml:space="preserve"> As part of our </w:t>
      </w:r>
      <w:r w:rsidR="00B96494" w:rsidRPr="001014A6">
        <w:rPr>
          <w:rFonts w:eastAsia="Times New Roman" w:cstheme="minorHAnsi"/>
          <w:lang w:eastAsia="en-GB"/>
        </w:rPr>
        <w:t xml:space="preserve">annual review for Green Solutions Manufacturing Ltd, </w:t>
      </w:r>
      <w:r w:rsidR="003003D7" w:rsidRPr="001014A6">
        <w:rPr>
          <w:rFonts w:eastAsia="Times New Roman" w:cstheme="minorHAnsi"/>
          <w:lang w:eastAsia="en-GB"/>
        </w:rPr>
        <w:t xml:space="preserve">one of </w:t>
      </w:r>
      <w:r w:rsidR="00B96494" w:rsidRPr="001014A6">
        <w:rPr>
          <w:rFonts w:eastAsia="Times New Roman" w:cstheme="minorHAnsi"/>
          <w:lang w:eastAsia="en-GB"/>
        </w:rPr>
        <w:t>our long-standing client</w:t>
      </w:r>
      <w:r w:rsidR="00700DC8" w:rsidRPr="001014A6">
        <w:rPr>
          <w:rFonts w:eastAsia="Times New Roman" w:cstheme="minorHAnsi"/>
          <w:lang w:eastAsia="en-GB"/>
        </w:rPr>
        <w:t>s</w:t>
      </w:r>
      <w:r w:rsidR="00B96494" w:rsidRPr="001014A6">
        <w:rPr>
          <w:rFonts w:eastAsia="Times New Roman" w:cstheme="minorHAnsi"/>
          <w:lang w:eastAsia="en-GB"/>
        </w:rPr>
        <w:t xml:space="preserve"> specialising in eco-friendly </w:t>
      </w:r>
      <w:r w:rsidR="00B12B6C" w:rsidRPr="001014A6">
        <w:rPr>
          <w:rFonts w:eastAsia="Times New Roman" w:cstheme="minorHAnsi"/>
          <w:lang w:eastAsia="en-GB"/>
        </w:rPr>
        <w:t>sustainable drinkware</w:t>
      </w:r>
      <w:r w:rsidR="00B96494" w:rsidRPr="001014A6">
        <w:rPr>
          <w:rFonts w:eastAsia="Times New Roman" w:cstheme="minorHAnsi"/>
          <w:lang w:eastAsia="en-GB"/>
        </w:rPr>
        <w:t>,</w:t>
      </w:r>
      <w:r w:rsidR="00880882" w:rsidRPr="001014A6">
        <w:rPr>
          <w:rFonts w:eastAsia="Times New Roman" w:cstheme="minorHAnsi"/>
          <w:lang w:eastAsia="en-GB"/>
        </w:rPr>
        <w:t xml:space="preserve"> today I will be giving a short presentation on </w:t>
      </w:r>
      <w:r w:rsidR="00D11506">
        <w:rPr>
          <w:rFonts w:eastAsia="Times New Roman" w:cstheme="minorHAnsi"/>
          <w:lang w:eastAsia="en-GB"/>
        </w:rPr>
        <w:t>the client</w:t>
      </w:r>
      <w:r w:rsidR="00880882" w:rsidRPr="001014A6">
        <w:rPr>
          <w:rFonts w:eastAsia="Times New Roman" w:cstheme="minorHAnsi"/>
          <w:lang w:eastAsia="en-GB"/>
        </w:rPr>
        <w:t>, focusing on its financial position</w:t>
      </w:r>
      <w:r w:rsidR="00B96494" w:rsidRPr="001014A6">
        <w:rPr>
          <w:rFonts w:eastAsia="Times New Roman" w:cstheme="minorHAnsi"/>
          <w:lang w:eastAsia="en-GB"/>
        </w:rPr>
        <w:t xml:space="preserve"> and </w:t>
      </w:r>
      <w:r w:rsidR="00880882" w:rsidRPr="001014A6">
        <w:rPr>
          <w:rFonts w:eastAsia="Times New Roman" w:cstheme="minorHAnsi"/>
          <w:lang w:eastAsia="en-GB"/>
        </w:rPr>
        <w:t>industry trends.</w:t>
      </w:r>
    </w:p>
    <w:p w14:paraId="0FB018D6"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Introduction:</w:t>
      </w:r>
    </w:p>
    <w:p w14:paraId="71B58A2E" w14:textId="77777777" w:rsidR="003003D7" w:rsidRPr="001014A6" w:rsidRDefault="003003D7" w:rsidP="00EF6D69">
      <w:pPr>
        <w:spacing w:before="100" w:beforeAutospacing="1" w:after="100" w:afterAutospacing="1" w:line="240" w:lineRule="auto"/>
        <w:rPr>
          <w:rFonts w:eastAsia="Times New Roman" w:cstheme="minorHAnsi"/>
          <w:lang w:eastAsia="en-GB"/>
        </w:rPr>
      </w:pPr>
      <w:bookmarkStart w:id="0" w:name="_Hlk173218322"/>
      <w:r w:rsidRPr="001014A6">
        <w:rPr>
          <w:rFonts w:eastAsia="Times New Roman" w:cstheme="minorHAnsi"/>
          <w:lang w:eastAsia="en-GB"/>
        </w:rPr>
        <w:t>Green Solutions Manufacturing Ltd is a leading multinational manufacturer specialising in eco-friendly</w:t>
      </w:r>
      <w:r w:rsidR="00EF6D69" w:rsidRPr="001014A6">
        <w:rPr>
          <w:rFonts w:eastAsia="Times New Roman" w:cstheme="minorHAnsi"/>
          <w:lang w:eastAsia="en-GB"/>
        </w:rPr>
        <w:t xml:space="preserve"> drinkware (including reusable water bottles and coffee cups)</w:t>
      </w:r>
      <w:r w:rsidRPr="001014A6">
        <w:rPr>
          <w:rFonts w:eastAsia="Times New Roman" w:cstheme="minorHAnsi"/>
          <w:lang w:eastAsia="en-GB"/>
        </w:rPr>
        <w:t xml:space="preserve"> with a particular focus on sustainable practices. It is headquartered in the UK, with manufacturing facilities in three countries and a client base of over 50 million customers with over £50m annual revenue. The company has heavily invested in sustainable, eco-friendly production, updating machinery and processes, and leading R&amp;D in sustainability. Capital expenditures on these initiatives have surged by 150% since 2022, funded by internal resources and borrowing. They are now seeking additional credit to further advance their sustainability initiatives.</w:t>
      </w:r>
    </w:p>
    <w:bookmarkEnd w:id="0"/>
    <w:p w14:paraId="5C82F424"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The purpose of this presentation is to provide a comprehensive analysis of the company's financial health</w:t>
      </w:r>
      <w:r w:rsidR="00B96494" w:rsidRPr="001014A6">
        <w:rPr>
          <w:rFonts w:eastAsia="Times New Roman" w:cstheme="minorHAnsi"/>
          <w:lang w:eastAsia="en-GB"/>
        </w:rPr>
        <w:t xml:space="preserve"> and </w:t>
      </w:r>
      <w:r w:rsidRPr="001014A6">
        <w:rPr>
          <w:rFonts w:eastAsia="Times New Roman" w:cstheme="minorHAnsi"/>
          <w:lang w:eastAsia="en-GB"/>
        </w:rPr>
        <w:t xml:space="preserve">key industry trends to assess </w:t>
      </w:r>
      <w:r w:rsidR="00B96494" w:rsidRPr="001014A6">
        <w:rPr>
          <w:rFonts w:eastAsia="Times New Roman" w:cstheme="minorHAnsi"/>
          <w:lang w:eastAsia="en-GB"/>
        </w:rPr>
        <w:t xml:space="preserve">its </w:t>
      </w:r>
      <w:r w:rsidRPr="001014A6">
        <w:rPr>
          <w:rFonts w:eastAsia="Times New Roman" w:cstheme="minorHAnsi"/>
          <w:lang w:eastAsia="en-GB"/>
        </w:rPr>
        <w:t xml:space="preserve">overall </w:t>
      </w:r>
      <w:r w:rsidR="00B96494" w:rsidRPr="001014A6">
        <w:rPr>
          <w:rFonts w:eastAsia="Times New Roman" w:cstheme="minorHAnsi"/>
          <w:lang w:eastAsia="en-GB"/>
        </w:rPr>
        <w:t>creditworthiness</w:t>
      </w:r>
      <w:r w:rsidRPr="001014A6">
        <w:rPr>
          <w:rFonts w:eastAsia="Times New Roman" w:cstheme="minorHAnsi"/>
          <w:lang w:eastAsia="en-GB"/>
        </w:rPr>
        <w:t>.</w:t>
      </w:r>
    </w:p>
    <w:p w14:paraId="26DD0131"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Quantitative Analysis:</w:t>
      </w:r>
    </w:p>
    <w:p w14:paraId="07836ECD"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Let's start with the financial analysis based on the company's statements as of 31</w:t>
      </w:r>
      <w:r w:rsidR="003003D7" w:rsidRPr="001014A6">
        <w:rPr>
          <w:rFonts w:eastAsia="Times New Roman" w:cstheme="minorHAnsi"/>
          <w:vertAlign w:val="superscript"/>
          <w:lang w:eastAsia="en-GB"/>
        </w:rPr>
        <w:t>st</w:t>
      </w:r>
      <w:r w:rsidR="003003D7" w:rsidRPr="001014A6">
        <w:rPr>
          <w:rFonts w:eastAsia="Times New Roman" w:cstheme="minorHAnsi"/>
          <w:lang w:eastAsia="en-GB"/>
        </w:rPr>
        <w:t xml:space="preserve"> </w:t>
      </w:r>
      <w:r w:rsidRPr="001014A6">
        <w:rPr>
          <w:rFonts w:eastAsia="Times New Roman" w:cstheme="minorHAnsi"/>
          <w:lang w:eastAsia="en-GB"/>
        </w:rPr>
        <w:t>December 2022 and 2023.</w:t>
      </w:r>
    </w:p>
    <w:p w14:paraId="583E5236" w14:textId="77777777"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Revenue and Profitability:</w:t>
      </w:r>
    </w:p>
    <w:p w14:paraId="69E4D41B"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Total revenue increased by approximately 71%, demonstrating strong market demand and successful business strategies.</w:t>
      </w:r>
    </w:p>
    <w:p w14:paraId="0AA9FEA2"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EBITDA showed a significant increase, driven by improved gross margins and revenue growth, resulting in a substantial rise in net profit before tax.</w:t>
      </w:r>
    </w:p>
    <w:p w14:paraId="369A32C4"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Net interest expense was almost halved, positively impacting net profitability.</w:t>
      </w:r>
    </w:p>
    <w:p w14:paraId="549A5F98" w14:textId="77777777"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Assets and Liabilities:</w:t>
      </w:r>
    </w:p>
    <w:p w14:paraId="4152349E" w14:textId="77777777" w:rsidR="00880882" w:rsidRPr="001014A6" w:rsidRDefault="00880882" w:rsidP="00602337">
      <w:pPr>
        <w:numPr>
          <w:ilvl w:val="1"/>
          <w:numId w:val="8"/>
        </w:numPr>
        <w:spacing w:before="100" w:beforeAutospacing="1" w:after="100" w:afterAutospacing="1" w:line="240" w:lineRule="auto"/>
        <w:rPr>
          <w:rFonts w:eastAsia="Times New Roman" w:cstheme="minorHAnsi"/>
          <w:lang w:eastAsia="en-GB"/>
        </w:rPr>
      </w:pPr>
      <w:r w:rsidRPr="00602337">
        <w:rPr>
          <w:rFonts w:eastAsia="Times New Roman" w:cstheme="minorHAnsi"/>
          <w:lang w:eastAsia="en-GB"/>
        </w:rPr>
        <w:t xml:space="preserve">Total assets saw </w:t>
      </w:r>
      <w:r w:rsidR="00602337" w:rsidRPr="00602337">
        <w:rPr>
          <w:rFonts w:eastAsia="Times New Roman" w:cstheme="minorHAnsi"/>
          <w:lang w:eastAsia="en-GB"/>
        </w:rPr>
        <w:t xml:space="preserve">~19% expansion, </w:t>
      </w:r>
      <w:r w:rsidR="00602337" w:rsidRPr="00602337">
        <w:rPr>
          <w:rFonts w:ascii="Segoe UI" w:eastAsia="Times New Roman" w:hAnsi="Segoe UI" w:cs="Segoe UI"/>
          <w:sz w:val="20"/>
          <w:szCs w:val="24"/>
          <w:lang w:eastAsia="en-GB"/>
        </w:rPr>
        <w:t>and is primarily dominated by property, plant, and equipment (~50%) which is in line with manufacturer model.</w:t>
      </w:r>
    </w:p>
    <w:p w14:paraId="09B9688B"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Inventory rose by 40% in 2023, aligning with revenue growth and ensuring adequate stock levels.</w:t>
      </w:r>
    </w:p>
    <w:p w14:paraId="28EC597D"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Cash and cash equivalents </w:t>
      </w:r>
      <w:r w:rsidR="00DD2765" w:rsidRPr="00DD2765">
        <w:rPr>
          <w:rFonts w:eastAsia="Times New Roman" w:cstheme="minorHAnsi"/>
          <w:lang w:eastAsia="en-GB"/>
        </w:rPr>
        <w:t>reduced YoY primarily to support capital expenditure on investments &amp; debt repayments. This needs monitoring to ensure liquidity.</w:t>
      </w:r>
    </w:p>
    <w:p w14:paraId="0E31E4B5" w14:textId="77777777"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Cash Flow:</w:t>
      </w:r>
    </w:p>
    <w:p w14:paraId="2B1FB47E"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Operating cash flow almost doubled, demonstrating strong cash generation from core activities.</w:t>
      </w:r>
    </w:p>
    <w:p w14:paraId="7A5C1D36"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Capital expenditure increased due to investments in property and equipment, supporting long-term growth.</w:t>
      </w:r>
    </w:p>
    <w:p w14:paraId="3AD99FD9"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Free cash flow increased due to higher operating cash flows, indicating healthy financial management.</w:t>
      </w:r>
    </w:p>
    <w:p w14:paraId="49D60BCB" w14:textId="77777777"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Key Financial Ratios:</w:t>
      </w:r>
    </w:p>
    <w:p w14:paraId="338F3AEC"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EBITDA margin and operating margin both nearly doubled, indicating enhanced profitability and improved operational efficiency.</w:t>
      </w:r>
    </w:p>
    <w:p w14:paraId="18D430DA"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Interest coverage ratio showed significant improvement due to increased EBITDA and reduced net interest payments.</w:t>
      </w:r>
    </w:p>
    <w:p w14:paraId="1F62C8C1" w14:textId="77777777" w:rsidR="00DA765D" w:rsidRDefault="00DA765D" w:rsidP="00880882">
      <w:pPr>
        <w:numPr>
          <w:ilvl w:val="1"/>
          <w:numId w:val="8"/>
        </w:numPr>
        <w:spacing w:before="100" w:beforeAutospacing="1" w:after="100" w:afterAutospacing="1" w:line="240" w:lineRule="auto"/>
        <w:rPr>
          <w:rFonts w:eastAsia="Times New Roman" w:cstheme="minorHAnsi"/>
          <w:lang w:eastAsia="en-GB"/>
        </w:rPr>
      </w:pPr>
      <w:r w:rsidRPr="00DA765D">
        <w:rPr>
          <w:rFonts w:eastAsia="Times New Roman" w:cstheme="minorHAnsi"/>
          <w:lang w:eastAsia="en-GB"/>
        </w:rPr>
        <w:t>Current asset ratio dropped slightly, suggesting a need to monitor liquidity closely.</w:t>
      </w:r>
    </w:p>
    <w:p w14:paraId="2BBC5860"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Leverage metric decreased by approximately 8</w:t>
      </w:r>
      <w:r w:rsidR="00DD2765">
        <w:rPr>
          <w:rFonts w:eastAsia="Times New Roman" w:cstheme="minorHAnsi"/>
          <w:lang w:eastAsia="en-GB"/>
        </w:rPr>
        <w:t>4</w:t>
      </w:r>
      <w:r w:rsidRPr="001014A6">
        <w:rPr>
          <w:rFonts w:eastAsia="Times New Roman" w:cstheme="minorHAnsi"/>
          <w:lang w:eastAsia="en-GB"/>
        </w:rPr>
        <w:t>%, indicating reduced financial risk.</w:t>
      </w:r>
    </w:p>
    <w:p w14:paraId="7397208E" w14:textId="77777777"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Net leverage increased by approximately </w:t>
      </w:r>
      <w:r w:rsidR="00DD2765">
        <w:rPr>
          <w:rFonts w:eastAsia="Times New Roman" w:cstheme="minorHAnsi"/>
          <w:lang w:eastAsia="en-GB"/>
        </w:rPr>
        <w:t>62</w:t>
      </w:r>
      <w:r w:rsidRPr="001014A6">
        <w:rPr>
          <w:rFonts w:eastAsia="Times New Roman" w:cstheme="minorHAnsi"/>
          <w:lang w:eastAsia="en-GB"/>
        </w:rPr>
        <w:t>%, driven by improved leverage metric but offset by reduced cash balance.</w:t>
      </w:r>
    </w:p>
    <w:p w14:paraId="07C8E4F2" w14:textId="77777777" w:rsidR="00880882"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Cash flow/capital expenditure ratio changed due to higher capital expenditure, suggesting cautious investment strategies.</w:t>
      </w:r>
    </w:p>
    <w:p w14:paraId="651446EF" w14:textId="77777777" w:rsidR="00412630" w:rsidRPr="001014A6" w:rsidRDefault="00412630" w:rsidP="00880882">
      <w:pPr>
        <w:numPr>
          <w:ilvl w:val="1"/>
          <w:numId w:val="8"/>
        </w:numPr>
        <w:spacing w:before="100" w:beforeAutospacing="1" w:after="100" w:afterAutospacing="1" w:line="240" w:lineRule="auto"/>
        <w:rPr>
          <w:rFonts w:eastAsia="Times New Roman" w:cstheme="minorHAnsi"/>
          <w:lang w:eastAsia="en-GB"/>
        </w:rPr>
      </w:pPr>
    </w:p>
    <w:p w14:paraId="4103C70B"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lastRenderedPageBreak/>
        <w:t>Industry Research:</w:t>
      </w:r>
    </w:p>
    <w:p w14:paraId="48F7D480"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Now, let's move on to the industry research, focusing on key trends in the sustainable </w:t>
      </w:r>
      <w:r w:rsidR="00B12B6C" w:rsidRPr="001014A6">
        <w:rPr>
          <w:rFonts w:eastAsia="Times New Roman" w:cstheme="minorHAnsi"/>
          <w:lang w:eastAsia="en-GB"/>
        </w:rPr>
        <w:t xml:space="preserve">drinkware </w:t>
      </w:r>
      <w:r w:rsidRPr="001014A6">
        <w:rPr>
          <w:rFonts w:eastAsia="Times New Roman" w:cstheme="minorHAnsi"/>
          <w:lang w:eastAsia="en-GB"/>
        </w:rPr>
        <w:t>market.</w:t>
      </w:r>
    </w:p>
    <w:p w14:paraId="66A014BB" w14:textId="77777777"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Market Size and Growth:</w:t>
      </w:r>
    </w:p>
    <w:p w14:paraId="264828CB"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Reusable Coffee Cups:</w:t>
      </w:r>
    </w:p>
    <w:p w14:paraId="3951CBF0"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global reusable coffee cup market generated approximately USD 13</w:t>
      </w:r>
      <w:r w:rsidR="001014A6" w:rsidRPr="001014A6">
        <w:rPr>
          <w:rFonts w:eastAsia="Times New Roman" w:cstheme="minorHAnsi"/>
          <w:bCs/>
          <w:lang w:eastAsia="en-GB"/>
        </w:rPr>
        <w:t xml:space="preserve"> b</w:t>
      </w:r>
      <w:r w:rsidRPr="001014A6">
        <w:rPr>
          <w:rFonts w:eastAsia="Times New Roman" w:cstheme="minorHAnsi"/>
          <w:bCs/>
          <w:lang w:eastAsia="en-GB"/>
        </w:rPr>
        <w:t>illion in revenue in 2019.</w:t>
      </w:r>
    </w:p>
    <w:p w14:paraId="12098803"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market is expected to grow at a CAGR of 5.8%, reaching nearly USD 25</w:t>
      </w:r>
      <w:r w:rsidR="001014A6" w:rsidRPr="001014A6">
        <w:rPr>
          <w:rFonts w:eastAsia="Times New Roman" w:cstheme="minorHAnsi"/>
          <w:bCs/>
          <w:lang w:eastAsia="en-GB"/>
        </w:rPr>
        <w:t xml:space="preserve"> b</w:t>
      </w:r>
      <w:r w:rsidRPr="001014A6">
        <w:rPr>
          <w:rFonts w:eastAsia="Times New Roman" w:cstheme="minorHAnsi"/>
          <w:bCs/>
          <w:lang w:eastAsia="en-GB"/>
        </w:rPr>
        <w:t>illion by 2031.</w:t>
      </w:r>
    </w:p>
    <w:p w14:paraId="12B39C0E"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Reusable Water Bottles:</w:t>
      </w:r>
    </w:p>
    <w:p w14:paraId="0F768B12"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global reusable water bottle market is estimated to be worth USD 8.8 billion in 2024.</w:t>
      </w:r>
    </w:p>
    <w:p w14:paraId="51C1FE0A"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market is projected to grow at a CAGR of 2.8%, surpassing USD 11.5 billion by 2034.</w:t>
      </w:r>
    </w:p>
    <w:p w14:paraId="1A3BB0EF" w14:textId="77777777"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Key Drivers:</w:t>
      </w:r>
    </w:p>
    <w:p w14:paraId="7EFF787E"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Environmental Concerns:</w:t>
      </w:r>
    </w:p>
    <w:p w14:paraId="29BE7867"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Increasing awareness about plastic pollution and its detrimental effects on ecosystems is driving consumers towards reusable alternatives.</w:t>
      </w:r>
    </w:p>
    <w:p w14:paraId="0B1DE05D"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Government regulations and initiatives banning single-use plastics are further propelling the demand for reusable drinkware.</w:t>
      </w:r>
    </w:p>
    <w:p w14:paraId="1434F434"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Health and Wellness:</w:t>
      </w:r>
    </w:p>
    <w:p w14:paraId="4E892D01"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Emphasis on health and wellness encourages individuals to use reusable bottles and cups to promote hydration and reduce the consumption of sugary beverages.</w:t>
      </w:r>
    </w:p>
    <w:p w14:paraId="7F906F74"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Tourism and Convenience:</w:t>
      </w:r>
    </w:p>
    <w:p w14:paraId="6310AB27"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rise in global tourism and the convenience offered by reusable coffee cups for on-the-go consumption are significant growth drivers.</w:t>
      </w:r>
    </w:p>
    <w:p w14:paraId="1182D44F" w14:textId="77777777"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Market Dynamics:</w:t>
      </w:r>
    </w:p>
    <w:p w14:paraId="631785B5"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Challenges and Barriers:</w:t>
      </w:r>
    </w:p>
    <w:p w14:paraId="187154A3"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initial cost of purchasing reusable drinkware may deter price-sensitive consumers.</w:t>
      </w:r>
    </w:p>
    <w:p w14:paraId="4EC8A98F"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Convenience factors, such as the need to carry and clean reusable items, can hinder adoption.</w:t>
      </w:r>
    </w:p>
    <w:p w14:paraId="031DC392" w14:textId="77777777" w:rsidR="00B12B6C"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Potential delays in drive-through and mobile orders when using personal cups may affect customer experience.</w:t>
      </w:r>
    </w:p>
    <w:p w14:paraId="27E46BBE" w14:textId="77777777" w:rsidR="00DD2765" w:rsidRPr="00DD2765" w:rsidRDefault="00DD2765" w:rsidP="00DD2765">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DD2765">
        <w:rPr>
          <w:rFonts w:eastAsia="Times New Roman" w:cstheme="minorHAnsi"/>
          <w:bCs/>
          <w:lang w:eastAsia="en-GB"/>
        </w:rPr>
        <w:t>There is a potential risk of new entrants, producing comparable quality products at a lower price point.</w:t>
      </w:r>
    </w:p>
    <w:p w14:paraId="0106183E" w14:textId="77777777" w:rsidR="00DD2765" w:rsidRPr="00DD2765" w:rsidRDefault="00DD2765" w:rsidP="00DD2765">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DD2765">
        <w:rPr>
          <w:rFonts w:eastAsia="Times New Roman" w:cstheme="minorHAnsi"/>
          <w:bCs/>
          <w:lang w:eastAsia="en-GB"/>
        </w:rPr>
        <w:t>Inventory/Obsolescence risk – These products depend heavily on ongoing R&amp;D to achieve sustainability targets (net zero, reusability, recyclability), which introduces a potential risk of obsolescence.</w:t>
      </w:r>
    </w:p>
    <w:p w14:paraId="61DCC030"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Innovations and Trends:</w:t>
      </w:r>
    </w:p>
    <w:p w14:paraId="6CC5DE15"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Smart water bottles with tracking features and hydration reminders are gaining popularity among health-conscious consumers.</w:t>
      </w:r>
    </w:p>
    <w:p w14:paraId="7DE5BF77"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Customi</w:t>
      </w:r>
      <w:r w:rsidR="001014A6">
        <w:rPr>
          <w:rFonts w:eastAsia="Times New Roman" w:cstheme="minorHAnsi"/>
          <w:bCs/>
          <w:lang w:eastAsia="en-GB"/>
        </w:rPr>
        <w:t>s</w:t>
      </w:r>
      <w:r w:rsidRPr="001014A6">
        <w:rPr>
          <w:rFonts w:eastAsia="Times New Roman" w:cstheme="minorHAnsi"/>
          <w:bCs/>
          <w:lang w:eastAsia="en-GB"/>
        </w:rPr>
        <w:t xml:space="preserve">ation options, including unique </w:t>
      </w:r>
      <w:r w:rsidR="001014A6" w:rsidRPr="001014A6">
        <w:rPr>
          <w:rFonts w:eastAsia="Times New Roman" w:cstheme="minorHAnsi"/>
          <w:bCs/>
          <w:lang w:eastAsia="en-GB"/>
        </w:rPr>
        <w:t>colours</w:t>
      </w:r>
      <w:r w:rsidRPr="001014A6">
        <w:rPr>
          <w:rFonts w:eastAsia="Times New Roman" w:cstheme="minorHAnsi"/>
          <w:bCs/>
          <w:lang w:eastAsia="en-GB"/>
        </w:rPr>
        <w:t>, patterns, and logos, are appealing to trend-oriented consumers.</w:t>
      </w:r>
    </w:p>
    <w:p w14:paraId="71EF3189"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 xml:space="preserve">Sustainable materials like bamboo, stainless steel, and glass are increasingly </w:t>
      </w:r>
      <w:r w:rsidR="001014A6" w:rsidRPr="001014A6">
        <w:rPr>
          <w:rFonts w:eastAsia="Times New Roman" w:cstheme="minorHAnsi"/>
          <w:bCs/>
          <w:lang w:eastAsia="en-GB"/>
        </w:rPr>
        <w:t>favoured</w:t>
      </w:r>
      <w:r w:rsidRPr="001014A6">
        <w:rPr>
          <w:rFonts w:eastAsia="Times New Roman" w:cstheme="minorHAnsi"/>
          <w:bCs/>
          <w:lang w:eastAsia="en-GB"/>
        </w:rPr>
        <w:t xml:space="preserve"> over traditional plastics.</w:t>
      </w:r>
    </w:p>
    <w:p w14:paraId="004C57F9" w14:textId="77777777"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Regional Insights:</w:t>
      </w:r>
    </w:p>
    <w:p w14:paraId="0BD7A109"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Reusable Coffee Cups:</w:t>
      </w:r>
    </w:p>
    <w:p w14:paraId="6A4984E0"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Europe generated the highest revenue in 2019 and is expected to continue leading the market with a CAGR of 6.5%.</w:t>
      </w:r>
    </w:p>
    <w:p w14:paraId="217B6CD8"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residential segment is anticipated to garner the highest revenue by 2031, growing at a CAGR of 6.1%.</w:t>
      </w:r>
    </w:p>
    <w:p w14:paraId="170B5F1B" w14:textId="77777777"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Reusable Water Bottles:</w:t>
      </w:r>
    </w:p>
    <w:p w14:paraId="2A4C50F9"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US market exhibits moderate growth with a CAGR of 1.7% through 2034.</w:t>
      </w:r>
    </w:p>
    <w:p w14:paraId="4CCB22D8" w14:textId="77777777"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Significant growth is expected in China (CAGR of 4.7%) and India (CAGR of 6.5%).</w:t>
      </w:r>
    </w:p>
    <w:p w14:paraId="28048FC3" w14:textId="77777777" w:rsidR="00484324" w:rsidRDefault="00484324" w:rsidP="00484324">
      <w:pPr>
        <w:spacing w:before="100" w:beforeAutospacing="1" w:after="100" w:afterAutospacing="1" w:line="240" w:lineRule="auto"/>
        <w:rPr>
          <w:rFonts w:eastAsia="Times New Roman" w:cstheme="minorHAnsi"/>
          <w:bCs/>
          <w:lang w:eastAsia="en-GB"/>
        </w:rPr>
      </w:pPr>
    </w:p>
    <w:p w14:paraId="520BF6C4" w14:textId="77777777" w:rsidR="00484324" w:rsidRDefault="00484324" w:rsidP="00484324">
      <w:pPr>
        <w:spacing w:before="100" w:beforeAutospacing="1" w:after="100" w:afterAutospacing="1" w:line="240" w:lineRule="auto"/>
        <w:rPr>
          <w:rFonts w:eastAsia="Times New Roman" w:cstheme="minorHAnsi"/>
          <w:bCs/>
          <w:lang w:eastAsia="en-GB"/>
        </w:rPr>
      </w:pPr>
      <w:r w:rsidRPr="00484324">
        <w:rPr>
          <w:rFonts w:eastAsia="Times New Roman" w:cstheme="minorHAnsi"/>
          <w:bCs/>
          <w:lang w:eastAsia="en-GB"/>
        </w:rPr>
        <w:t>Overall, the sustainable drinkware market is poised for significant growth driven by environmental awareness, health consciousness, and innovations in design and technology. Regulatory initiatives and consumer preferences for eco-friendly alternatives are expected to further boost market dynamics, leading to widespread adoption and market expansion.</w:t>
      </w:r>
    </w:p>
    <w:p w14:paraId="3006AF9F" w14:textId="77777777" w:rsidR="00484324" w:rsidRPr="001014A6" w:rsidRDefault="00484324" w:rsidP="00484324">
      <w:pPr>
        <w:numPr>
          <w:ilvl w:val="0"/>
          <w:numId w:val="10"/>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lastRenderedPageBreak/>
        <w:t>Financial Health:</w:t>
      </w:r>
    </w:p>
    <w:p w14:paraId="0B8C2841"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The company's substantial revenue growth and improved profitability indicate strong financial health.</w:t>
      </w:r>
    </w:p>
    <w:p w14:paraId="1AF0EFA7"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Slight decreases in cash and cash equivalents and current asset ratio suggest a need for close liquidity monitoring.</w:t>
      </w:r>
    </w:p>
    <w:p w14:paraId="28268953"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Increased capital expenditure supports long-term growth but also requires careful balance with liquidity.</w:t>
      </w:r>
    </w:p>
    <w:p w14:paraId="696EFCB5" w14:textId="77777777" w:rsidR="00484324" w:rsidRPr="001014A6" w:rsidRDefault="00484324" w:rsidP="00484324">
      <w:pPr>
        <w:numPr>
          <w:ilvl w:val="0"/>
          <w:numId w:val="10"/>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Key Risks:</w:t>
      </w:r>
    </w:p>
    <w:p w14:paraId="61E19780"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Liquidity risk due to the slight drop in cash and equivalents and current asset ratio.</w:t>
      </w:r>
    </w:p>
    <w:p w14:paraId="267DEAFC" w14:textId="77777777" w:rsidR="00484324"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Capital expenditure risk from increased investments.</w:t>
      </w:r>
    </w:p>
    <w:p w14:paraId="47AC8516" w14:textId="77777777" w:rsidR="00484324" w:rsidRDefault="00484324" w:rsidP="00484324">
      <w:pPr>
        <w:numPr>
          <w:ilvl w:val="1"/>
          <w:numId w:val="10"/>
        </w:numPr>
        <w:spacing w:before="100" w:beforeAutospacing="1" w:after="100" w:afterAutospacing="1" w:line="240" w:lineRule="auto"/>
        <w:rPr>
          <w:rFonts w:eastAsia="Times New Roman" w:cstheme="minorHAnsi"/>
          <w:lang w:eastAsia="en-GB"/>
        </w:rPr>
      </w:pPr>
      <w:r w:rsidRPr="00DD2765">
        <w:rPr>
          <w:rFonts w:eastAsia="Times New Roman" w:cstheme="minorHAnsi"/>
          <w:lang w:eastAsia="en-GB"/>
        </w:rPr>
        <w:t>Reliance on R&amp;D for sustainability goals introduces the potential for product obsolescence.</w:t>
      </w:r>
    </w:p>
    <w:p w14:paraId="407A7808"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DD2765">
        <w:rPr>
          <w:rFonts w:eastAsia="Times New Roman" w:cstheme="minorHAnsi"/>
          <w:lang w:eastAsia="en-GB"/>
        </w:rPr>
        <w:t>Risk of new entrants offering similar quality products at lower prices.</w:t>
      </w:r>
    </w:p>
    <w:p w14:paraId="355B98FC"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Leverage risk despite improved leverage metrics.</w:t>
      </w:r>
    </w:p>
    <w:p w14:paraId="1608B95E"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Inventory risk from substantial increases in stock levels.</w:t>
      </w:r>
    </w:p>
    <w:p w14:paraId="67BBF901" w14:textId="77777777" w:rsidR="00484324" w:rsidRPr="001014A6" w:rsidRDefault="00484324" w:rsidP="00484324">
      <w:pPr>
        <w:numPr>
          <w:ilvl w:val="0"/>
          <w:numId w:val="10"/>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Opportunities:</w:t>
      </w:r>
    </w:p>
    <w:p w14:paraId="314C7B7F"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Market Growth: The booming sustainable drinkware market presents significant growth opportunities, driven by environmental concerns and health consciousness.</w:t>
      </w:r>
    </w:p>
    <w:p w14:paraId="5E2A92B3"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Financial Management: Enhancing liquidity management and optimizing capital expenditure can mitigate financial risks, ensuring better financial health.</w:t>
      </w:r>
    </w:p>
    <w:p w14:paraId="224AB585" w14:textId="77777777" w:rsidR="00484324"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Inventory Optimi</w:t>
      </w:r>
      <w:r>
        <w:rPr>
          <w:rFonts w:eastAsia="Times New Roman" w:cstheme="minorHAnsi"/>
          <w:lang w:eastAsia="en-GB"/>
        </w:rPr>
        <w:t>s</w:t>
      </w:r>
      <w:r w:rsidRPr="001014A6">
        <w:rPr>
          <w:rFonts w:eastAsia="Times New Roman" w:cstheme="minorHAnsi"/>
          <w:lang w:eastAsia="en-GB"/>
        </w:rPr>
        <w:t>ation: Streamlining inventory processes to align with sales growth can reduce holding costs and improve efficiency, mitigating inventory risk.</w:t>
      </w:r>
    </w:p>
    <w:p w14:paraId="272276A6" w14:textId="77777777"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DD2765">
        <w:rPr>
          <w:rFonts w:eastAsia="Times New Roman" w:cstheme="minorHAnsi"/>
          <w:lang w:eastAsia="en-GB"/>
        </w:rPr>
        <w:t>Client's strong branding, high-quality products, and marketing strategies provide a competitive advantage.</w:t>
      </w:r>
    </w:p>
    <w:p w14:paraId="702E9525" w14:textId="77777777" w:rsidR="00484324" w:rsidRPr="001014A6" w:rsidRDefault="00484324" w:rsidP="00484324">
      <w:pPr>
        <w:spacing w:before="100" w:beforeAutospacing="1" w:after="100" w:afterAutospacing="1" w:line="240" w:lineRule="auto"/>
        <w:rPr>
          <w:rFonts w:eastAsia="Times New Roman" w:cstheme="minorHAnsi"/>
          <w:lang w:eastAsia="en-GB"/>
        </w:rPr>
      </w:pPr>
      <w:r>
        <w:rPr>
          <w:rFonts w:eastAsia="Times New Roman" w:cstheme="minorHAnsi"/>
          <w:b/>
          <w:bCs/>
          <w:lang w:eastAsia="en-GB"/>
        </w:rPr>
        <w:t>Recommendation:</w:t>
      </w:r>
    </w:p>
    <w:p w14:paraId="461C9A49" w14:textId="77777777" w:rsidR="00FD694C" w:rsidRDefault="00484324" w:rsidP="00DD2765">
      <w:pPr>
        <w:spacing w:before="100" w:beforeAutospacing="1" w:after="100" w:afterAutospacing="1" w:line="240" w:lineRule="auto"/>
        <w:rPr>
          <w:rFonts w:eastAsia="Times New Roman" w:cstheme="minorHAnsi"/>
          <w:lang w:eastAsia="en-GB"/>
        </w:rPr>
      </w:pPr>
      <w:r w:rsidRPr="00BF0F0A">
        <w:rPr>
          <w:rFonts w:eastAsia="Times New Roman" w:cstheme="minorHAnsi"/>
          <w:lang w:eastAsia="en-GB"/>
        </w:rPr>
        <w:t xml:space="preserve">Green Solutions Manufacturing Ltd is well-positioned within the growing sustainable drinkware market, aligning with key industry trends and consumer demands for eco-friendly products. The </w:t>
      </w:r>
      <w:r w:rsidR="00D11506">
        <w:rPr>
          <w:rFonts w:eastAsia="Times New Roman" w:cstheme="minorHAnsi"/>
          <w:lang w:eastAsia="en-GB"/>
        </w:rPr>
        <w:t>c</w:t>
      </w:r>
      <w:r w:rsidR="00BF0F0A">
        <w:rPr>
          <w:rFonts w:eastAsia="Times New Roman" w:cstheme="minorHAnsi"/>
          <w:lang w:eastAsia="en-GB"/>
        </w:rPr>
        <w:t xml:space="preserve">lient’s </w:t>
      </w:r>
      <w:r w:rsidRPr="00BF0F0A">
        <w:rPr>
          <w:rFonts w:eastAsia="Times New Roman" w:cstheme="minorHAnsi"/>
          <w:lang w:eastAsia="en-GB"/>
        </w:rPr>
        <w:t xml:space="preserve">significant investment in sustainable manufacturing, as seen in its increased capital expenditures and focus on R&amp;D, demonstrates its commitment to meeting evolving market expectations, including the demand for net-zero and reusable solutions. This proactive approach not only strengthens its competitive position but also aligns with the industry's push towards reducing plastic waste and enhancing environmental sustainability. With rising market demand for reusable coffee cups and water bottles, particularly driven by environmental concerns, government regulations, and health trends, Green Solutions is capitalising on these drivers by offering innovative and high-quality products. </w:t>
      </w:r>
    </w:p>
    <w:p w14:paraId="5257C772" w14:textId="77777777" w:rsidR="00484324" w:rsidRPr="00BF0F0A" w:rsidRDefault="00484324" w:rsidP="00DD2765">
      <w:pPr>
        <w:spacing w:before="100" w:beforeAutospacing="1" w:after="100" w:afterAutospacing="1" w:line="240" w:lineRule="auto"/>
        <w:rPr>
          <w:rFonts w:eastAsia="Times New Roman" w:cstheme="minorHAnsi"/>
          <w:lang w:eastAsia="en-GB"/>
        </w:rPr>
      </w:pPr>
      <w:r w:rsidRPr="00BF0F0A">
        <w:rPr>
          <w:rFonts w:eastAsia="Times New Roman" w:cstheme="minorHAnsi"/>
          <w:lang w:eastAsia="en-GB"/>
        </w:rPr>
        <w:t xml:space="preserve">From </w:t>
      </w:r>
      <w:r w:rsidR="00FD694C">
        <w:rPr>
          <w:rFonts w:eastAsia="Times New Roman" w:cstheme="minorHAnsi"/>
          <w:lang w:eastAsia="en-GB"/>
        </w:rPr>
        <w:t xml:space="preserve">our </w:t>
      </w:r>
      <w:r w:rsidRPr="00BF0F0A">
        <w:rPr>
          <w:rFonts w:eastAsia="Times New Roman" w:cstheme="minorHAnsi"/>
          <w:lang w:eastAsia="en-GB"/>
        </w:rPr>
        <w:t>team</w:t>
      </w:r>
      <w:r w:rsidR="00FD694C">
        <w:rPr>
          <w:rFonts w:eastAsia="Times New Roman" w:cstheme="minorHAnsi"/>
          <w:lang w:eastAsia="en-GB"/>
        </w:rPr>
        <w:t>’s</w:t>
      </w:r>
      <w:r w:rsidRPr="00BF0F0A">
        <w:rPr>
          <w:rFonts w:eastAsia="Times New Roman" w:cstheme="minorHAnsi"/>
          <w:lang w:eastAsia="en-GB"/>
        </w:rPr>
        <w:t xml:space="preserve"> perspective, supporting the client is strategic for the </w:t>
      </w:r>
      <w:r w:rsidR="00D11506">
        <w:rPr>
          <w:rFonts w:eastAsia="Times New Roman" w:cstheme="minorHAnsi"/>
          <w:lang w:eastAsia="en-GB"/>
        </w:rPr>
        <w:t>b</w:t>
      </w:r>
      <w:r w:rsidRPr="00BF0F0A">
        <w:rPr>
          <w:rFonts w:eastAsia="Times New Roman" w:cstheme="minorHAnsi"/>
          <w:lang w:eastAsia="en-GB"/>
        </w:rPr>
        <w:t xml:space="preserve">ank, as Green Solutions is well-integrated into a growing, future-proof market. The </w:t>
      </w:r>
      <w:r w:rsidR="00D11506">
        <w:rPr>
          <w:rFonts w:eastAsia="Times New Roman" w:cstheme="minorHAnsi"/>
          <w:lang w:eastAsia="en-GB"/>
        </w:rPr>
        <w:t>c</w:t>
      </w:r>
      <w:r w:rsidRPr="00BF0F0A">
        <w:rPr>
          <w:rFonts w:eastAsia="Times New Roman" w:cstheme="minorHAnsi"/>
          <w:lang w:eastAsia="en-GB"/>
        </w:rPr>
        <w:t>lient’s improving financial health, evidenced by strong revenue growth, enhanced profitability, and reduced financial risk, further underscores its creditworthiness, making it a strong candidate for continued financial support.</w:t>
      </w:r>
    </w:p>
    <w:p w14:paraId="0C8B53F5"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Conclusion:</w:t>
      </w:r>
    </w:p>
    <w:p w14:paraId="582094ED" w14:textId="77777777"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In conclusion, Green Solutions Manufacturing Ltd demonstrates strong financial health with significant revenue growth, improved profitability, and a solid asset base. However, attention to liquidity, capital expenditure, and leverage management is essential to mitigate potential risks. The </w:t>
      </w:r>
      <w:r w:rsidR="00D11506">
        <w:rPr>
          <w:rFonts w:eastAsia="Times New Roman" w:cstheme="minorHAnsi"/>
          <w:lang w:eastAsia="en-GB"/>
        </w:rPr>
        <w:t>c</w:t>
      </w:r>
      <w:r w:rsidR="00FD694C">
        <w:rPr>
          <w:rFonts w:eastAsia="Times New Roman" w:cstheme="minorHAnsi"/>
          <w:lang w:eastAsia="en-GB"/>
        </w:rPr>
        <w:t>lient</w:t>
      </w:r>
      <w:r w:rsidRPr="001014A6">
        <w:rPr>
          <w:rFonts w:eastAsia="Times New Roman" w:cstheme="minorHAnsi"/>
          <w:lang w:eastAsia="en-GB"/>
        </w:rPr>
        <w:t xml:space="preserve">'s strategic positioning in the growing sustainable </w:t>
      </w:r>
      <w:r w:rsidR="001014A6" w:rsidRPr="001014A6">
        <w:rPr>
          <w:rFonts w:eastAsia="Times New Roman" w:cstheme="minorHAnsi"/>
          <w:lang w:eastAsia="en-GB"/>
        </w:rPr>
        <w:t>drinkware</w:t>
      </w:r>
      <w:r w:rsidR="001014A6">
        <w:rPr>
          <w:rFonts w:eastAsia="Times New Roman" w:cstheme="minorHAnsi"/>
          <w:lang w:eastAsia="en-GB"/>
        </w:rPr>
        <w:t xml:space="preserve"> </w:t>
      </w:r>
      <w:r w:rsidRPr="001014A6">
        <w:rPr>
          <w:rFonts w:eastAsia="Times New Roman" w:cstheme="minorHAnsi"/>
          <w:lang w:eastAsia="en-GB"/>
        </w:rPr>
        <w:t>market provides ample opportunities for continued success.</w:t>
      </w:r>
      <w:r w:rsidR="003003D7" w:rsidRPr="001014A6">
        <w:rPr>
          <w:rFonts w:eastAsia="Times New Roman" w:cstheme="minorHAnsi"/>
          <w:lang w:eastAsia="en-GB"/>
        </w:rPr>
        <w:t xml:space="preserve"> </w:t>
      </w:r>
      <w:r w:rsidR="00DA765D" w:rsidRPr="00DA765D">
        <w:rPr>
          <w:rFonts w:eastAsia="Times New Roman" w:cstheme="minorHAnsi"/>
          <w:lang w:eastAsia="en-GB"/>
        </w:rPr>
        <w:t>Therefore, based on the above I don’t have any concerns about extending credit facility to Green Solutions Manufacturing Ltd, one of our long-standing clients.</w:t>
      </w:r>
    </w:p>
    <w:p w14:paraId="74FE2767" w14:textId="77777777" w:rsidR="00EB2205" w:rsidRPr="001014A6" w:rsidRDefault="00880882" w:rsidP="00B96494">
      <w:pPr>
        <w:spacing w:before="100" w:beforeAutospacing="1" w:after="100" w:afterAutospacing="1" w:line="240" w:lineRule="auto"/>
        <w:rPr>
          <w:rFonts w:cstheme="minorHAnsi"/>
        </w:rPr>
      </w:pPr>
      <w:r w:rsidRPr="001014A6">
        <w:rPr>
          <w:rFonts w:eastAsia="Times New Roman" w:cstheme="minorHAnsi"/>
          <w:lang w:eastAsia="en-GB"/>
        </w:rPr>
        <w:t>This brings me to the end of my presentation. Thank you for your attention. I would be happy to take any questions you may have.</w:t>
      </w:r>
    </w:p>
    <w:sectPr w:rsidR="00EB2205" w:rsidRPr="001014A6" w:rsidSect="00B53E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923"/>
    <w:multiLevelType w:val="multilevel"/>
    <w:tmpl w:val="2808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176"/>
    <w:multiLevelType w:val="multilevel"/>
    <w:tmpl w:val="06B0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1631"/>
    <w:multiLevelType w:val="hybridMultilevel"/>
    <w:tmpl w:val="1156747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3" w15:restartNumberingAfterBreak="0">
    <w:nsid w:val="322E53EE"/>
    <w:multiLevelType w:val="multilevel"/>
    <w:tmpl w:val="49B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06784"/>
    <w:multiLevelType w:val="hybridMultilevel"/>
    <w:tmpl w:val="DD44F454"/>
    <w:lvl w:ilvl="0" w:tplc="FD30B9BC">
      <w:start w:val="1"/>
      <w:numFmt w:val="bullet"/>
      <w:lvlText w:val="•"/>
      <w:lvlJc w:val="left"/>
      <w:pPr>
        <w:tabs>
          <w:tab w:val="num" w:pos="720"/>
        </w:tabs>
        <w:ind w:left="720" w:hanging="360"/>
      </w:pPr>
      <w:rPr>
        <w:rFonts w:ascii="Arial" w:hAnsi="Arial" w:hint="default"/>
      </w:rPr>
    </w:lvl>
    <w:lvl w:ilvl="1" w:tplc="DD6E6EF6">
      <w:start w:val="1"/>
      <w:numFmt w:val="bullet"/>
      <w:lvlText w:val="•"/>
      <w:lvlJc w:val="left"/>
      <w:pPr>
        <w:tabs>
          <w:tab w:val="num" w:pos="1440"/>
        </w:tabs>
        <w:ind w:left="1440" w:hanging="360"/>
      </w:pPr>
      <w:rPr>
        <w:rFonts w:ascii="Arial" w:hAnsi="Arial" w:hint="default"/>
      </w:rPr>
    </w:lvl>
    <w:lvl w:ilvl="2" w:tplc="3DEA902E" w:tentative="1">
      <w:start w:val="1"/>
      <w:numFmt w:val="bullet"/>
      <w:lvlText w:val="•"/>
      <w:lvlJc w:val="left"/>
      <w:pPr>
        <w:tabs>
          <w:tab w:val="num" w:pos="2160"/>
        </w:tabs>
        <w:ind w:left="2160" w:hanging="360"/>
      </w:pPr>
      <w:rPr>
        <w:rFonts w:ascii="Arial" w:hAnsi="Arial" w:hint="default"/>
      </w:rPr>
    </w:lvl>
    <w:lvl w:ilvl="3" w:tplc="CD60501A" w:tentative="1">
      <w:start w:val="1"/>
      <w:numFmt w:val="bullet"/>
      <w:lvlText w:val="•"/>
      <w:lvlJc w:val="left"/>
      <w:pPr>
        <w:tabs>
          <w:tab w:val="num" w:pos="2880"/>
        </w:tabs>
        <w:ind w:left="2880" w:hanging="360"/>
      </w:pPr>
      <w:rPr>
        <w:rFonts w:ascii="Arial" w:hAnsi="Arial" w:hint="default"/>
      </w:rPr>
    </w:lvl>
    <w:lvl w:ilvl="4" w:tplc="69901416" w:tentative="1">
      <w:start w:val="1"/>
      <w:numFmt w:val="bullet"/>
      <w:lvlText w:val="•"/>
      <w:lvlJc w:val="left"/>
      <w:pPr>
        <w:tabs>
          <w:tab w:val="num" w:pos="3600"/>
        </w:tabs>
        <w:ind w:left="3600" w:hanging="360"/>
      </w:pPr>
      <w:rPr>
        <w:rFonts w:ascii="Arial" w:hAnsi="Arial" w:hint="default"/>
      </w:rPr>
    </w:lvl>
    <w:lvl w:ilvl="5" w:tplc="DFF2E35E" w:tentative="1">
      <w:start w:val="1"/>
      <w:numFmt w:val="bullet"/>
      <w:lvlText w:val="•"/>
      <w:lvlJc w:val="left"/>
      <w:pPr>
        <w:tabs>
          <w:tab w:val="num" w:pos="4320"/>
        </w:tabs>
        <w:ind w:left="4320" w:hanging="360"/>
      </w:pPr>
      <w:rPr>
        <w:rFonts w:ascii="Arial" w:hAnsi="Arial" w:hint="default"/>
      </w:rPr>
    </w:lvl>
    <w:lvl w:ilvl="6" w:tplc="2284AAEA" w:tentative="1">
      <w:start w:val="1"/>
      <w:numFmt w:val="bullet"/>
      <w:lvlText w:val="•"/>
      <w:lvlJc w:val="left"/>
      <w:pPr>
        <w:tabs>
          <w:tab w:val="num" w:pos="5040"/>
        </w:tabs>
        <w:ind w:left="5040" w:hanging="360"/>
      </w:pPr>
      <w:rPr>
        <w:rFonts w:ascii="Arial" w:hAnsi="Arial" w:hint="default"/>
      </w:rPr>
    </w:lvl>
    <w:lvl w:ilvl="7" w:tplc="52EED470" w:tentative="1">
      <w:start w:val="1"/>
      <w:numFmt w:val="bullet"/>
      <w:lvlText w:val="•"/>
      <w:lvlJc w:val="left"/>
      <w:pPr>
        <w:tabs>
          <w:tab w:val="num" w:pos="5760"/>
        </w:tabs>
        <w:ind w:left="5760" w:hanging="360"/>
      </w:pPr>
      <w:rPr>
        <w:rFonts w:ascii="Arial" w:hAnsi="Arial" w:hint="default"/>
      </w:rPr>
    </w:lvl>
    <w:lvl w:ilvl="8" w:tplc="453A47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A6572FF"/>
    <w:multiLevelType w:val="multilevel"/>
    <w:tmpl w:val="FCC6B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20DA6"/>
    <w:multiLevelType w:val="hybridMultilevel"/>
    <w:tmpl w:val="BBF8A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A40E2"/>
    <w:multiLevelType w:val="hybridMultilevel"/>
    <w:tmpl w:val="D2F454D4"/>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8" w15:restartNumberingAfterBreak="0">
    <w:nsid w:val="60C10B49"/>
    <w:multiLevelType w:val="hybridMultilevel"/>
    <w:tmpl w:val="5ED8F806"/>
    <w:lvl w:ilvl="0" w:tplc="A2CABAF4">
      <w:start w:val="1"/>
      <w:numFmt w:val="bullet"/>
      <w:lvlText w:val="•"/>
      <w:lvlJc w:val="left"/>
      <w:pPr>
        <w:tabs>
          <w:tab w:val="num" w:pos="720"/>
        </w:tabs>
        <w:ind w:left="720" w:hanging="360"/>
      </w:pPr>
      <w:rPr>
        <w:rFonts w:ascii="Arial" w:hAnsi="Arial" w:hint="default"/>
      </w:rPr>
    </w:lvl>
    <w:lvl w:ilvl="1" w:tplc="AF2EF602" w:tentative="1">
      <w:start w:val="1"/>
      <w:numFmt w:val="bullet"/>
      <w:lvlText w:val="•"/>
      <w:lvlJc w:val="left"/>
      <w:pPr>
        <w:tabs>
          <w:tab w:val="num" w:pos="1440"/>
        </w:tabs>
        <w:ind w:left="1440" w:hanging="360"/>
      </w:pPr>
      <w:rPr>
        <w:rFonts w:ascii="Arial" w:hAnsi="Arial" w:hint="default"/>
      </w:rPr>
    </w:lvl>
    <w:lvl w:ilvl="2" w:tplc="635C4386" w:tentative="1">
      <w:start w:val="1"/>
      <w:numFmt w:val="bullet"/>
      <w:lvlText w:val="•"/>
      <w:lvlJc w:val="left"/>
      <w:pPr>
        <w:tabs>
          <w:tab w:val="num" w:pos="2160"/>
        </w:tabs>
        <w:ind w:left="2160" w:hanging="360"/>
      </w:pPr>
      <w:rPr>
        <w:rFonts w:ascii="Arial" w:hAnsi="Arial" w:hint="default"/>
      </w:rPr>
    </w:lvl>
    <w:lvl w:ilvl="3" w:tplc="E12293D6" w:tentative="1">
      <w:start w:val="1"/>
      <w:numFmt w:val="bullet"/>
      <w:lvlText w:val="•"/>
      <w:lvlJc w:val="left"/>
      <w:pPr>
        <w:tabs>
          <w:tab w:val="num" w:pos="2880"/>
        </w:tabs>
        <w:ind w:left="2880" w:hanging="360"/>
      </w:pPr>
      <w:rPr>
        <w:rFonts w:ascii="Arial" w:hAnsi="Arial" w:hint="default"/>
      </w:rPr>
    </w:lvl>
    <w:lvl w:ilvl="4" w:tplc="01383592" w:tentative="1">
      <w:start w:val="1"/>
      <w:numFmt w:val="bullet"/>
      <w:lvlText w:val="•"/>
      <w:lvlJc w:val="left"/>
      <w:pPr>
        <w:tabs>
          <w:tab w:val="num" w:pos="3600"/>
        </w:tabs>
        <w:ind w:left="3600" w:hanging="360"/>
      </w:pPr>
      <w:rPr>
        <w:rFonts w:ascii="Arial" w:hAnsi="Arial" w:hint="default"/>
      </w:rPr>
    </w:lvl>
    <w:lvl w:ilvl="5" w:tplc="83EA489E" w:tentative="1">
      <w:start w:val="1"/>
      <w:numFmt w:val="bullet"/>
      <w:lvlText w:val="•"/>
      <w:lvlJc w:val="left"/>
      <w:pPr>
        <w:tabs>
          <w:tab w:val="num" w:pos="4320"/>
        </w:tabs>
        <w:ind w:left="4320" w:hanging="360"/>
      </w:pPr>
      <w:rPr>
        <w:rFonts w:ascii="Arial" w:hAnsi="Arial" w:hint="default"/>
      </w:rPr>
    </w:lvl>
    <w:lvl w:ilvl="6" w:tplc="32A0B46E" w:tentative="1">
      <w:start w:val="1"/>
      <w:numFmt w:val="bullet"/>
      <w:lvlText w:val="•"/>
      <w:lvlJc w:val="left"/>
      <w:pPr>
        <w:tabs>
          <w:tab w:val="num" w:pos="5040"/>
        </w:tabs>
        <w:ind w:left="5040" w:hanging="360"/>
      </w:pPr>
      <w:rPr>
        <w:rFonts w:ascii="Arial" w:hAnsi="Arial" w:hint="default"/>
      </w:rPr>
    </w:lvl>
    <w:lvl w:ilvl="7" w:tplc="70223796" w:tentative="1">
      <w:start w:val="1"/>
      <w:numFmt w:val="bullet"/>
      <w:lvlText w:val="•"/>
      <w:lvlJc w:val="left"/>
      <w:pPr>
        <w:tabs>
          <w:tab w:val="num" w:pos="5760"/>
        </w:tabs>
        <w:ind w:left="5760" w:hanging="360"/>
      </w:pPr>
      <w:rPr>
        <w:rFonts w:ascii="Arial" w:hAnsi="Arial" w:hint="default"/>
      </w:rPr>
    </w:lvl>
    <w:lvl w:ilvl="8" w:tplc="CE504C8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2E7869"/>
    <w:multiLevelType w:val="hybridMultilevel"/>
    <w:tmpl w:val="72EC2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084E52"/>
    <w:multiLevelType w:val="multilevel"/>
    <w:tmpl w:val="A9E8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F4502"/>
    <w:multiLevelType w:val="hybridMultilevel"/>
    <w:tmpl w:val="4A0639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4479181">
    <w:abstractNumId w:val="11"/>
  </w:num>
  <w:num w:numId="2" w16cid:durableId="363362513">
    <w:abstractNumId w:val="4"/>
  </w:num>
  <w:num w:numId="3" w16cid:durableId="1190684124">
    <w:abstractNumId w:val="8"/>
  </w:num>
  <w:num w:numId="4" w16cid:durableId="639264398">
    <w:abstractNumId w:val="9"/>
  </w:num>
  <w:num w:numId="5" w16cid:durableId="1402095514">
    <w:abstractNumId w:val="2"/>
  </w:num>
  <w:num w:numId="6" w16cid:durableId="1785464617">
    <w:abstractNumId w:val="6"/>
  </w:num>
  <w:num w:numId="7" w16cid:durableId="68189760">
    <w:abstractNumId w:val="7"/>
  </w:num>
  <w:num w:numId="8" w16cid:durableId="1264845785">
    <w:abstractNumId w:val="5"/>
  </w:num>
  <w:num w:numId="9" w16cid:durableId="509485836">
    <w:abstractNumId w:val="0"/>
  </w:num>
  <w:num w:numId="10" w16cid:durableId="1819688891">
    <w:abstractNumId w:val="1"/>
  </w:num>
  <w:num w:numId="11" w16cid:durableId="1760984417">
    <w:abstractNumId w:val="10"/>
  </w:num>
  <w:num w:numId="12" w16cid:durableId="1165584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3MzAyNDM1s7C0NLVQ0lEKTi0uzszPAykwqQUAZDjj9ywAAAA="/>
  </w:docVars>
  <w:rsids>
    <w:rsidRoot w:val="0044110D"/>
    <w:rsid w:val="00035945"/>
    <w:rsid w:val="00043818"/>
    <w:rsid w:val="001014A6"/>
    <w:rsid w:val="00127CA4"/>
    <w:rsid w:val="00172ADB"/>
    <w:rsid w:val="00180905"/>
    <w:rsid w:val="002D3D42"/>
    <w:rsid w:val="003003D7"/>
    <w:rsid w:val="00335530"/>
    <w:rsid w:val="003937FA"/>
    <w:rsid w:val="003A66AB"/>
    <w:rsid w:val="00403664"/>
    <w:rsid w:val="00412630"/>
    <w:rsid w:val="0044110D"/>
    <w:rsid w:val="00484324"/>
    <w:rsid w:val="00602337"/>
    <w:rsid w:val="006068DC"/>
    <w:rsid w:val="00637E7D"/>
    <w:rsid w:val="006F1132"/>
    <w:rsid w:val="00700DC8"/>
    <w:rsid w:val="00705A17"/>
    <w:rsid w:val="00825CDE"/>
    <w:rsid w:val="00880882"/>
    <w:rsid w:val="00991E37"/>
    <w:rsid w:val="00AB2243"/>
    <w:rsid w:val="00AE3AEA"/>
    <w:rsid w:val="00B015E2"/>
    <w:rsid w:val="00B12B6C"/>
    <w:rsid w:val="00B96494"/>
    <w:rsid w:val="00BD5855"/>
    <w:rsid w:val="00BF0F0A"/>
    <w:rsid w:val="00D11506"/>
    <w:rsid w:val="00DA007B"/>
    <w:rsid w:val="00DA765D"/>
    <w:rsid w:val="00DA7F6E"/>
    <w:rsid w:val="00DD2765"/>
    <w:rsid w:val="00E05C05"/>
    <w:rsid w:val="00E241C9"/>
    <w:rsid w:val="00EB2205"/>
    <w:rsid w:val="00EF6D69"/>
    <w:rsid w:val="00F52EBD"/>
    <w:rsid w:val="00F752FD"/>
    <w:rsid w:val="00FD6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6776"/>
  <w15:chartTrackingRefBased/>
  <w15:docId w15:val="{98E76164-4D34-4885-A903-8D023022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1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10D"/>
    <w:pPr>
      <w:ind w:left="720"/>
      <w:contextualSpacing/>
    </w:pPr>
  </w:style>
  <w:style w:type="character" w:styleId="Hyperlink">
    <w:name w:val="Hyperlink"/>
    <w:basedOn w:val="DefaultParagraphFont"/>
    <w:uiPriority w:val="99"/>
    <w:unhideWhenUsed/>
    <w:rsid w:val="0044110D"/>
    <w:rPr>
      <w:color w:val="0000FF" w:themeColor="hyperlink"/>
      <w:u w:val="single"/>
    </w:rPr>
  </w:style>
  <w:style w:type="paragraph" w:styleId="NormalWeb">
    <w:name w:val="Normal (Web)"/>
    <w:basedOn w:val="Normal"/>
    <w:uiPriority w:val="99"/>
    <w:semiHidden/>
    <w:unhideWhenUsed/>
    <w:rsid w:val="008808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808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951">
      <w:bodyDiv w:val="1"/>
      <w:marLeft w:val="0"/>
      <w:marRight w:val="0"/>
      <w:marTop w:val="0"/>
      <w:marBottom w:val="0"/>
      <w:divBdr>
        <w:top w:val="none" w:sz="0" w:space="0" w:color="auto"/>
        <w:left w:val="none" w:sz="0" w:space="0" w:color="auto"/>
        <w:bottom w:val="none" w:sz="0" w:space="0" w:color="auto"/>
        <w:right w:val="none" w:sz="0" w:space="0" w:color="auto"/>
      </w:divBdr>
      <w:divsChild>
        <w:div w:id="2024697200">
          <w:marLeft w:val="0"/>
          <w:marRight w:val="0"/>
          <w:marTop w:val="0"/>
          <w:marBottom w:val="0"/>
          <w:divBdr>
            <w:top w:val="none" w:sz="0" w:space="0" w:color="auto"/>
            <w:left w:val="none" w:sz="0" w:space="0" w:color="auto"/>
            <w:bottom w:val="none" w:sz="0" w:space="0" w:color="auto"/>
            <w:right w:val="none" w:sz="0" w:space="0" w:color="auto"/>
          </w:divBdr>
          <w:divsChild>
            <w:div w:id="268895596">
              <w:marLeft w:val="0"/>
              <w:marRight w:val="0"/>
              <w:marTop w:val="0"/>
              <w:marBottom w:val="0"/>
              <w:divBdr>
                <w:top w:val="none" w:sz="0" w:space="0" w:color="auto"/>
                <w:left w:val="none" w:sz="0" w:space="0" w:color="auto"/>
                <w:bottom w:val="none" w:sz="0" w:space="0" w:color="auto"/>
                <w:right w:val="none" w:sz="0" w:space="0" w:color="auto"/>
              </w:divBdr>
              <w:divsChild>
                <w:div w:id="2039045811">
                  <w:marLeft w:val="0"/>
                  <w:marRight w:val="0"/>
                  <w:marTop w:val="0"/>
                  <w:marBottom w:val="0"/>
                  <w:divBdr>
                    <w:top w:val="none" w:sz="0" w:space="0" w:color="auto"/>
                    <w:left w:val="none" w:sz="0" w:space="0" w:color="auto"/>
                    <w:bottom w:val="none" w:sz="0" w:space="0" w:color="auto"/>
                    <w:right w:val="none" w:sz="0" w:space="0" w:color="auto"/>
                  </w:divBdr>
                  <w:divsChild>
                    <w:div w:id="6581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03328">
      <w:bodyDiv w:val="1"/>
      <w:marLeft w:val="0"/>
      <w:marRight w:val="0"/>
      <w:marTop w:val="0"/>
      <w:marBottom w:val="0"/>
      <w:divBdr>
        <w:top w:val="none" w:sz="0" w:space="0" w:color="auto"/>
        <w:left w:val="none" w:sz="0" w:space="0" w:color="auto"/>
        <w:bottom w:val="none" w:sz="0" w:space="0" w:color="auto"/>
        <w:right w:val="none" w:sz="0" w:space="0" w:color="auto"/>
      </w:divBdr>
    </w:div>
    <w:div w:id="728309771">
      <w:bodyDiv w:val="1"/>
      <w:marLeft w:val="0"/>
      <w:marRight w:val="0"/>
      <w:marTop w:val="0"/>
      <w:marBottom w:val="0"/>
      <w:divBdr>
        <w:top w:val="none" w:sz="0" w:space="0" w:color="auto"/>
        <w:left w:val="none" w:sz="0" w:space="0" w:color="auto"/>
        <w:bottom w:val="none" w:sz="0" w:space="0" w:color="auto"/>
        <w:right w:val="none" w:sz="0" w:space="0" w:color="auto"/>
      </w:divBdr>
    </w:div>
    <w:div w:id="968899837">
      <w:bodyDiv w:val="1"/>
      <w:marLeft w:val="0"/>
      <w:marRight w:val="0"/>
      <w:marTop w:val="0"/>
      <w:marBottom w:val="0"/>
      <w:divBdr>
        <w:top w:val="none" w:sz="0" w:space="0" w:color="auto"/>
        <w:left w:val="none" w:sz="0" w:space="0" w:color="auto"/>
        <w:bottom w:val="none" w:sz="0" w:space="0" w:color="auto"/>
        <w:right w:val="none" w:sz="0" w:space="0" w:color="auto"/>
      </w:divBdr>
      <w:divsChild>
        <w:div w:id="1300956445">
          <w:marLeft w:val="274"/>
          <w:marRight w:val="0"/>
          <w:marTop w:val="0"/>
          <w:marBottom w:val="0"/>
          <w:divBdr>
            <w:top w:val="none" w:sz="0" w:space="0" w:color="auto"/>
            <w:left w:val="none" w:sz="0" w:space="0" w:color="auto"/>
            <w:bottom w:val="none" w:sz="0" w:space="0" w:color="auto"/>
            <w:right w:val="none" w:sz="0" w:space="0" w:color="auto"/>
          </w:divBdr>
        </w:div>
      </w:divsChild>
    </w:div>
    <w:div w:id="1743526336">
      <w:bodyDiv w:val="1"/>
      <w:marLeft w:val="0"/>
      <w:marRight w:val="0"/>
      <w:marTop w:val="0"/>
      <w:marBottom w:val="0"/>
      <w:divBdr>
        <w:top w:val="none" w:sz="0" w:space="0" w:color="auto"/>
        <w:left w:val="none" w:sz="0" w:space="0" w:color="auto"/>
        <w:bottom w:val="none" w:sz="0" w:space="0" w:color="auto"/>
        <w:right w:val="none" w:sz="0" w:space="0" w:color="auto"/>
      </w:divBdr>
      <w:divsChild>
        <w:div w:id="1350713481">
          <w:marLeft w:val="274"/>
          <w:marRight w:val="0"/>
          <w:marTop w:val="0"/>
          <w:marBottom w:val="0"/>
          <w:divBdr>
            <w:top w:val="none" w:sz="0" w:space="0" w:color="auto"/>
            <w:left w:val="none" w:sz="0" w:space="0" w:color="auto"/>
            <w:bottom w:val="none" w:sz="0" w:space="0" w:color="auto"/>
            <w:right w:val="none" w:sz="0" w:space="0" w:color="auto"/>
          </w:divBdr>
        </w:div>
        <w:div w:id="1318000144">
          <w:marLeft w:val="274"/>
          <w:marRight w:val="0"/>
          <w:marTop w:val="0"/>
          <w:marBottom w:val="0"/>
          <w:divBdr>
            <w:top w:val="none" w:sz="0" w:space="0" w:color="auto"/>
            <w:left w:val="none" w:sz="0" w:space="0" w:color="auto"/>
            <w:bottom w:val="none" w:sz="0" w:space="0" w:color="auto"/>
            <w:right w:val="none" w:sz="0" w:space="0" w:color="auto"/>
          </w:divBdr>
        </w:div>
        <w:div w:id="1852833897">
          <w:marLeft w:val="274"/>
          <w:marRight w:val="0"/>
          <w:marTop w:val="0"/>
          <w:marBottom w:val="0"/>
          <w:divBdr>
            <w:top w:val="none" w:sz="0" w:space="0" w:color="auto"/>
            <w:left w:val="none" w:sz="0" w:space="0" w:color="auto"/>
            <w:bottom w:val="none" w:sz="0" w:space="0" w:color="auto"/>
            <w:right w:val="none" w:sz="0" w:space="0" w:color="auto"/>
          </w:divBdr>
        </w:div>
        <w:div w:id="1413354477">
          <w:marLeft w:val="274"/>
          <w:marRight w:val="0"/>
          <w:marTop w:val="0"/>
          <w:marBottom w:val="0"/>
          <w:divBdr>
            <w:top w:val="none" w:sz="0" w:space="0" w:color="auto"/>
            <w:left w:val="none" w:sz="0" w:space="0" w:color="auto"/>
            <w:bottom w:val="none" w:sz="0" w:space="0" w:color="auto"/>
            <w:right w:val="none" w:sz="0" w:space="0" w:color="auto"/>
          </w:divBdr>
        </w:div>
        <w:div w:id="744499152">
          <w:marLeft w:val="274"/>
          <w:marRight w:val="0"/>
          <w:marTop w:val="0"/>
          <w:marBottom w:val="0"/>
          <w:divBdr>
            <w:top w:val="none" w:sz="0" w:space="0" w:color="auto"/>
            <w:left w:val="none" w:sz="0" w:space="0" w:color="auto"/>
            <w:bottom w:val="none" w:sz="0" w:space="0" w:color="auto"/>
            <w:right w:val="none" w:sz="0" w:space="0" w:color="auto"/>
          </w:divBdr>
        </w:div>
      </w:divsChild>
    </w:div>
    <w:div w:id="177066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3</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Varunesh RV</cp:lastModifiedBy>
  <cp:revision>3</cp:revision>
  <dcterms:created xsi:type="dcterms:W3CDTF">2022-03-07T04:45:00Z</dcterms:created>
  <dcterms:modified xsi:type="dcterms:W3CDTF">2026-08-18T06:14:00Z</dcterms:modified>
</cp:coreProperties>
</file>