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Financial Calculations Breakdown</w:t>
        <w:br/>
        <w:t>Green Solutions Manufacturing Ltd.</w:t>
      </w:r>
    </w:p>
    <w:p>
      <w:r>
        <w:br/>
        <w:t>This document contains the step-by-step calculations and derivations used to analyze the financial statements of Green Solutions Manufacturing Ltd. for FY 2022 and FY 2023.</w:t>
      </w:r>
    </w:p>
    <w:p>
      <w:pPr>
        <w:spacing w:before="240" w:after="80"/>
      </w:pPr>
      <w:r>
        <w:rPr>
          <w:b/>
        </w:rPr>
        <w:t>1. Units &amp; Multiplier System</w:t>
      </w:r>
    </w:p>
    <w:p>
      <w:pPr>
        <w:pStyle w:val="ListBullet"/>
      </w:pPr>
      <w:r>
        <w:rPr>
          <w:b/>
        </w:rPr>
        <w:t xml:space="preserve">Input Scale: </w:t>
      </w:r>
      <w:r>
        <w:t>The values in the raw input sheets (Income Statement, Balance Sheet, and Cash Flow Statement) are stated in Thousands (£'K).</w:t>
      </w:r>
    </w:p>
    <w:p>
      <w:pPr>
        <w:pStyle w:val="ListBullet"/>
      </w:pPr>
      <w:r>
        <w:rPr>
          <w:b/>
        </w:rPr>
        <w:t xml:space="preserve">Output Report Scale: </w:t>
      </w:r>
      <w:r>
        <w:t>The presentation report is standardly output in Millions (£'M).</w:t>
      </w:r>
    </w:p>
    <w:p>
      <w:pPr>
        <w:pStyle w:val="ListBullet"/>
      </w:pPr>
      <w:r>
        <w:rPr>
          <w:b/>
        </w:rPr>
        <w:t xml:space="preserve">Conversion Scaling Factor: </w:t>
      </w:r>
      <w:r>
        <w:t>Every raw metric is multiplied by 0.001 (Multiplier = 0.001) to dynamically shift scales from Thousands (£'K) to Millions (£'M).</w:t>
      </w:r>
    </w:p>
    <w:p>
      <w:pPr>
        <w:spacing w:before="240" w:after="80"/>
      </w:pPr>
      <w:r>
        <w:rPr>
          <w:b/>
        </w:rPr>
        <w:t>2. Financial Performance Section</w:t>
      </w:r>
    </w:p>
    <w:p>
      <w:pPr>
        <w:pStyle w:val="ListBullet"/>
      </w:pPr>
      <w:r>
        <w:rPr>
          <w:b/>
        </w:rPr>
        <w:t xml:space="preserve">Total Revenue: </w:t>
      </w:r>
      <w:r>
        <w:br/>
        <w:t>• FY 2022: 31,536 × 0.001 = 31.536 £'M</w:t>
        <w:br/>
        <w:t>• FY 2023: 53,823 × 0.001 = 53.823 £'M</w:t>
        <w:br/>
        <w:t>• YoY Growth: ((53.823 - 31.536) / 31.536) × 100% = +70.67%</w:t>
      </w:r>
    </w:p>
    <w:p>
      <w:pPr>
        <w:pStyle w:val="ListBullet"/>
      </w:pPr>
      <w:r>
        <w:rPr>
          <w:b/>
        </w:rPr>
        <w:t xml:space="preserve">EBITDA: </w:t>
      </w:r>
      <w:r>
        <w:br/>
        <w:t>• Formula: Operating Profit - Depreciation &amp; Amortization Expense</w:t>
        <w:br/>
        <w:t>• FY 2022: (1,994 - (-500)) × 0.001 = 1,494 × 0.001 = 1.494 £'M</w:t>
        <w:br/>
        <w:t>• FY 2023: (6,523 - (-1,000)) × 0.001 = 5,523 × 0.001 = 5.523 £'M</w:t>
        <w:br/>
        <w:t>• YoY Growth: ((5.523 - 1.494) / 1.494) × 100% = +269.68%</w:t>
      </w:r>
    </w:p>
    <w:p>
      <w:pPr>
        <w:pStyle w:val="ListBullet"/>
      </w:pPr>
      <w:r>
        <w:rPr>
          <w:b/>
        </w:rPr>
        <w:t xml:space="preserve">Net Interest Expense: </w:t>
      </w:r>
      <w:r>
        <w:br/>
        <w:t>• Formula: Interest Income + Interest Expense</w:t>
        <w:br/>
        <w:t>• FY 2022: (30 + (-748)) × 0.001 = -0.718 £'M</w:t>
        <w:br/>
        <w:t>• FY 2023: (56 + (-371)) × 0.001 = -0.315 £'M</w:t>
        <w:br/>
        <w:t>• YoY Variance: ((-0.315 - (-0.718)) / |-0.718|) × 100% = -56.13% (reduction in net cash interest burn)</w:t>
      </w:r>
    </w:p>
    <w:p>
      <w:pPr>
        <w:pStyle w:val="ListBullet"/>
      </w:pPr>
      <w:r>
        <w:rPr>
          <w:b/>
        </w:rPr>
        <w:t xml:space="preserve">Net Profit Before Tax (PBT): </w:t>
      </w:r>
      <w:r>
        <w:br/>
        <w:t>• FY 2022: 1,154 × 0.001 = 1.154 £'M</w:t>
        <w:br/>
        <w:t>• FY 2023: 6,343 × 0.001 = 6.343 £'M</w:t>
        <w:br/>
        <w:t>• YoY Growth: ((6.343 - 1.154) / 1.154) × 100% = +449.65%</w:t>
      </w:r>
    </w:p>
    <w:p>
      <w:pPr>
        <w:pStyle w:val="ListBullet"/>
      </w:pPr>
      <w:r>
        <w:rPr>
          <w:b/>
        </w:rPr>
        <w:t xml:space="preserve">Net Profit After Tax (PAT): </w:t>
      </w:r>
      <w:r>
        <w:br/>
        <w:t>• FY 2022: 862 × 0.001 = 0.862 £'M</w:t>
        <w:br/>
        <w:t>• FY 2023: 5,644 × 0.001 = 5.644 £'M</w:t>
        <w:br/>
        <w:t>• YoY Growth: ((5.644 - 0.862) / 0.862) × 100% = +554.76%</w:t>
      </w:r>
    </w:p>
    <w:p>
      <w:pPr>
        <w:spacing w:before="240" w:after="80"/>
      </w:pPr>
      <w:r>
        <w:rPr>
          <w:b/>
        </w:rPr>
        <w:t>3. Financial Position Section</w:t>
      </w:r>
    </w:p>
    <w:p>
      <w:pPr>
        <w:pStyle w:val="ListBullet"/>
      </w:pPr>
      <w:r>
        <w:rPr>
          <w:b/>
        </w:rPr>
        <w:t xml:space="preserve">Total Assets: </w:t>
      </w:r>
      <w:r>
        <w:br/>
        <w:t>• FY 2022: 52,148 × 0.001 = 52.148 £'M</w:t>
        <w:br/>
        <w:t>• FY 2023: 62,131 × 0.001 = 62.131 £'M</w:t>
      </w:r>
    </w:p>
    <w:p>
      <w:pPr>
        <w:pStyle w:val="ListBullet"/>
      </w:pPr>
      <w:r>
        <w:rPr>
          <w:b/>
        </w:rPr>
        <w:t xml:space="preserve">Total Tangible Assets (TTA): </w:t>
      </w:r>
      <w:r>
        <w:br/>
        <w:t>• Formula: Total Assets - Intangible Assets, Net - Goodwill</w:t>
        <w:br/>
        <w:t>• FY 2022: (52,148 - 313 - 207) × 0.001 = 51,628 × 0.001 = 51.628 £'M</w:t>
        <w:br/>
        <w:t>• FY 2023: (62,131 - 257 - 200) × 0.001 = 61,674 × 0.001 = 61.674 £'M</w:t>
        <w:br/>
        <w:t>• Absolute Net Asset Buffer Growth: 61.674 - 51.628 = +£7.924M</w:t>
      </w:r>
    </w:p>
    <w:p>
      <w:pPr>
        <w:pStyle w:val="ListBullet"/>
      </w:pPr>
      <w:r>
        <w:rPr>
          <w:b/>
        </w:rPr>
        <w:t xml:space="preserve">Inventories: </w:t>
      </w:r>
      <w:r>
        <w:br/>
        <w:t>• FY 2022: 4,101 × 0.001 = 4.101 £'M</w:t>
        <w:br/>
        <w:t>• FY 2023: 5,757 × 0.001 = 5.757 £'M</w:t>
      </w:r>
    </w:p>
    <w:p>
      <w:pPr>
        <w:pStyle w:val="ListBullet"/>
      </w:pPr>
      <w:r>
        <w:rPr>
          <w:b/>
        </w:rPr>
        <w:t xml:space="preserve">Cash and Cash Equivalents: </w:t>
      </w:r>
      <w:r>
        <w:br/>
        <w:t>• FY 2022: 19,384 × 0.001 = 19.384 £'M</w:t>
        <w:br/>
        <w:t>• FY 2023: 17,576 × 0.001 = 17.576 £'M</w:t>
      </w:r>
    </w:p>
    <w:p>
      <w:pPr>
        <w:pStyle w:val="ListBullet"/>
      </w:pPr>
      <w:r>
        <w:rPr>
          <w:b/>
        </w:rPr>
        <w:t xml:space="preserve">Total Liabilities: </w:t>
      </w:r>
      <w:r>
        <w:br/>
        <w:t>• FY 2022: 28,418 × 0.001 = 28.418 £'M</w:t>
        <w:br/>
        <w:t>• FY 2023: 30,548 × 0.001 = 30.548 £'M</w:t>
      </w:r>
    </w:p>
    <w:p>
      <w:pPr>
        <w:pStyle w:val="ListBullet"/>
      </w:pPr>
      <w:r>
        <w:rPr>
          <w:b/>
        </w:rPr>
        <w:t xml:space="preserve">Net Worth (NW) &amp; Tangible Net Worth (TNW): </w:t>
      </w:r>
      <w:r>
        <w:br/>
        <w:t>• Net Worth FY 2022: 52.148 - 28.418 = 23.730 £'M</w:t>
        <w:br/>
        <w:t>• Net Worth FY 2023: 62.131 - 30.548 = 31.583 £'M</w:t>
        <w:br/>
        <w:t>• Tangible Net Worth FY 2022: 51.628 - 28.418 = 23.210 £'M</w:t>
        <w:br/>
        <w:t>• Tangible Net Worth FY 2023: 61.674 - 30.548 = 31.126 £'M</w:t>
      </w:r>
    </w:p>
    <w:p>
      <w:pPr>
        <w:spacing w:before="240" w:after="80"/>
      </w:pPr>
      <w:r>
        <w:rPr>
          <w:b/>
        </w:rPr>
        <w:t>4. Cash Flows Section</w:t>
      </w:r>
    </w:p>
    <w:p>
      <w:pPr>
        <w:pStyle w:val="ListBullet"/>
      </w:pPr>
      <w:r>
        <w:rPr>
          <w:b/>
        </w:rPr>
        <w:t xml:space="preserve">Net Cash from Operating Activities: </w:t>
      </w:r>
      <w:r>
        <w:br/>
        <w:t>• FY 2022: 5,943 × 0.001 = 5.943 £'M</w:t>
        <w:br/>
        <w:t>• FY 2023: 11,446 × 0.001 = 11.446 £'M</w:t>
      </w:r>
    </w:p>
    <w:p>
      <w:pPr>
        <w:pStyle w:val="ListBullet"/>
      </w:pPr>
      <w:r>
        <w:rPr>
          <w:b/>
        </w:rPr>
        <w:t xml:space="preserve">Capital Expenditure (CapEx): </w:t>
      </w:r>
      <w:r>
        <w:br/>
        <w:t>• Formula: Sum of asset additions in the investing activities group</w:t>
        <w:br/>
        <w:t>• FY 2022: -3,157 + (-75) + 0 + (-10) = -3,242 £'K = -3.242 £'M</w:t>
        <w:br/>
        <w:t>• FY 2023: -6,482 + (-32) + (-1,500) = -8,014 £'K = -8.014 £'M</w:t>
        <w:br/>
        <w:t>• Net Movement: -8.014 - (-3.242) = -4.772 £'M (increased infrastructure investment)</w:t>
      </w:r>
    </w:p>
    <w:p>
      <w:pPr>
        <w:pStyle w:val="ListBullet"/>
      </w:pPr>
      <w:r>
        <w:rPr>
          <w:b/>
        </w:rPr>
        <w:t xml:space="preserve">Free Cash Flow (FCF): </w:t>
      </w:r>
      <w:r>
        <w:br/>
        <w:t>• Formula: Net Operating Cash Flow + CapEx Outflows</w:t>
        <w:br/>
        <w:t>• FY 2022: 5.943 + (-3.242) = -3,236.057 £'M</w:t>
        <w:br/>
        <w:t>• FY 2023: 11.446 + (-8.014) = -8,002.554 £'M</w:t>
      </w:r>
    </w:p>
    <w:p>
      <w:pPr>
        <w:spacing w:before="240" w:after="80"/>
      </w:pPr>
      <w:r>
        <w:rPr>
          <w:b/>
        </w:rPr>
        <w:t>5. Advanced Accounting Ratio Calculations</w:t>
      </w:r>
    </w:p>
    <w:p>
      <w:pPr>
        <w:pStyle w:val="ListBullet"/>
      </w:pPr>
      <w:r>
        <w:rPr>
          <w:b/>
        </w:rPr>
        <w:t xml:space="preserve">EBITDA Margin: </w:t>
      </w:r>
      <w:r>
        <w:br/>
        <w:t>• Formula: EBITDA / Total Revenue</w:t>
        <w:br/>
        <w:t>• FY 2022: 1.494 / 31.536 = 4.74%</w:t>
        <w:br/>
        <w:t>• FY 2023: 5.523 / 53.823 = 10.26%</w:t>
        <w:br/>
        <w:t>• Margin Expansion: 10.26% - 4.74% = +552 bps</w:t>
      </w:r>
    </w:p>
    <w:p>
      <w:pPr>
        <w:pStyle w:val="ListBullet"/>
      </w:pPr>
      <w:r>
        <w:rPr>
          <w:b/>
        </w:rPr>
        <w:t xml:space="preserve">Operating Margin: </w:t>
      </w:r>
      <w:r>
        <w:br/>
        <w:t>• Formula: Operating Profit / Total Revenue</w:t>
        <w:br/>
        <w:t>• FY 2022: 1,994 / 31,536 = 6.32%</w:t>
        <w:br/>
        <w:t>• FY 2023: 6,523 / 53,823 = 12.12%</w:t>
        <w:br/>
        <w:t>• Margin Expansion: 12.12% - 6.32% = +580 bps</w:t>
      </w:r>
    </w:p>
    <w:p>
      <w:pPr>
        <w:pStyle w:val="ListBullet"/>
      </w:pPr>
      <w:r>
        <w:rPr>
          <w:b/>
        </w:rPr>
        <w:t xml:space="preserve">EBITDA Net Interest Cover: </w:t>
      </w:r>
      <w:r>
        <w:br/>
        <w:t>• Formula: EBITDA / |Net Interest Expense|</w:t>
        <w:br/>
        <w:t>• FY 2022: 1.494 / 0.718 = 2.08x turns</w:t>
        <w:br/>
        <w:t>• FY 2023: 5.523 / 0.315 = 17.53x turns</w:t>
        <w:br/>
        <w:t>• Coverage Expansion: 17.53x - 2.08x = +15.45x turns</w:t>
      </w:r>
    </w:p>
    <w:p>
      <w:pPr>
        <w:pStyle w:val="ListBullet"/>
      </w:pPr>
      <w:r>
        <w:rPr>
          <w:b/>
        </w:rPr>
        <w:t xml:space="preserve">Current Ratio: </w:t>
      </w:r>
      <w:r>
        <w:br/>
        <w:t>• Formula: Current Assets / Current Liabilities</w:t>
        <w:br/>
        <w:t>• FY 2022: 26,717 / 14,248 = 1.88x</w:t>
        <w:br/>
        <w:t>• FY 2023: 27,100 / 19,705 = 1.38x</w:t>
        <w:br/>
        <w:t>• Ratio Compression: 1.38x - 1.88x = -0.50x</w:t>
      </w:r>
    </w:p>
    <w:p>
      <w:pPr>
        <w:pStyle w:val="ListBullet"/>
      </w:pPr>
      <w:r>
        <w:rPr>
          <w:b/>
        </w:rPr>
        <w:t xml:space="preserve">Leverage Metric (Gross Debt / EBITDA): </w:t>
      </w:r>
      <w:r>
        <w:br/>
        <w:t>• Formula: (Current Debt + Long-Term Debt) / EBITDA</w:t>
        <w:br/>
        <w:t>• FY 2022: (2,132 + 9,556) / 1,494 = 11,688 / 1,494 = 7.82x turns</w:t>
        <w:br/>
        <w:t>• FY 2023: (1,589 + 5,245) / 5,523 = 6,834 / 5,523 = 1.24x turns</w:t>
        <w:br/>
        <w:t>• Risk De-leveraging: 1.24x - 7.82x = -6.58x turns</w:t>
      </w:r>
    </w:p>
    <w:p>
      <w:pPr>
        <w:pStyle w:val="ListBullet"/>
      </w:pPr>
      <w:r>
        <w:rPr>
          <w:b/>
        </w:rPr>
        <w:t xml:space="preserve">Net Leverage: </w:t>
      </w:r>
      <w:r>
        <w:br/>
        <w:t>• Formula: (Total Debt - Cash and Cash Equivalents) / EBITDA</w:t>
        <w:br/>
        <w:t>• FY 2022: (11,688 - 19,384) / 1,494 = -7,696 / 1,494 = -5.15x turns</w:t>
        <w:br/>
        <w:t>• FY 2023: (6,834 - 17,576) / 5,523 = -10,742 / 5,523 = -1.94x turns</w:t>
        <w:br/>
        <w:t>• Assessment: Negative net leverage turns confirm an entrenched Net Cash Position where total capital liquid reserves completely cover gross liabilities.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