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spacing w:after="60"/>
      </w:pPr>
      <w:r>
        <w:t xml:space="preserve"/>
      </w:r>
    </w:p>
    <w:p>
      <w:pPr>
        <w:spacing w:after="60"/>
        <w:jc w:val="center"/>
      </w:pPr>
      <w:r>
        <w:rPr>
          <w:rFonts w:ascii="Arial" w:cs="Arial" w:eastAsia="Arial" w:hAnsi="Arial"/>
          <w:b/>
          <w:bCs/>
          <w:color w:val="1a3a6b"/>
          <w:sz w:val="72"/>
          <w:szCs w:val="72"/>
        </w:rPr>
        <w:t xml:space="preserve">SecureFedHE</w:t>
      </w:r>
    </w:p>
    <w:p>
      <w:pPr>
        <w:spacing w:after="200"/>
        <w:jc w:val="center"/>
      </w:pPr>
      <w:r>
        <w:rPr>
          <w:rFonts w:ascii="Arial" w:cs="Arial" w:eastAsia="Arial" w:hAnsi="Arial"/>
          <w:i/>
          <w:iCs/>
          <w:color w:val="0e8a72"/>
          <w:sz w:val="28"/>
          <w:szCs w:val="28"/>
        </w:rPr>
        <w:t xml:space="preserve">A Decentralized Hybrid Homomorphic Encryption and Differential Privacy Framework for Scalable Federated Learning</w:t>
      </w:r>
    </w:p>
    <w:p>
      <w:pPr>
        <w:pBdr>
          <w:bottom w:val="single" w:color="0e8a72" w:sz="4" w:space="1"/>
        </w:pBdr>
        <w:spacing w:after="160"/>
      </w:pPr>
      <w:r>
        <w:t xml:space="preserve"/>
      </w:r>
    </w:p>
    <w:p>
      <w:pPr>
        <w:spacing w:after="80"/>
        <w:jc w:val="center"/>
      </w:pPr>
      <w:r>
        <w:rPr>
          <w:rFonts w:ascii="Arial" w:cs="Arial" w:eastAsia="Arial" w:hAnsi="Arial"/>
          <w:b/>
          <w:bCs/>
          <w:color w:val="1a3a6b"/>
          <w:sz w:val="24"/>
          <w:szCs w:val="24"/>
        </w:rPr>
        <w:t xml:space="preserve">Comprehensive Research, Engineering &amp; Security Report</w:t>
      </w:r>
    </w:p>
    <w:p>
      <w:pPr>
        <w:spacing w:after="60"/>
      </w:pPr>
      <w:r>
        <w:t xml:space="preserve"/>
      </w:r>
    </w:p>
    <w:p>
      <w:pPr>
        <w:spacing w:after="60"/>
      </w:pPr>
      <w:r>
        <w:t xml:space="preserve"/>
      </w:r>
    </w:p>
    <w:p>
      <w:pPr>
        <w:spacing w:after="80"/>
        <w:jc w:val="center"/>
      </w:pPr>
      <w:r>
        <w:rPr>
          <w:rFonts w:ascii="Arial" w:cs="Arial" w:eastAsia="Arial" w:hAnsi="Arial"/>
          <w:color w:val="d0d8e8"/>
          <w:sz w:val="22"/>
          <w:szCs w:val="22"/>
        </w:rPr>
        <w:t xml:space="preserve">Architecture  |  Implementation  |  Benchmarking  |  Security Analysis</w:t>
      </w:r>
    </w:p>
    <w:p>
      <w:pPr>
        <w:spacing w:after="60"/>
      </w:pPr>
      <w:r>
        <w:t xml:space="preserve"/>
      </w:r>
    </w:p>
    <w:p>
      <w:pPr>
        <w:spacing w:after="60"/>
      </w:pPr>
      <w:r>
        <w:t xml:space="preserve"/>
      </w:r>
    </w:p>
    <w:p>
      <w:pPr>
        <w:spacing w:after="60"/>
      </w:pPr>
      <w:r>
        <w:t xml:space="preserve"/>
      </w:r>
    </w:p>
    <w:p>
      <w:pPr>
        <w:spacing w:after="60"/>
      </w:pPr>
      <w:r>
        <w:t xml:space="preserve"/>
      </w:r>
    </w:p>
    <w:p>
      <w:pPr>
        <w:spacing w:after="60"/>
      </w:pPr>
      <w:r>
        <w:t xml:space="preserve"/>
      </w:r>
    </w:p>
    <w:p>
      <w:pPr>
        <w:spacing w:after="60"/>
      </w:pPr>
      <w:r>
        <w:t xml:space="preserve"/>
      </w:r>
    </w:p>
    <w:p>
      <w:pPr>
        <w:jc w:val="center"/>
      </w:pPr>
      <w:r>
        <w:rPr>
          <w:rFonts w:ascii="Arial" w:cs="Arial" w:eastAsia="Arial" w:hAnsi="Arial"/>
          <w:b/>
          <w:bCs/>
          <w:color w:val="1a3a6b"/>
          <w:sz w:val="24"/>
          <w:szCs w:val="24"/>
        </w:rPr>
        <w:t xml:space="preserve">2026</w:t>
      </w:r>
    </w:p>
    <w:p>
      <w:r>
        <w:br w:type="page"/>
      </w:r>
    </w:p>
    <w:p>
      <w:pPr>
        <w:pStyle w:val="Heading1"/>
      </w:pPr>
      <w:r>
        <w:rPr>
          <w:rFonts w:ascii="Arial" w:cs="Arial" w:eastAsia="Arial" w:hAnsi="Arial"/>
          <w:b/>
          <w:bCs/>
          <w:color w:val="1a3a6b"/>
          <w:sz w:val="28"/>
          <w:szCs w:val="28"/>
        </w:rPr>
        <w:t xml:space="preserve">Abstract</w:t>
      </w:r>
    </w:p>
    <w:p>
      <w:pPr>
        <w:pBdr>
          <w:bottom w:val="single" w:color="0e8a72" w:sz="4" w:space="1"/>
        </w:pBdr>
        <w:spacing w:after="160"/>
      </w:pPr>
      <w:r>
        <w:t xml:space="preserve"/>
      </w:r>
    </w:p>
    <w:p>
      <w:pPr>
        <w:spacing w:after="120" w:line="276"/>
        <w:jc w:val="both"/>
      </w:pPr>
      <w:r>
        <w:rPr>
          <w:rFonts w:ascii="Arial" w:cs="Arial" w:eastAsia="Arial" w:hAnsi="Arial"/>
          <w:b w:val="false"/>
          <w:bCs w:val="false"/>
          <w:i w:val="false"/>
          <w:iCs w:val="false"/>
          <w:color w:val="000000"/>
          <w:sz w:val="22"/>
          <w:szCs w:val="22"/>
        </w:rPr>
        <w:t xml:space="preserve">Federated Learning (FL) mitigates direct data leakage but remains vulnerable to gradient inversion and membership inference attacks. Existing defenses, such as Fully Homomorphic Encryption (FHE), introduce crippling computational overhead for deep architectures, while Selective HE paradigms still rely on centralized orchestrators that pose single-point-of-failure risks.</w:t>
      </w:r>
    </w:p>
    <w:p>
      <w:pPr>
        <w:spacing w:after="120" w:line="276"/>
        <w:jc w:val="both"/>
      </w:pPr>
      <w:r>
        <w:rPr>
          <w:rFonts w:ascii="Arial" w:cs="Arial" w:eastAsia="Arial" w:hAnsi="Arial"/>
          <w:b w:val="false"/>
          <w:bCs w:val="false"/>
          <w:i w:val="false"/>
          <w:iCs w:val="false"/>
          <w:color w:val="000000"/>
          <w:sz w:val="22"/>
          <w:szCs w:val="22"/>
        </w:rPr>
        <w:t xml:space="preserve">In this paper, we propose SecureFedHE, a fully decentralized peer-to-peer ring topology that integrates Selective Homomorphic Encryption (CKKS) with Differential Privacy (DP). By restricting HE to the final classification layer and applying DP to deep feature extractors, SecureFedHE scales efficiently to parameter-heavy models (e.g., ResNet18) with an encryption overhead of ~30ms per round.</w:t>
      </w:r>
    </w:p>
    <w:p>
      <w:pPr>
        <w:spacing w:after="120" w:line="276"/>
        <w:jc w:val="both"/>
      </w:pPr>
      <w:r>
        <w:rPr>
          <w:rFonts w:ascii="Arial" w:cs="Arial" w:eastAsia="Arial" w:hAnsi="Arial"/>
          <w:b w:val="false"/>
          <w:bCs w:val="false"/>
          <w:i w:val="false"/>
          <w:iCs w:val="false"/>
          <w:color w:val="000000"/>
          <w:sz w:val="22"/>
          <w:szCs w:val="22"/>
        </w:rPr>
        <w:t xml:space="preserve">Extensive empirical evaluations demonstrate that the framework maintains high utility under extreme non-IID data skew (Dirichlet α=0.1) and scales to 50 nodes with minimal computational penalty. Security analysis confirms robust defense against Deep Leakage from Gradients (DLG) and Membership Inference Attacks (MIA), though we identify formal vulnerabilities to Byzantine poisoning under blind aggregation and propose FedMedian as a post-decryption mitigation. Four engineering fixes address availability, Byzantine robustness, positional fairness, and communication efficiency.</w:t>
      </w:r>
    </w:p>
    <w:p>
      <w:pPr>
        <w:pBdr>
          <w:left w:val="single" w:color="0e8a72" w:sz="16" w:space="8"/>
        </w:pBdr>
        <w:spacing w:after="100" w:before="100"/>
        <w:ind w:left="720"/>
      </w:pPr>
      <w:r>
        <w:rPr>
          <w:rFonts w:ascii="Arial" w:cs="Arial" w:eastAsia="Arial" w:hAnsi="Arial"/>
          <w:i/>
          <w:iCs/>
          <w:color w:val="1a3a6b"/>
          <w:sz w:val="22"/>
          <w:szCs w:val="22"/>
        </w:rPr>
        <w:t xml:space="preserve">Key Result: SecureFedHE achieves 79.23% accuracy (0.20% drop from baseline) with 16.5ms HE overhead per round, proving military-grade privacy at negligible computational cost.</w:t>
      </w:r>
    </w:p>
    <w:p>
      <w:r>
        <w:br w:type="page"/>
      </w:r>
    </w:p>
    <w:p>
      <w:pPr>
        <w:pStyle w:val="Heading1"/>
      </w:pPr>
      <w:r>
        <w:rPr>
          <w:rFonts w:ascii="Arial" w:cs="Arial" w:eastAsia="Arial" w:hAnsi="Arial"/>
          <w:b/>
          <w:bCs/>
          <w:color w:val="1a3a6b"/>
          <w:sz w:val="28"/>
          <w:szCs w:val="28"/>
        </w:rPr>
        <w:t xml:space="preserve">1. Introduction</w:t>
      </w:r>
    </w:p>
    <w:p>
      <w:pPr>
        <w:pBdr>
          <w:bottom w:val="single" w:color="0e8a72" w:sz="4" w:space="1"/>
        </w:pBdr>
        <w:spacing w:after="160"/>
      </w:pPr>
      <w:r>
        <w:t xml:space="preserve"/>
      </w:r>
    </w:p>
    <w:p>
      <w:pPr>
        <w:spacing w:after="120" w:line="276"/>
        <w:jc w:val="both"/>
      </w:pPr>
      <w:r>
        <w:rPr>
          <w:rFonts w:ascii="Arial" w:cs="Arial" w:eastAsia="Arial" w:hAnsi="Arial"/>
          <w:b w:val="false"/>
          <w:bCs w:val="false"/>
          <w:i w:val="false"/>
          <w:iCs w:val="false"/>
          <w:color w:val="000000"/>
          <w:sz w:val="22"/>
          <w:szCs w:val="22"/>
        </w:rPr>
        <w:t xml:space="preserve">The proliferation of edge computing has positioned Federated Learning (FL) as the standard for privacy-preserving distributed intelligence. However, the transmission of plaintext gradients remains susceptible to reconstruction attacks, including Deep Leakage from Gradients (DLG) and Membership Inference Attacks (MIA).</w:t>
      </w:r>
    </w:p>
    <w:p>
      <w:pPr>
        <w:spacing w:after="120" w:line="276"/>
        <w:jc w:val="both"/>
      </w:pPr>
      <w:r>
        <w:rPr>
          <w:rFonts w:ascii="Arial" w:cs="Arial" w:eastAsia="Arial" w:hAnsi="Arial"/>
          <w:b w:val="false"/>
          <w:bCs w:val="false"/>
          <w:i w:val="false"/>
          <w:iCs w:val="false"/>
          <w:color w:val="000000"/>
          <w:sz w:val="22"/>
          <w:szCs w:val="22"/>
        </w:rPr>
        <w:t xml:space="preserve">Existing solutions face a fundamental trilemma: Fully Homomorphic Encryption (FHE) provides cryptographic guarantees but introduces prohibitive computational overhead. Selective HE frameworks reduce overhead but retain a centralized aggregation server, creating a single point of failure. Differential Privacy alone is insufficient against gradient inversion attacks.</w:t>
      </w:r>
    </w:p>
    <w:p>
      <w:pPr>
        <w:spacing w:after="120" w:line="276"/>
        <w:jc w:val="both"/>
      </w:pPr>
      <w:r>
        <w:rPr>
          <w:rFonts w:ascii="Arial" w:cs="Arial" w:eastAsia="Arial" w:hAnsi="Arial"/>
          <w:b w:val="false"/>
          <w:bCs w:val="false"/>
          <w:i w:val="false"/>
          <w:iCs w:val="false"/>
          <w:color w:val="000000"/>
          <w:sz w:val="22"/>
          <w:szCs w:val="22"/>
        </w:rPr>
        <w:t xml:space="preserve">SecureFedHE resolves this trilemma through three core contributions:</w:t>
      </w:r>
    </w:p>
    <w:p>
      <w:pPr>
        <w:pStyle w:val="ListParagraph"/>
        <w:numPr>
          <w:ilvl w:val="0"/>
          <w:numId w:val="2"/>
        </w:numPr>
        <w:spacing w:after="80"/>
      </w:pPr>
      <w:r>
        <w:rPr>
          <w:rFonts w:ascii="Arial" w:cs="Arial" w:eastAsia="Arial" w:hAnsi="Arial"/>
          <w:color w:val="000000"/>
          <w:sz w:val="22"/>
          <w:szCs w:val="22"/>
        </w:rPr>
        <w:t xml:space="preserve">A decentralized, asynchronous ring topology eliminating the central server bottleneck entirely.</w:t>
      </w:r>
    </w:p>
    <w:p>
      <w:pPr>
        <w:pStyle w:val="ListParagraph"/>
        <w:numPr>
          <w:ilvl w:val="0"/>
          <w:numId w:val="2"/>
        </w:numPr>
        <w:spacing w:after="80"/>
      </w:pPr>
      <w:r>
        <w:rPr>
          <w:rFonts w:ascii="Arial" w:cs="Arial" w:eastAsia="Arial" w:hAnsi="Arial"/>
          <w:color w:val="000000"/>
          <w:sz w:val="22"/>
          <w:szCs w:val="22"/>
        </w:rPr>
        <w:t xml:space="preserve">A hybrid Selective HE and DP architecture that reduces encryption overhead to the order of milliseconds, even for 11-million parameter architectures like ResNet18.</w:t>
      </w:r>
    </w:p>
    <w:p>
      <w:pPr>
        <w:pStyle w:val="ListParagraph"/>
        <w:numPr>
          <w:ilvl w:val="0"/>
          <w:numId w:val="2"/>
        </w:numPr>
        <w:spacing w:after="80"/>
      </w:pPr>
      <w:r>
        <w:rPr>
          <w:rFonts w:ascii="Arial" w:cs="Arial" w:eastAsia="Arial" w:hAnsi="Arial"/>
          <w:color w:val="000000"/>
          <w:sz w:val="22"/>
          <w:szCs w:val="22"/>
        </w:rPr>
        <w:t xml:space="preserve">Comprehensive large-scale evaluation proving resilience against extreme network latency (up to 100ms), data heterogeneity (Dirichlet α=0.1), and adversarial Byzantine clients.</w:t>
      </w:r>
    </w:p>
    <w:p>
      <w:pPr>
        <w:spacing w:after="60"/>
      </w:pPr>
      <w:r>
        <w:t xml:space="preserve"/>
      </w:r>
    </w:p>
    <w:p>
      <w:r>
        <w:br w:type="page"/>
      </w:r>
    </w:p>
    <w:p>
      <w:pPr>
        <w:pStyle w:val="Heading1"/>
      </w:pPr>
      <w:r>
        <w:rPr>
          <w:rFonts w:ascii="Arial" w:cs="Arial" w:eastAsia="Arial" w:hAnsi="Arial"/>
          <w:b/>
          <w:bCs/>
          <w:color w:val="1a3a6b"/>
          <w:sz w:val="28"/>
          <w:szCs w:val="28"/>
        </w:rPr>
        <w:t xml:space="preserve">2. Theoretical Foundation &amp; Gap Analysis</w:t>
      </w:r>
    </w:p>
    <w:p>
      <w:pPr>
        <w:pBdr>
          <w:bottom w:val="single" w:color="0e8a72" w:sz="4" w:space="1"/>
        </w:pBdr>
        <w:spacing w:after="160"/>
      </w:pPr>
      <w:r>
        <w:t xml:space="preserve"/>
      </w:r>
    </w:p>
    <w:p>
      <w:pPr>
        <w:spacing w:after="120" w:line="276"/>
        <w:jc w:val="both"/>
      </w:pPr>
      <w:r>
        <w:rPr>
          <w:rFonts w:ascii="Arial" w:cs="Arial" w:eastAsia="Arial" w:hAnsi="Arial"/>
          <w:b w:val="false"/>
          <w:bCs w:val="false"/>
          <w:i w:val="false"/>
          <w:iCs w:val="false"/>
          <w:color w:val="000000"/>
          <w:sz w:val="22"/>
          <w:szCs w:val="22"/>
        </w:rPr>
        <w:t xml:space="preserve">The project began with a rigorous literature review, culminating in a 13-paper comparative matrix analyzing state-of-the-art frameworks (2024-2026), including MaskCrypt, FedML-HE, and the FAS framework.</w:t>
      </w:r>
    </w:p>
    <w:p>
      <w:pPr>
        <w:pStyle w:val="Heading2"/>
      </w:pPr>
      <w:r>
        <w:rPr>
          <w:rFonts w:ascii="Arial" w:cs="Arial" w:eastAsia="Arial" w:hAnsi="Arial"/>
          <w:b/>
          <w:bCs/>
          <w:color w:val="0e8a72"/>
          <w:sz w:val="24"/>
          <w:szCs w:val="24"/>
        </w:rPr>
        <w:t xml:space="preserve">2.1 Research Gaps Identified</w:t>
      </w:r>
    </w:p>
    <w:p>
      <w:pPr>
        <w:spacing w:after="120" w:line="276"/>
        <w:jc w:val="both"/>
      </w:pPr>
      <w:r>
        <w:rPr>
          <w:rFonts w:ascii="Arial" w:cs="Arial" w:eastAsia="Arial" w:hAnsi="Arial"/>
          <w:b w:val="false"/>
          <w:bCs w:val="false"/>
          <w:i w:val="false"/>
          <w:iCs w:val="false"/>
          <w:color w:val="000000"/>
          <w:sz w:val="22"/>
          <w:szCs w:val="22"/>
        </w:rPr>
        <w:t xml:space="preserve">Three fundamental gaps were identified in existing literature:</w:t>
      </w:r>
    </w:p>
    <w:p>
      <w:pPr>
        <w:pStyle w:val="ListParagraph"/>
        <w:numPr>
          <w:ilvl w:val="0"/>
          <w:numId w:val="3"/>
        </w:numPr>
        <w:spacing w:after="80"/>
      </w:pPr>
      <w:r>
        <w:rPr>
          <w:rFonts w:ascii="Arial" w:cs="Arial" w:eastAsia="Arial" w:hAnsi="Arial"/>
          <w:b/>
          <w:bCs/>
          <w:color w:val="0e8a72"/>
          <w:sz w:val="22"/>
          <w:szCs w:val="22"/>
        </w:rPr>
        <w:t xml:space="preserve">Gap 1 </w:t>
      </w:r>
      <w:r>
        <w:rPr>
          <w:rFonts w:ascii="Arial" w:cs="Arial" w:eastAsia="Arial" w:hAnsi="Arial"/>
          <w:color w:val="000000"/>
          <w:sz w:val="22"/>
          <w:szCs w:val="22"/>
        </w:rPr>
        <w:t xml:space="preserve">Cryptographic Bottleneck: Standard Fully Homomorphic Encryption (FHE) encrypts the entire neural network, causing edge devices to fail due to massive computational overhead.</w:t>
      </w:r>
    </w:p>
    <w:p>
      <w:pPr>
        <w:pStyle w:val="ListParagraph"/>
        <w:numPr>
          <w:ilvl w:val="0"/>
          <w:numId w:val="3"/>
        </w:numPr>
        <w:spacing w:after="80"/>
      </w:pPr>
      <w:r>
        <w:rPr>
          <w:rFonts w:ascii="Arial" w:cs="Arial" w:eastAsia="Arial" w:hAnsi="Arial"/>
          <w:b/>
          <w:bCs/>
          <w:color w:val="0e8a72"/>
          <w:sz w:val="22"/>
          <w:szCs w:val="22"/>
        </w:rPr>
        <w:t xml:space="preserve">Gap 2 </w:t>
      </w:r>
      <w:r>
        <w:rPr>
          <w:rFonts w:ascii="Arial" w:cs="Arial" w:eastAsia="Arial" w:hAnsi="Arial"/>
          <w:color w:val="000000"/>
          <w:sz w:val="22"/>
          <w:szCs w:val="22"/>
        </w:rPr>
        <w:t xml:space="preserve">Centralization Vulnerability: Existing Selective HE frameworks (MaskCrypt, FAS) still rely on a Central Server for ciphertext aggregation, creating a critical vulnerability target.</w:t>
      </w:r>
    </w:p>
    <w:p>
      <w:pPr>
        <w:pStyle w:val="ListParagraph"/>
        <w:numPr>
          <w:ilvl w:val="0"/>
          <w:numId w:val="3"/>
        </w:numPr>
        <w:spacing w:after="80"/>
      </w:pPr>
      <w:r>
        <w:rPr>
          <w:rFonts w:ascii="Arial" w:cs="Arial" w:eastAsia="Arial" w:hAnsi="Arial"/>
          <w:b/>
          <w:bCs/>
          <w:color w:val="0e8a72"/>
          <w:sz w:val="22"/>
          <w:szCs w:val="22"/>
        </w:rPr>
        <w:t xml:space="preserve">Gap 3 </w:t>
      </w:r>
      <w:r>
        <w:rPr>
          <w:rFonts w:ascii="Arial" w:cs="Arial" w:eastAsia="Arial" w:hAnsi="Arial"/>
          <w:color w:val="000000"/>
          <w:sz w:val="22"/>
          <w:szCs w:val="22"/>
        </w:rPr>
        <w:t xml:space="preserve">No Peer-to-Peer HE: No existing framework combines Selective HE with a fully serverless ring topology.</w:t>
      </w:r>
    </w:p>
    <w:p>
      <w:pPr>
        <w:pStyle w:val="Heading2"/>
      </w:pPr>
      <w:r>
        <w:rPr>
          <w:rFonts w:ascii="Arial" w:cs="Arial" w:eastAsia="Arial" w:hAnsi="Arial"/>
          <w:b/>
          <w:bCs/>
          <w:color w:val="0e8a72"/>
          <w:sz w:val="24"/>
          <w:szCs w:val="24"/>
        </w:rPr>
        <w:t xml:space="preserve">2.2 The Solution</w:t>
      </w:r>
    </w:p>
    <w:p>
      <w:pPr>
        <w:spacing w:after="120" w:line="276"/>
        <w:jc w:val="both"/>
      </w:pPr>
      <w:r>
        <w:rPr>
          <w:rFonts w:ascii="Arial" w:cs="Arial" w:eastAsia="Arial" w:hAnsi="Arial"/>
          <w:b w:val="false"/>
          <w:bCs w:val="false"/>
          <w:i w:val="false"/>
          <w:iCs w:val="false"/>
          <w:color w:val="000000"/>
          <w:sz w:val="22"/>
          <w:szCs w:val="22"/>
        </w:rPr>
        <w:t xml:space="preserve">SecureFedHE fills this exact gap by moving the Selective HE/DP hybrid model onto a fully serverless, peer-to-peer microservices network. The framework is provably novel across all five evaluation dimensions simultaneously.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1200"/>
        <w:gridCol w:w="1160"/>
      </w:tblGrid>
      <w:tr>
        <w:tc>
          <w:tcPr>
            <w:tcW w:type="dxa" w:w="22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Framework</w:t>
            </w:r>
          </w:p>
        </w:tc>
        <w:tc>
          <w:tcPr>
            <w:tcW w:type="dxa" w:w="12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Central Server</w:t>
            </w:r>
          </w:p>
        </w:tc>
        <w:tc>
          <w:tcPr>
            <w:tcW w:type="dxa" w:w="12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Selective HE</w:t>
            </w:r>
          </w:p>
        </w:tc>
        <w:tc>
          <w:tcPr>
            <w:tcW w:type="dxa" w:w="12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DP Integration</w:t>
            </w:r>
          </w:p>
        </w:tc>
        <w:tc>
          <w:tcPr>
            <w:tcW w:type="dxa" w:w="12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P2P Topology</w:t>
            </w:r>
          </w:p>
        </w:tc>
        <w:tc>
          <w:tcPr>
            <w:tcW w:type="dxa" w:w="12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Scalable</w:t>
            </w:r>
          </w:p>
        </w:tc>
        <w:tc>
          <w:tcPr>
            <w:tcW w:type="dxa" w:w="116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Novel</w:t>
            </w:r>
          </w:p>
        </w:tc>
      </w:tr>
      <w:tr>
        <w:tc>
          <w:tcPr>
            <w:tcW w:type="dxa" w:w="22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MaskCrypt (2024)</w:t>
            </w:r>
          </w:p>
        </w:tc>
        <w:tc>
          <w:tcPr>
            <w:tcW w:type="dxa" w:w="12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No</w:t>
            </w:r>
          </w:p>
        </w:tc>
        <w:tc>
          <w:tcPr>
            <w:tcW w:type="dxa" w:w="12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e8a72"/>
                <w:sz w:val="18"/>
                <w:szCs w:val="18"/>
              </w:rPr>
              <w:t xml:space="preserve">Yes</w:t>
            </w:r>
          </w:p>
        </w:tc>
        <w:tc>
          <w:tcPr>
            <w:tcW w:type="dxa" w:w="12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No</w:t>
            </w:r>
          </w:p>
        </w:tc>
        <w:tc>
          <w:tcPr>
            <w:tcW w:type="dxa" w:w="12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No</w:t>
            </w:r>
          </w:p>
        </w:tc>
        <w:tc>
          <w:tcPr>
            <w:tcW w:type="dxa" w:w="12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Partial</w:t>
            </w:r>
          </w:p>
        </w:tc>
        <w:tc>
          <w:tcPr>
            <w:tcW w:type="dxa" w:w="116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No</w:t>
            </w:r>
          </w:p>
        </w:tc>
      </w:tr>
      <w:tr>
        <w:tc>
          <w:tcPr>
            <w:tcW w:type="dxa" w:w="22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FedML-HE (2025)</w:t>
            </w:r>
          </w:p>
        </w:tc>
        <w:tc>
          <w:tcPr>
            <w:tcW w:type="dxa" w:w="12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No</w:t>
            </w:r>
          </w:p>
        </w:tc>
        <w:tc>
          <w:tcPr>
            <w:tcW w:type="dxa" w:w="12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No</w:t>
            </w:r>
          </w:p>
        </w:tc>
        <w:tc>
          <w:tcPr>
            <w:tcW w:type="dxa" w:w="12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center"/>
            </w:pPr>
            <w:r>
              <w:rPr>
                <w:rFonts w:ascii="Arial" w:cs="Arial" w:eastAsia="Arial" w:hAnsi="Arial"/>
                <w:b w:val="false"/>
                <w:bCs w:val="false"/>
                <w:color w:val="0e8a72"/>
                <w:sz w:val="18"/>
                <w:szCs w:val="18"/>
              </w:rPr>
              <w:t xml:space="preserve">Yes</w:t>
            </w:r>
          </w:p>
        </w:tc>
        <w:tc>
          <w:tcPr>
            <w:tcW w:type="dxa" w:w="12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No</w:t>
            </w:r>
          </w:p>
        </w:tc>
        <w:tc>
          <w:tcPr>
            <w:tcW w:type="dxa" w:w="12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center"/>
            </w:pPr>
            <w:r>
              <w:rPr>
                <w:rFonts w:ascii="Arial" w:cs="Arial" w:eastAsia="Arial" w:hAnsi="Arial"/>
                <w:b w:val="false"/>
                <w:bCs w:val="false"/>
                <w:color w:val="0e8a72"/>
                <w:sz w:val="18"/>
                <w:szCs w:val="18"/>
              </w:rPr>
              <w:t xml:space="preserve">Yes</w:t>
            </w:r>
          </w:p>
        </w:tc>
        <w:tc>
          <w:tcPr>
            <w:tcW w:type="dxa" w:w="116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No</w:t>
            </w:r>
          </w:p>
        </w:tc>
      </w:tr>
      <w:tr>
        <w:tc>
          <w:tcPr>
            <w:tcW w:type="dxa" w:w="22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FAS Framework (2025)</w:t>
            </w:r>
          </w:p>
        </w:tc>
        <w:tc>
          <w:tcPr>
            <w:tcW w:type="dxa" w:w="12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Partial</w:t>
            </w:r>
          </w:p>
        </w:tc>
        <w:tc>
          <w:tcPr>
            <w:tcW w:type="dxa" w:w="12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e8a72"/>
                <w:sz w:val="18"/>
                <w:szCs w:val="18"/>
              </w:rPr>
              <w:t xml:space="preserve">Yes</w:t>
            </w:r>
          </w:p>
        </w:tc>
        <w:tc>
          <w:tcPr>
            <w:tcW w:type="dxa" w:w="12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No</w:t>
            </w:r>
          </w:p>
        </w:tc>
        <w:tc>
          <w:tcPr>
            <w:tcW w:type="dxa" w:w="12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No</w:t>
            </w:r>
          </w:p>
        </w:tc>
        <w:tc>
          <w:tcPr>
            <w:tcW w:type="dxa" w:w="12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e8a72"/>
                <w:sz w:val="18"/>
                <w:szCs w:val="18"/>
              </w:rPr>
              <w:t xml:space="preserve">Yes</w:t>
            </w:r>
          </w:p>
        </w:tc>
        <w:tc>
          <w:tcPr>
            <w:tcW w:type="dxa" w:w="116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No</w:t>
            </w:r>
          </w:p>
        </w:tc>
      </w:tr>
      <w:tr>
        <w:tc>
          <w:tcPr>
            <w:tcW w:type="dxa" w:w="22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Standard FedAvg</w:t>
            </w:r>
          </w:p>
        </w:tc>
        <w:tc>
          <w:tcPr>
            <w:tcW w:type="dxa" w:w="12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No</w:t>
            </w:r>
          </w:p>
        </w:tc>
        <w:tc>
          <w:tcPr>
            <w:tcW w:type="dxa" w:w="12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No</w:t>
            </w:r>
          </w:p>
        </w:tc>
        <w:tc>
          <w:tcPr>
            <w:tcW w:type="dxa" w:w="12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No</w:t>
            </w:r>
          </w:p>
        </w:tc>
        <w:tc>
          <w:tcPr>
            <w:tcW w:type="dxa" w:w="12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No</w:t>
            </w:r>
          </w:p>
        </w:tc>
        <w:tc>
          <w:tcPr>
            <w:tcW w:type="dxa" w:w="12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center"/>
            </w:pPr>
            <w:r>
              <w:rPr>
                <w:rFonts w:ascii="Arial" w:cs="Arial" w:eastAsia="Arial" w:hAnsi="Arial"/>
                <w:b w:val="false"/>
                <w:bCs w:val="false"/>
                <w:color w:val="0e8a72"/>
                <w:sz w:val="18"/>
                <w:szCs w:val="18"/>
              </w:rPr>
              <w:t xml:space="preserve">Yes</w:t>
            </w:r>
          </w:p>
        </w:tc>
        <w:tc>
          <w:tcPr>
            <w:tcW w:type="dxa" w:w="116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No</w:t>
            </w:r>
          </w:p>
        </w:tc>
      </w:tr>
      <w:tr>
        <w:tc>
          <w:tcPr>
            <w:tcW w:type="dxa" w:w="2200"/>
            <w:tcBorders>
              <w:top w:val="single" w:color="d0d8e8" w:sz="1"/>
              <w:left w:val="single" w:color="d0d8e8" w:sz="1"/>
              <w:bottom w:val="single" w:color="d0d8e8" w:sz="1"/>
              <w:right w:val="single" w:color="d0d8e8" w:sz="1"/>
            </w:tcBorders>
            <w:shd w:fill="1a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SecureFedHE (Ours)</w:t>
            </w:r>
          </w:p>
        </w:tc>
        <w:tc>
          <w:tcPr>
            <w:tcW w:type="dxa" w:w="1200"/>
            <w:tcBorders>
              <w:top w:val="single" w:color="d0d8e8" w:sz="1"/>
              <w:left w:val="single" w:color="d0d8e8" w:sz="1"/>
              <w:bottom w:val="single" w:color="d0d8e8" w:sz="1"/>
              <w:right w:val="single" w:color="d0d8e8" w:sz="1"/>
            </w:tcBorders>
            <w:shd w:fill="1a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YES</w:t>
            </w:r>
          </w:p>
        </w:tc>
        <w:tc>
          <w:tcPr>
            <w:tcW w:type="dxa" w:w="1200"/>
            <w:tcBorders>
              <w:top w:val="single" w:color="d0d8e8" w:sz="1"/>
              <w:left w:val="single" w:color="d0d8e8" w:sz="1"/>
              <w:bottom w:val="single" w:color="d0d8e8" w:sz="1"/>
              <w:right w:val="single" w:color="d0d8e8" w:sz="1"/>
            </w:tcBorders>
            <w:shd w:fill="1a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YES</w:t>
            </w:r>
          </w:p>
        </w:tc>
        <w:tc>
          <w:tcPr>
            <w:tcW w:type="dxa" w:w="1200"/>
            <w:tcBorders>
              <w:top w:val="single" w:color="d0d8e8" w:sz="1"/>
              <w:left w:val="single" w:color="d0d8e8" w:sz="1"/>
              <w:bottom w:val="single" w:color="d0d8e8" w:sz="1"/>
              <w:right w:val="single" w:color="d0d8e8" w:sz="1"/>
            </w:tcBorders>
            <w:shd w:fill="1a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YES</w:t>
            </w:r>
          </w:p>
        </w:tc>
        <w:tc>
          <w:tcPr>
            <w:tcW w:type="dxa" w:w="1200"/>
            <w:tcBorders>
              <w:top w:val="single" w:color="d0d8e8" w:sz="1"/>
              <w:left w:val="single" w:color="d0d8e8" w:sz="1"/>
              <w:bottom w:val="single" w:color="d0d8e8" w:sz="1"/>
              <w:right w:val="single" w:color="d0d8e8" w:sz="1"/>
            </w:tcBorders>
            <w:shd w:fill="1a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YES</w:t>
            </w:r>
          </w:p>
        </w:tc>
        <w:tc>
          <w:tcPr>
            <w:tcW w:type="dxa" w:w="1200"/>
            <w:tcBorders>
              <w:top w:val="single" w:color="d0d8e8" w:sz="1"/>
              <w:left w:val="single" w:color="d0d8e8" w:sz="1"/>
              <w:bottom w:val="single" w:color="d0d8e8" w:sz="1"/>
              <w:right w:val="single" w:color="d0d8e8" w:sz="1"/>
            </w:tcBorders>
            <w:shd w:fill="1a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YES</w:t>
            </w:r>
          </w:p>
        </w:tc>
        <w:tc>
          <w:tcPr>
            <w:tcW w:type="dxa" w:w="1160"/>
            <w:tcBorders>
              <w:top w:val="single" w:color="d0d8e8" w:sz="1"/>
              <w:left w:val="single" w:color="d0d8e8" w:sz="1"/>
              <w:bottom w:val="single" w:color="d0d8e8" w:sz="1"/>
              <w:right w:val="single" w:color="d0d8e8" w:sz="1"/>
            </w:tcBorders>
            <w:shd w:fill="1a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YES</w:t>
            </w:r>
          </w:p>
        </w:tc>
      </w:tr>
    </w:tbl>
    <w:p>
      <w:pPr>
        <w:spacing w:after="120" w:line="276"/>
        <w:jc w:val="both"/>
      </w:pPr>
      <w:r>
        <w:rPr>
          <w:rFonts w:ascii="Arial" w:cs="Arial" w:eastAsia="Arial" w:hAnsi="Arial"/>
          <w:b w:val="false"/>
          <w:bCs w:val="false"/>
          <w:i/>
          <w:iCs/>
          <w:color w:val="000000"/>
          <w:sz w:val="22"/>
          <w:szCs w:val="22"/>
        </w:rPr>
        <w:t xml:space="preserve">Table 1: 13-paper comparative matrix. SecureFedHE is the only framework satisfying all five evaluation dimensions simultaneously.</w:t>
      </w:r>
    </w:p>
    <w:p>
      <w:r>
        <w:br w:type="page"/>
      </w:r>
    </w:p>
    <w:p>
      <w:pPr>
        <w:pStyle w:val="Heading1"/>
      </w:pPr>
      <w:r>
        <w:rPr>
          <w:rFonts w:ascii="Arial" w:cs="Arial" w:eastAsia="Arial" w:hAnsi="Arial"/>
          <w:b/>
          <w:bCs/>
          <w:color w:val="1a3a6b"/>
          <w:sz w:val="28"/>
          <w:szCs w:val="28"/>
        </w:rPr>
        <w:t xml:space="preserve">3. Threat Model &amp; Cryptographic Preliminaries</w:t>
      </w:r>
    </w:p>
    <w:p>
      <w:pPr>
        <w:pBdr>
          <w:bottom w:val="single" w:color="0e8a72" w:sz="4" w:space="1"/>
        </w:pBdr>
        <w:spacing w:after="160"/>
      </w:pPr>
      <w:r>
        <w:t xml:space="preserve"/>
      </w:r>
    </w:p>
    <w:p>
      <w:pPr>
        <w:spacing w:after="120" w:line="276"/>
        <w:jc w:val="both"/>
      </w:pPr>
      <w:r>
        <w:rPr>
          <w:rFonts w:ascii="Arial" w:cs="Arial" w:eastAsia="Arial" w:hAnsi="Arial"/>
          <w:b w:val="false"/>
          <w:bCs w:val="false"/>
          <w:i w:val="false"/>
          <w:iCs w:val="false"/>
          <w:color w:val="000000"/>
          <w:sz w:val="22"/>
          <w:szCs w:val="22"/>
        </w:rPr>
        <w:t xml:space="preserve">We operate under an Honest-but-Curious threat model for privacy evaluation (MIA, DLG) and a Malicious adversary model for robustness evaluation (Byzantine poisoning).</w:t>
      </w:r>
    </w:p>
    <w:p>
      <w:pPr>
        <w:pStyle w:val="Heading2"/>
      </w:pPr>
      <w:r>
        <w:rPr>
          <w:rFonts w:ascii="Arial" w:cs="Arial" w:eastAsia="Arial" w:hAnsi="Arial"/>
          <w:b/>
          <w:bCs/>
          <w:color w:val="0e8a72"/>
          <w:sz w:val="24"/>
          <w:szCs w:val="24"/>
        </w:rPr>
        <w:t xml:space="preserve">3.1 Differential Privacy: Gaussian Mechanism</w:t>
      </w:r>
    </w:p>
    <w:p>
      <w:pPr>
        <w:spacing w:after="120" w:line="276"/>
        <w:jc w:val="both"/>
      </w:pPr>
      <w:r>
        <w:rPr>
          <w:rFonts w:ascii="Arial" w:cs="Arial" w:eastAsia="Arial" w:hAnsi="Arial"/>
          <w:b w:val="false"/>
          <w:bCs w:val="false"/>
          <w:i w:val="false"/>
          <w:iCs w:val="false"/>
          <w:color w:val="000000"/>
          <w:sz w:val="22"/>
          <w:szCs w:val="22"/>
        </w:rPr>
        <w:t xml:space="preserve">To formalize the privacy guarantee on feature extractors, we bound the L2-sensitivity of gradient update function f by clipping threshold C = 0.5:</w:t>
      </w:r>
    </w:p>
    <w:p>
      <w:pPr>
        <w:pBdr>
          <w:left w:val="single" w:color="0e8a72" w:sz="16" w:space="8"/>
        </w:pBdr>
        <w:spacing w:after="100" w:before="100"/>
        <w:ind w:left="720"/>
      </w:pPr>
      <w:r>
        <w:rPr>
          <w:rFonts w:ascii="Arial" w:cs="Arial" w:eastAsia="Arial" w:hAnsi="Arial"/>
          <w:i/>
          <w:iCs/>
          <w:color w:val="1a3a6b"/>
          <w:sz w:val="22"/>
          <w:szCs w:val="22"/>
        </w:rPr>
        <w:t xml:space="preserve">Δf = max ||f(D) - f(D')||_2 ≤ 0.5</w:t>
      </w:r>
    </w:p>
    <w:p>
      <w:pPr>
        <w:spacing w:after="120" w:line="276"/>
        <w:jc w:val="both"/>
      </w:pPr>
      <w:r>
        <w:rPr>
          <w:rFonts w:ascii="Arial" w:cs="Arial" w:eastAsia="Arial" w:hAnsi="Arial"/>
          <w:b w:val="false"/>
          <w:bCs w:val="false"/>
          <w:i w:val="false"/>
          <w:iCs w:val="false"/>
          <w:color w:val="000000"/>
          <w:sz w:val="22"/>
          <w:szCs w:val="22"/>
        </w:rPr>
        <w:t xml:space="preserve">The Gaussian mechanism achieves (ε, δ)-DP with noise scale σ calibrated as:</w:t>
      </w:r>
    </w:p>
    <w:p>
      <w:pPr>
        <w:pBdr>
          <w:left w:val="single" w:color="0e8a72" w:sz="16" w:space="8"/>
        </w:pBdr>
        <w:spacing w:after="100" w:before="100"/>
        <w:ind w:left="720"/>
      </w:pPr>
      <w:r>
        <w:rPr>
          <w:rFonts w:ascii="Arial" w:cs="Arial" w:eastAsia="Arial" w:hAnsi="Arial"/>
          <w:i/>
          <w:iCs/>
          <w:color w:val="1a3a6b"/>
          <w:sz w:val="22"/>
          <w:szCs w:val="22"/>
        </w:rPr>
        <w:t xml:space="preserve">σ = (C × √(2 × ln(1.25/δ))) / ε = (0.5 × √(2 × ln(125,000))) / 20.0</w:t>
      </w:r>
    </w:p>
    <w:p>
      <w:pPr>
        <w:spacing w:after="120" w:line="276"/>
        <w:jc w:val="both"/>
      </w:pPr>
      <w:r>
        <w:rPr>
          <w:rFonts w:ascii="Arial" w:cs="Arial" w:eastAsia="Arial" w:hAnsi="Arial"/>
          <w:b w:val="false"/>
          <w:bCs w:val="false"/>
          <w:i w:val="false"/>
          <w:iCs w:val="false"/>
          <w:color w:val="000000"/>
          <w:sz w:val="22"/>
          <w:szCs w:val="22"/>
        </w:rPr>
        <w:t xml:space="preserve">To preserve convergence, noise magnitude is dynamically scaled to 5% of the clipped weight tensor's mean absolute value, preventing the static-sigma pathology identified during Ring 2 debugging.</w:t>
      </w:r>
    </w:p>
    <w:p>
      <w:pPr>
        <w:pStyle w:val="Heading2"/>
      </w:pPr>
      <w:r>
        <w:rPr>
          <w:rFonts w:ascii="Arial" w:cs="Arial" w:eastAsia="Arial" w:hAnsi="Arial"/>
          <w:b/>
          <w:bCs/>
          <w:color w:val="0e8a72"/>
          <w:sz w:val="24"/>
          <w:szCs w:val="24"/>
        </w:rPr>
        <w:t xml:space="preserve">3.2 CKKS Homomorphic Encryption</w:t>
      </w:r>
    </w:p>
    <w:p>
      <w:pPr>
        <w:spacing w:after="120" w:line="276"/>
        <w:jc w:val="both"/>
      </w:pPr>
      <w:r>
        <w:rPr>
          <w:rFonts w:ascii="Arial" w:cs="Arial" w:eastAsia="Arial" w:hAnsi="Arial"/>
          <w:b w:val="false"/>
          <w:bCs w:val="false"/>
          <w:i w:val="false"/>
          <w:iCs w:val="false"/>
          <w:color w:val="000000"/>
          <w:sz w:val="22"/>
          <w:szCs w:val="22"/>
        </w:rPr>
        <w:t xml:space="preserve">SecureFedHE uses the Cheon-Kim-Kim-Song (CKKS) scheme, operating over the polynomial quotient ring R_q = Z_q[X]/(X^N + 1). Configuration parameters:</w:t>
      </w:r>
    </w:p>
    <w:p>
      <w:pPr>
        <w:pStyle w:val="ListParagraph"/>
        <w:numPr>
          <w:ilvl w:val="0"/>
          <w:numId w:val="3"/>
        </w:numPr>
        <w:spacing w:after="80"/>
      </w:pPr>
      <w:r>
        <w:rPr>
          <w:rFonts w:ascii="Arial" w:cs="Arial" w:eastAsia="Arial" w:hAnsi="Arial"/>
          <w:color w:val="000000"/>
          <w:sz w:val="22"/>
          <w:szCs w:val="22"/>
        </w:rPr>
        <w:t xml:space="preserve">Polynomial modulus degree N = 8192 (128-bit security)</w:t>
      </w:r>
    </w:p>
    <w:p>
      <w:pPr>
        <w:pStyle w:val="ListParagraph"/>
        <w:numPr>
          <w:ilvl w:val="0"/>
          <w:numId w:val="3"/>
        </w:numPr>
        <w:spacing w:after="80"/>
      </w:pPr>
      <w:r>
        <w:rPr>
          <w:rFonts w:ascii="Arial" w:cs="Arial" w:eastAsia="Arial" w:hAnsi="Arial"/>
          <w:color w:val="000000"/>
          <w:sz w:val="22"/>
          <w:szCs w:val="22"/>
        </w:rPr>
        <w:t xml:space="preserve">Coefficient modulus bit sizes: {60, 40, 40, 60}</w:t>
      </w:r>
    </w:p>
    <w:p>
      <w:pPr>
        <w:pStyle w:val="ListParagraph"/>
        <w:numPr>
          <w:ilvl w:val="0"/>
          <w:numId w:val="3"/>
        </w:numPr>
        <w:spacing w:after="80"/>
      </w:pPr>
      <w:r>
        <w:rPr>
          <w:rFonts w:ascii="Arial" w:cs="Arial" w:eastAsia="Arial" w:hAnsi="Arial"/>
          <w:color w:val="000000"/>
          <w:sz w:val="22"/>
          <w:szCs w:val="22"/>
        </w:rPr>
        <w:t xml:space="preserve">Scaling factor Δ = 2^40 (12 decimal digits of floating-point precision)</w:t>
      </w:r>
    </w:p>
    <w:p>
      <w:pPr>
        <w:spacing w:after="120" w:line="276"/>
        <w:jc w:val="both"/>
      </w:pPr>
      <w:r>
        <w:rPr>
          <w:rFonts w:ascii="Arial" w:cs="Arial" w:eastAsia="Arial" w:hAnsi="Arial"/>
          <w:b w:val="false"/>
          <w:bCs w:val="false"/>
          <w:i w:val="false"/>
          <w:iCs w:val="false"/>
          <w:color w:val="000000"/>
          <w:sz w:val="22"/>
          <w:szCs w:val="22"/>
        </w:rPr>
        <w:t xml:space="preserve">Encryption of plaintext polynomial pt produces ciphertext ct:</w:t>
      </w:r>
    </w:p>
    <w:p>
      <w:pPr>
        <w:pBdr>
          <w:left w:val="single" w:color="0e8a72" w:sz="16" w:space="8"/>
        </w:pBdr>
        <w:spacing w:after="100" w:before="100"/>
        <w:ind w:left="720"/>
      </w:pPr>
      <w:r>
        <w:rPr>
          <w:rFonts w:ascii="Arial" w:cs="Arial" w:eastAsia="Arial" w:hAnsi="Arial"/>
          <w:i/>
          <w:iCs/>
          <w:color w:val="1a3a6b"/>
          <w:sz w:val="22"/>
          <w:szCs w:val="22"/>
        </w:rPr>
        <w:t xml:space="preserve">ct = (v·b + e₀ + pt, v·a + e₁) (mod q)</w:t>
      </w:r>
    </w:p>
    <w:p>
      <w:pPr>
        <w:spacing w:after="120" w:line="276"/>
        <w:jc w:val="both"/>
      </w:pPr>
      <w:r>
        <w:rPr>
          <w:rFonts w:ascii="Arial" w:cs="Arial" w:eastAsia="Arial" w:hAnsi="Arial"/>
          <w:b w:val="false"/>
          <w:bCs w:val="false"/>
          <w:i w:val="false"/>
          <w:iCs w:val="false"/>
          <w:color w:val="000000"/>
          <w:sz w:val="22"/>
          <w:szCs w:val="22"/>
        </w:rPr>
        <w:t xml:space="preserve">Homomorphic addition of two ciphertexts (used during ring aggregation):</w:t>
      </w:r>
    </w:p>
    <w:p>
      <w:pPr>
        <w:pBdr>
          <w:left w:val="single" w:color="0e8a72" w:sz="16" w:space="8"/>
        </w:pBdr>
        <w:spacing w:after="100" w:before="100"/>
        <w:ind w:left="720"/>
      </w:pPr>
      <w:r>
        <w:rPr>
          <w:rFonts w:ascii="Arial" w:cs="Arial" w:eastAsia="Arial" w:hAnsi="Arial"/>
          <w:i/>
          <w:iCs/>
          <w:color w:val="1a3a6b"/>
          <w:sz w:val="22"/>
          <w:szCs w:val="22"/>
        </w:rPr>
        <w:t xml:space="preserve">ct_agg = ct_1 + ct_2 (mod q)</w:t>
      </w:r>
    </w:p>
    <w:p>
      <w:pPr>
        <w:spacing w:after="120" w:line="276"/>
        <w:jc w:val="both"/>
      </w:pPr>
      <w:r>
        <w:rPr>
          <w:rFonts w:ascii="Arial" w:cs="Arial" w:eastAsia="Arial" w:hAnsi="Arial"/>
          <w:b w:val="false"/>
          <w:bCs w:val="false"/>
          <w:i w:val="false"/>
          <w:iCs w:val="false"/>
          <w:color w:val="000000"/>
          <w:sz w:val="22"/>
          <w:szCs w:val="22"/>
        </w:rPr>
        <w:t xml:space="preserve">This property allows N nodes to aggregate their encrypted intelligence without any decryption in transit.</w:t>
      </w:r>
    </w:p>
    <w:p>
      <w:r>
        <w:br w:type="page"/>
      </w:r>
    </w:p>
    <w:p>
      <w:pPr>
        <w:pStyle w:val="Heading1"/>
      </w:pPr>
      <w:r>
        <w:rPr>
          <w:rFonts w:ascii="Arial" w:cs="Arial" w:eastAsia="Arial" w:hAnsi="Arial"/>
          <w:b/>
          <w:bCs/>
          <w:color w:val="1a3a6b"/>
          <w:sz w:val="28"/>
          <w:szCs w:val="28"/>
        </w:rPr>
        <w:t xml:space="preserve">4. The SecureFedHE Architecture: Three Rings</w:t>
      </w:r>
    </w:p>
    <w:p>
      <w:pPr>
        <w:pBdr>
          <w:bottom w:val="single" w:color="0e8a72" w:sz="4" w:space="1"/>
        </w:pBdr>
        <w:spacing w:after="160"/>
      </w:pPr>
      <w:r>
        <w:t xml:space="preserve"/>
      </w:r>
    </w:p>
    <w:p>
      <w:pPr>
        <w:spacing w:after="120" w:line="276"/>
        <w:jc w:val="both"/>
      </w:pPr>
      <w:r>
        <w:rPr>
          <w:rFonts w:ascii="Arial" w:cs="Arial" w:eastAsia="Arial" w:hAnsi="Arial"/>
          <w:b w:val="false"/>
          <w:bCs w:val="false"/>
          <w:i w:val="false"/>
          <w:iCs w:val="false"/>
          <w:color w:val="000000"/>
          <w:sz w:val="22"/>
          <w:szCs w:val="22"/>
        </w:rPr>
        <w:t xml:space="preserve">The codebase was developed in three isolated stages to ensure systematic engineering and debugging. Each ring adds one layer of complexity while preserving all previous guarantees.</w:t>
      </w:r>
    </w:p>
    <w:p>
      <w:pPr>
        <w:pStyle w:val="Heading2"/>
      </w:pPr>
      <w:r>
        <w:rPr>
          <w:rFonts w:ascii="Arial" w:cs="Arial" w:eastAsia="Arial" w:hAnsi="Arial"/>
          <w:b/>
          <w:bCs/>
          <w:color w:val="0e8a72"/>
          <w:sz w:val="24"/>
          <w:szCs w:val="24"/>
        </w:rPr>
        <w:t xml:space="preserve">4.1 Ring 1: Vanilla FL Baseline</w:t>
      </w:r>
    </w:p>
    <w:p>
      <w:pPr>
        <w:spacing w:after="120" w:line="276"/>
        <w:jc w:val="both"/>
      </w:pPr>
      <w:r>
        <w:rPr>
          <w:rFonts w:ascii="Arial" w:cs="Arial" w:eastAsia="Arial" w:hAnsi="Arial"/>
          <w:b w:val="false"/>
          <w:bCs w:val="false"/>
          <w:i w:val="false"/>
          <w:iCs w:val="false"/>
          <w:color w:val="000000"/>
          <w:sz w:val="22"/>
          <w:szCs w:val="22"/>
        </w:rPr>
        <w:t xml:space="preserve">Objective: Establish a functional distributed AI without cryptography to measure baseline accuracy.</w:t>
      </w:r>
    </w:p>
    <w:p>
      <w:pPr>
        <w:pStyle w:val="ListParagraph"/>
        <w:numPr>
          <w:ilvl w:val="0"/>
          <w:numId w:val="3"/>
        </w:numPr>
        <w:spacing w:after="80"/>
      </w:pPr>
      <w:r>
        <w:rPr>
          <w:rFonts w:ascii="Arial" w:cs="Arial" w:eastAsia="Arial" w:hAnsi="Arial"/>
          <w:color w:val="000000"/>
          <w:sz w:val="22"/>
          <w:szCs w:val="22"/>
        </w:rPr>
        <w:t xml:space="preserve">Architecture: PyTorch Convolutional Neural Network (3 conv blocks + 2 FC layers)</w:t>
      </w:r>
    </w:p>
    <w:p>
      <w:pPr>
        <w:pStyle w:val="ListParagraph"/>
        <w:numPr>
          <w:ilvl w:val="0"/>
          <w:numId w:val="3"/>
        </w:numPr>
        <w:spacing w:after="80"/>
      </w:pPr>
      <w:r>
        <w:rPr>
          <w:rFonts w:ascii="Arial" w:cs="Arial" w:eastAsia="Arial" w:hAnsi="Arial"/>
          <w:color w:val="000000"/>
          <w:sz w:val="22"/>
          <w:szCs w:val="22"/>
        </w:rPr>
        <w:t xml:space="preserve">Dataset: CIFAR-10 with Dirichlet Non-IID partitioner (α=0.5, simulating biased hospital data distributions)</w:t>
      </w:r>
    </w:p>
    <w:p>
      <w:pPr>
        <w:pStyle w:val="ListParagraph"/>
        <w:numPr>
          <w:ilvl w:val="0"/>
          <w:numId w:val="3"/>
        </w:numPr>
        <w:spacing w:after="80"/>
      </w:pPr>
      <w:r>
        <w:rPr>
          <w:rFonts w:ascii="Arial" w:cs="Arial" w:eastAsia="Arial" w:hAnsi="Arial"/>
          <w:color w:val="000000"/>
          <w:sz w:val="22"/>
          <w:szCs w:val="22"/>
        </w:rPr>
        <w:t xml:space="preserve">Aggregation: Federated Averaging (FedAvg) across 5 simulated edge clients</w:t>
      </w:r>
    </w:p>
    <w:p>
      <w:pPr>
        <w:spacing w:after="120" w:line="276"/>
        <w:jc w:val="both"/>
      </w:pPr>
      <w:r>
        <w:rPr>
          <w:rFonts w:ascii="Arial" w:cs="Arial" w:eastAsia="Arial" w:hAnsi="Arial"/>
          <w:b w:val="false"/>
          <w:bCs w:val="false"/>
          <w:i w:val="false"/>
          <w:iCs w:val="false"/>
          <w:color w:val="000000"/>
          <w:sz w:val="22"/>
          <w:szCs w:val="22"/>
        </w:rPr>
        <w:t xml:space="preserve">Result: Achieved baseline accuracy of 79.43% after 20 communication rounds.</w:t>
      </w:r>
    </w:p>
    <w:p>
      <w:pPr>
        <w:pStyle w:val="Heading2"/>
      </w:pPr>
      <w:r>
        <w:rPr>
          <w:rFonts w:ascii="Arial" w:cs="Arial" w:eastAsia="Arial" w:hAnsi="Arial"/>
          <w:b/>
          <w:bCs/>
          <w:color w:val="0e8a72"/>
          <w:sz w:val="24"/>
          <w:szCs w:val="24"/>
        </w:rPr>
        <w:t xml:space="preserve">4.2 Ring 2: Selective HE + Differential Privacy</w:t>
      </w:r>
    </w:p>
    <w:p>
      <w:pPr>
        <w:spacing w:after="120" w:line="276"/>
        <w:jc w:val="both"/>
      </w:pPr>
      <w:r>
        <w:rPr>
          <w:rFonts w:ascii="Arial" w:cs="Arial" w:eastAsia="Arial" w:hAnsi="Arial"/>
          <w:b w:val="false"/>
          <w:bCs w:val="false"/>
          <w:i w:val="false"/>
          <w:iCs w:val="false"/>
          <w:color w:val="000000"/>
          <w:sz w:val="22"/>
          <w:szCs w:val="22"/>
        </w:rPr>
        <w:t xml:space="preserve">Objective: Secure model weights without destroying execution speed. The core architectural innovation is the privacy domain split: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5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Protection</w:t>
            </w:r>
          </w:p>
        </w:tc>
        <w:tc>
          <w:tcPr>
            <w:tcW w:type="dxa" w:w="20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Sensitivity</w:t>
            </w:r>
          </w:p>
        </w:tc>
        <w:tc>
          <w:tcPr>
            <w:tcW w:type="dxa" w:w="236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25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conv blocks (1-3)</w:t>
            </w:r>
          </w:p>
        </w:tc>
        <w:tc>
          <w:tcPr>
            <w:tcW w:type="dxa" w:w="25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Plaintext transmission</w:t>
            </w:r>
          </w:p>
        </w:tc>
        <w:tc>
          <w:tcPr>
            <w:tcW w:type="dxa" w:w="20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Low</w:t>
            </w:r>
          </w:p>
        </w:tc>
        <w:tc>
          <w:tcPr>
            <w:tcW w:type="dxa" w:w="236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Generic edge/texture features</w:t>
            </w:r>
          </w:p>
        </w:tc>
      </w:tr>
      <w:tr>
        <w:tc>
          <w:tcPr>
            <w:tcW w:type="dxa" w:w="25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fc1 (256 units)</w:t>
            </w:r>
          </w:p>
        </w:tc>
        <w:tc>
          <w:tcPr>
            <w:tcW w:type="dxa" w:w="25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Differential Privacy (ε=20)</w:t>
            </w:r>
          </w:p>
        </w:tc>
        <w:tc>
          <w:tcPr>
            <w:tcW w:type="dxa" w:w="20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Medium</w:t>
            </w:r>
          </w:p>
        </w:tc>
        <w:tc>
          <w:tcPr>
            <w:tcW w:type="dxa" w:w="236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Intermediate representations</w:t>
            </w:r>
          </w:p>
        </w:tc>
      </w:tr>
      <w:tr>
        <w:tc>
          <w:tcPr>
            <w:tcW w:type="dxa" w:w="250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bCs/>
                <w:color w:val="000000"/>
                <w:sz w:val="20"/>
                <w:szCs w:val="20"/>
              </w:rPr>
              <w:t xml:space="preserve">fc2 (classifier)</w:t>
            </w:r>
          </w:p>
        </w:tc>
        <w:tc>
          <w:tcPr>
            <w:tcW w:type="dxa" w:w="250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bCs/>
                <w:color w:val="000000"/>
                <w:sz w:val="20"/>
                <w:szCs w:val="20"/>
              </w:rPr>
              <w:t xml:space="preserve">CKKS HE encryption</w:t>
            </w:r>
          </w:p>
        </w:tc>
        <w:tc>
          <w:tcPr>
            <w:tcW w:type="dxa" w:w="200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bCs/>
                <w:color w:val="000000"/>
                <w:sz w:val="20"/>
                <w:szCs w:val="20"/>
              </w:rPr>
              <w:t xml:space="preserve">HIGH</w:t>
            </w:r>
          </w:p>
        </w:tc>
        <w:tc>
          <w:tcPr>
            <w:tcW w:type="dxa" w:w="236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bCs/>
                <w:color w:val="000000"/>
                <w:sz w:val="20"/>
                <w:szCs w:val="20"/>
              </w:rPr>
              <w:t xml:space="preserve">Maps directly to class labels</w:t>
            </w:r>
          </w:p>
        </w:tc>
      </w:tr>
    </w:tbl>
    <w:p>
      <w:pPr>
        <w:spacing w:after="120" w:line="276"/>
        <w:jc w:val="both"/>
      </w:pPr>
      <w:r>
        <w:rPr>
          <w:rFonts w:ascii="Arial" w:cs="Arial" w:eastAsia="Arial" w:hAnsi="Arial"/>
          <w:b w:val="false"/>
          <w:bCs w:val="false"/>
          <w:i/>
          <w:iCs/>
          <w:color w:val="000000"/>
          <w:sz w:val="22"/>
          <w:szCs w:val="22"/>
        </w:rPr>
        <w:t xml:space="preserve">Table 2: Privacy domain split — the core novelty of SecureFedHE.</w:t>
      </w:r>
    </w:p>
    <w:p>
      <w:pPr>
        <w:spacing w:after="60"/>
      </w:pPr>
      <w:r>
        <w:t xml:space="preserve"/>
      </w:r>
    </w:p>
    <w:p>
      <w:pPr>
        <w:spacing w:after="120" w:line="276"/>
        <w:jc w:val="both"/>
      </w:pPr>
      <w:r>
        <w:rPr>
          <w:rFonts w:ascii="Arial" w:cs="Arial" w:eastAsia="Arial" w:hAnsi="Arial"/>
          <w:b w:val="false"/>
          <w:bCs w:val="false"/>
          <w:i w:val="false"/>
          <w:iCs w:val="false"/>
          <w:color w:val="000000"/>
          <w:sz w:val="22"/>
          <w:szCs w:val="22"/>
        </w:rPr>
        <w:t xml:space="preserve">Debugging Record: During Ring 2 development, aggressive DP clipping with ε=2.0 buried fc1 weights in noise, collapsing accuracy to ~14%. Root cause: static sigma value of 0.61 exceeded typical weight magnitudes of ~0.001 post-clipping. Fix: dynamic noise scaling to 5% of weight magnitude. Accuracy recovered to 79.23%.</w:t>
      </w:r>
    </w:p>
    <w:p>
      <w:pPr>
        <w:pStyle w:val="Heading2"/>
      </w:pPr>
      <w:r>
        <w:rPr>
          <w:rFonts w:ascii="Arial" w:cs="Arial" w:eastAsia="Arial" w:hAnsi="Arial"/>
          <w:b/>
          <w:bCs/>
          <w:color w:val="0e8a72"/>
          <w:sz w:val="24"/>
          <w:szCs w:val="24"/>
        </w:rPr>
        <w:t xml:space="preserve">4.3 Ring 3: True Decentralized Ring Topology</w:t>
      </w:r>
    </w:p>
    <w:p>
      <w:pPr>
        <w:spacing w:after="120" w:line="276"/>
        <w:jc w:val="both"/>
      </w:pPr>
      <w:r>
        <w:rPr>
          <w:rFonts w:ascii="Arial" w:cs="Arial" w:eastAsia="Arial" w:hAnsi="Arial"/>
          <w:b w:val="false"/>
          <w:bCs w:val="false"/>
          <w:i w:val="false"/>
          <w:iCs w:val="false"/>
          <w:color w:val="000000"/>
          <w:sz w:val="22"/>
          <w:szCs w:val="22"/>
        </w:rPr>
        <w:t xml:space="preserve">Objective: Eliminate the central server by passing ciphertexts peer-to-peer via HTTP.</w:t>
      </w:r>
    </w:p>
    <w:p>
      <w:pPr>
        <w:pStyle w:val="ListParagraph"/>
        <w:numPr>
          <w:ilvl w:val="0"/>
          <w:numId w:val="3"/>
        </w:numPr>
        <w:spacing w:after="80"/>
      </w:pPr>
      <w:r>
        <w:rPr>
          <w:rFonts w:ascii="Arial" w:cs="Arial" w:eastAsia="Arial" w:hAnsi="Arial"/>
          <w:color w:val="000000"/>
          <w:sz w:val="22"/>
          <w:szCs w:val="22"/>
        </w:rPr>
        <w:t xml:space="preserve">Three independent Flask servers on loopback ports 5000, 5001, 5002</w:t>
      </w:r>
    </w:p>
    <w:p>
      <w:pPr>
        <w:pStyle w:val="ListParagraph"/>
        <w:numPr>
          <w:ilvl w:val="0"/>
          <w:numId w:val="3"/>
        </w:numPr>
        <w:spacing w:after="80"/>
      </w:pPr>
      <w:r>
        <w:rPr>
          <w:rFonts w:ascii="Arial" w:cs="Arial" w:eastAsia="Arial" w:hAnsi="Arial"/>
          <w:color w:val="000000"/>
          <w:sz w:val="22"/>
          <w:szCs w:val="22"/>
        </w:rPr>
        <w:t xml:space="preserve">TenSEAL CKKS ciphertexts serialized to raw bytes (Fix 4: 25% smaller than Base64)</w:t>
      </w:r>
    </w:p>
    <w:p>
      <w:pPr>
        <w:pStyle w:val="ListParagraph"/>
        <w:numPr>
          <w:ilvl w:val="0"/>
          <w:numId w:val="3"/>
        </w:numPr>
        <w:spacing w:after="80"/>
      </w:pPr>
      <w:r>
        <w:rPr>
          <w:rFonts w:ascii="Arial" w:cs="Arial" w:eastAsia="Arial" w:hAnsi="Arial"/>
          <w:color w:val="000000"/>
          <w:sz w:val="22"/>
          <w:szCs w:val="22"/>
        </w:rPr>
        <w:t xml:space="preserve">HTTP POST requests transmit encrypted payloads between nodes</w:t>
      </w:r>
    </w:p>
    <w:p>
      <w:pPr>
        <w:pStyle w:val="ListParagraph"/>
        <w:numPr>
          <w:ilvl w:val="0"/>
          <w:numId w:val="3"/>
        </w:numPr>
        <w:spacing w:after="80"/>
      </w:pPr>
      <w:r>
        <w:rPr>
          <w:rFonts w:ascii="Arial" w:cs="Arial" w:eastAsia="Arial" w:hAnsi="Arial"/>
          <w:color w:val="000000"/>
          <w:sz w:val="22"/>
          <w:szCs w:val="22"/>
        </w:rPr>
        <w:t xml:space="preserve">Homomorphic addition performed at each node without decryption</w:t>
      </w:r>
    </w:p>
    <w:p>
      <w:pPr>
        <w:pStyle w:val="ListParagraph"/>
        <w:numPr>
          <w:ilvl w:val="0"/>
          <w:numId w:val="3"/>
        </w:numPr>
        <w:spacing w:after="80"/>
      </w:pPr>
      <w:r>
        <w:rPr>
          <w:rFonts w:ascii="Arial" w:cs="Arial" w:eastAsia="Arial" w:hAnsi="Arial"/>
          <w:color w:val="000000"/>
          <w:sz w:val="22"/>
          <w:szCs w:val="22"/>
        </w:rPr>
        <w:t xml:space="preserve">Node 0 decrypts only the final aggregate after ring completion</w:t>
      </w:r>
    </w:p>
    <w:p>
      <w:pPr>
        <w:spacing w:after="120" w:line="276"/>
        <w:jc w:val="both"/>
      </w:pPr>
      <w:r>
        <w:rPr>
          <w:rFonts w:ascii="Arial" w:cs="Arial" w:eastAsia="Arial" w:hAnsi="Arial"/>
          <w:b w:val="false"/>
          <w:bCs w:val="false"/>
          <w:i w:val="false"/>
          <w:iCs w:val="false"/>
          <w:color w:val="000000"/>
          <w:sz w:val="22"/>
          <w:szCs w:val="22"/>
        </w:rPr>
        <w:t xml:space="preserve">Engineering Challenges Resolved:</w:t>
      </w:r>
    </w:p>
    <w:p>
      <w:pPr>
        <w:pStyle w:val="ListParagraph"/>
        <w:numPr>
          <w:ilvl w:val="0"/>
          <w:numId w:val="3"/>
        </w:numPr>
        <w:spacing w:after="80"/>
      </w:pPr>
      <w:r>
        <w:rPr>
          <w:rFonts w:ascii="Arial" w:cs="Arial" w:eastAsia="Arial" w:hAnsi="Arial"/>
          <w:color w:val="000000"/>
          <w:sz w:val="22"/>
          <w:szCs w:val="22"/>
        </w:rPr>
        <w:t xml:space="preserve">Thread Deadlocking: Fixed by executing HTTP transmissions asynchronously via Python threading module</w:t>
      </w:r>
    </w:p>
    <w:p>
      <w:pPr>
        <w:pStyle w:val="ListParagraph"/>
        <w:numPr>
          <w:ilvl w:val="0"/>
          <w:numId w:val="3"/>
        </w:numPr>
        <w:spacing w:after="80"/>
      </w:pPr>
      <w:r>
        <w:rPr>
          <w:rFonts w:ascii="Arial" w:cs="Arial" w:eastAsia="Arial" w:hAnsi="Arial"/>
          <w:color w:val="000000"/>
          <w:sz w:val="22"/>
          <w:szCs w:val="22"/>
        </w:rPr>
        <w:t xml:space="preserve">Zombie Processes: Cleared via targeted taskkill commands on port-binding failures</w:t>
      </w:r>
    </w:p>
    <w:p>
      <w:pPr>
        <w:pStyle w:val="ListParagraph"/>
        <w:numPr>
          <w:ilvl w:val="0"/>
          <w:numId w:val="3"/>
        </w:numPr>
        <w:spacing w:after="80"/>
      </w:pPr>
      <w:r>
        <w:rPr>
          <w:rFonts w:ascii="Arial" w:cs="Arial" w:eastAsia="Arial" w:hAnsi="Arial"/>
          <w:color w:val="000000"/>
          <w:sz w:val="22"/>
          <w:szCs w:val="22"/>
        </w:rPr>
        <w:t xml:space="preserve">Console Optimization: PYTHONUNBUFFERED=1, suppressed Flask HTTP logs, color-coded emoji-tagged terminal output</w:t>
      </w:r>
    </w:p>
    <w:p>
      <w:r>
        <w:br w:type="page"/>
      </w:r>
    </w:p>
    <w:p>
      <w:pPr>
        <w:pStyle w:val="Heading1"/>
      </w:pPr>
      <w:r>
        <w:rPr>
          <w:rFonts w:ascii="Arial" w:cs="Arial" w:eastAsia="Arial" w:hAnsi="Arial"/>
          <w:b/>
          <w:bCs/>
          <w:color w:val="1a3a6b"/>
          <w:sz w:val="28"/>
          <w:szCs w:val="28"/>
        </w:rPr>
        <w:t xml:space="preserve">5. Experimental Evaluation</w:t>
      </w:r>
    </w:p>
    <w:p>
      <w:pPr>
        <w:pBdr>
          <w:bottom w:val="single" w:color="0e8a72" w:sz="4" w:space="1"/>
        </w:pBdr>
        <w:spacing w:after="160"/>
      </w:pPr>
      <w:r>
        <w:t xml:space="preserve"/>
      </w:r>
    </w:p>
    <w:p>
      <w:pPr>
        <w:spacing w:after="120" w:line="276"/>
        <w:jc w:val="both"/>
      </w:pPr>
      <w:r>
        <w:rPr>
          <w:rFonts w:ascii="Arial" w:cs="Arial" w:eastAsia="Arial" w:hAnsi="Arial"/>
          <w:b w:val="false"/>
          <w:bCs w:val="false"/>
          <w:i w:val="false"/>
          <w:iCs w:val="false"/>
          <w:color w:val="000000"/>
          <w:sz w:val="22"/>
          <w:szCs w:val="22"/>
        </w:rPr>
        <w:t xml:space="preserve">All experiments were conducted on Google Colab (T4 GPU) with CIFAR-10 (50,000 train / 10,000 test). Non-IID partitioning used Dirichlet distribution to simulate heterogeneous hospital environments.</w:t>
      </w:r>
    </w:p>
    <w:p>
      <w:pPr>
        <w:pStyle w:val="Heading2"/>
      </w:pPr>
      <w:r>
        <w:rPr>
          <w:rFonts w:ascii="Arial" w:cs="Arial" w:eastAsia="Arial" w:hAnsi="Arial"/>
          <w:b/>
          <w:bCs/>
          <w:color w:val="0e8a72"/>
          <w:sz w:val="24"/>
          <w:szCs w:val="24"/>
        </w:rPr>
        <w:t xml:space="preserve">5.1 Ring 2: Privacy-Utility Trade-off</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80"/>
        <w:gridCol w:w="2080"/>
      </w:tblGrid>
      <w:tr>
        <w:tc>
          <w:tcPr>
            <w:tcW w:type="dxa" w:w="24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Configuration</w:t>
            </w:r>
          </w:p>
        </w:tc>
        <w:tc>
          <w:tcPr>
            <w:tcW w:type="dxa" w:w="16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Accuracy</w:t>
            </w:r>
          </w:p>
        </w:tc>
        <w:tc>
          <w:tcPr>
            <w:tcW w:type="dxa" w:w="16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 Drop</w:t>
            </w:r>
          </w:p>
        </w:tc>
        <w:tc>
          <w:tcPr>
            <w:tcW w:type="dxa" w:w="168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 Overhead</w:t>
            </w:r>
          </w:p>
        </w:tc>
        <w:tc>
          <w:tcPr>
            <w:tcW w:type="dxa" w:w="208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4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Ring 1 Baseline (no HE)</w:t>
            </w:r>
          </w:p>
        </w:tc>
        <w:tc>
          <w:tcPr>
            <w:tcW w:type="dxa" w:w="16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bCs/>
                <w:color w:val="000000"/>
                <w:sz w:val="20"/>
                <w:szCs w:val="20"/>
              </w:rPr>
              <w:t xml:space="preserve">79.43%</w:t>
            </w:r>
          </w:p>
        </w:tc>
        <w:tc>
          <w:tcPr>
            <w:tcW w:type="dxa" w:w="16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t>
            </w:r>
          </w:p>
        </w:tc>
        <w:tc>
          <w:tcPr>
            <w:tcW w:type="dxa" w:w="168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0 ms</w:t>
            </w:r>
          </w:p>
        </w:tc>
        <w:tc>
          <w:tcPr>
            <w:tcW w:type="dxa" w:w="208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Reference</w:t>
            </w:r>
          </w:p>
        </w:tc>
      </w:tr>
      <w:tr>
        <w:tc>
          <w:tcPr>
            <w:tcW w:type="dxa" w:w="24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HE only (no DP)</w:t>
            </w:r>
          </w:p>
        </w:tc>
        <w:tc>
          <w:tcPr>
            <w:tcW w:type="dxa" w:w="16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bCs/>
                <w:color w:val="000000"/>
                <w:sz w:val="20"/>
                <w:szCs w:val="20"/>
              </w:rPr>
              <w:t xml:space="preserve">80.34%</w:t>
            </w:r>
          </w:p>
        </w:tc>
        <w:tc>
          <w:tcPr>
            <w:tcW w:type="dxa" w:w="16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+0.91%</w:t>
            </w:r>
          </w:p>
        </w:tc>
        <w:tc>
          <w:tcPr>
            <w:tcW w:type="dxa" w:w="168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16.5 ms</w:t>
            </w:r>
          </w:p>
        </w:tc>
        <w:tc>
          <w:tcPr>
            <w:tcW w:type="dxa" w:w="208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Improved</w:t>
            </w:r>
          </w:p>
        </w:tc>
      </w:tr>
      <w:tr>
        <w:tc>
          <w:tcPr>
            <w:tcW w:type="dxa" w:w="24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HE + DP ε=50</w:t>
            </w:r>
          </w:p>
        </w:tc>
        <w:tc>
          <w:tcPr>
            <w:tcW w:type="dxa" w:w="16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bCs/>
                <w:color w:val="000000"/>
                <w:sz w:val="20"/>
                <w:szCs w:val="20"/>
              </w:rPr>
              <w:t xml:space="preserve">79.31%</w:t>
            </w:r>
          </w:p>
        </w:tc>
        <w:tc>
          <w:tcPr>
            <w:tcW w:type="dxa" w:w="16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-0.12%</w:t>
            </w:r>
          </w:p>
        </w:tc>
        <w:tc>
          <w:tcPr>
            <w:tcW w:type="dxa" w:w="168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16.2 ms</w:t>
            </w:r>
          </w:p>
        </w:tc>
        <w:tc>
          <w:tcPr>
            <w:tcW w:type="dxa" w:w="208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PASS</w:t>
            </w:r>
          </w:p>
        </w:tc>
      </w:tr>
      <w:tr>
        <w:tc>
          <w:tcPr>
            <w:tcW w:type="dxa" w:w="240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bCs/>
                <w:color w:val="000000"/>
                <w:sz w:val="20"/>
                <w:szCs w:val="20"/>
              </w:rPr>
              <w:t xml:space="preserve">HE + DP ε=20</w:t>
            </w:r>
          </w:p>
        </w:tc>
        <w:tc>
          <w:tcPr>
            <w:tcW w:type="dxa" w:w="160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bCs/>
                <w:color w:val="000000"/>
                <w:sz w:val="20"/>
                <w:szCs w:val="20"/>
              </w:rPr>
              <w:t xml:space="preserve">79.23%</w:t>
            </w:r>
          </w:p>
        </w:tc>
        <w:tc>
          <w:tcPr>
            <w:tcW w:type="dxa" w:w="160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-0.20%</w:t>
            </w:r>
          </w:p>
        </w:tc>
        <w:tc>
          <w:tcPr>
            <w:tcW w:type="dxa" w:w="168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16.8 ms</w:t>
            </w:r>
          </w:p>
        </w:tc>
        <w:tc>
          <w:tcPr>
            <w:tcW w:type="dxa" w:w="208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bCs/>
                <w:color w:val="000000"/>
                <w:sz w:val="20"/>
                <w:szCs w:val="20"/>
              </w:rPr>
              <w:t xml:space="preserve">✓ PASS (Selected)</w:t>
            </w:r>
          </w:p>
        </w:tc>
      </w:tr>
      <w:tr>
        <w:tc>
          <w:tcPr>
            <w:tcW w:type="dxa" w:w="24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HE + DP ε=10</w:t>
            </w:r>
          </w:p>
        </w:tc>
        <w:tc>
          <w:tcPr>
            <w:tcW w:type="dxa" w:w="16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bCs/>
                <w:color w:val="000000"/>
                <w:sz w:val="20"/>
                <w:szCs w:val="20"/>
              </w:rPr>
              <w:t xml:space="preserve">79.74%</w:t>
            </w:r>
          </w:p>
        </w:tc>
        <w:tc>
          <w:tcPr>
            <w:tcW w:type="dxa" w:w="16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-0.31%</w:t>
            </w:r>
          </w:p>
        </w:tc>
        <w:tc>
          <w:tcPr>
            <w:tcW w:type="dxa" w:w="168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15.95 ms</w:t>
            </w:r>
          </w:p>
        </w:tc>
        <w:tc>
          <w:tcPr>
            <w:tcW w:type="dxa" w:w="208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PASS</w:t>
            </w:r>
          </w:p>
        </w:tc>
      </w:tr>
    </w:tbl>
    <w:p>
      <w:pPr>
        <w:spacing w:after="120" w:line="276"/>
        <w:jc w:val="both"/>
      </w:pPr>
      <w:r>
        <w:rPr>
          <w:rFonts w:ascii="Arial" w:cs="Arial" w:eastAsia="Arial" w:hAnsi="Arial"/>
          <w:b w:val="false"/>
          <w:bCs w:val="false"/>
          <w:i/>
          <w:iCs/>
          <w:color w:val="000000"/>
          <w:sz w:val="22"/>
          <w:szCs w:val="22"/>
        </w:rPr>
        <w:t xml:space="preserve">Table 3: Ring 2 privacy-utility trade-off. HE + DP ε=20 selected as primary configuration.</w:t>
      </w:r>
    </w:p>
    <w:p>
      <w:pPr>
        <w:pStyle w:val="Heading2"/>
      </w:pPr>
      <w:r>
        <w:rPr>
          <w:rFonts w:ascii="Arial" w:cs="Arial" w:eastAsia="Arial" w:hAnsi="Arial"/>
          <w:b/>
          <w:bCs/>
          <w:color w:val="0e8a72"/>
          <w:sz w:val="24"/>
          <w:szCs w:val="24"/>
        </w:rPr>
        <w:t xml:space="preserve">5.2 Scalability: Client Count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600"/>
        <w:gridCol w:w="1800"/>
        <w:gridCol w:w="2600"/>
      </w:tblGrid>
      <w:tr>
        <w:tc>
          <w:tcPr>
            <w:tcW w:type="dxa" w:w="156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Clients</w:t>
            </w:r>
          </w:p>
        </w:tc>
        <w:tc>
          <w:tcPr>
            <w:tcW w:type="dxa" w:w="18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Accuracy</w:t>
            </w:r>
          </w:p>
        </w:tc>
        <w:tc>
          <w:tcPr>
            <w:tcW w:type="dxa" w:w="16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 Overhead</w:t>
            </w:r>
          </w:p>
        </w:tc>
        <w:tc>
          <w:tcPr>
            <w:tcW w:type="dxa" w:w="18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 Cost</w:t>
            </w:r>
          </w:p>
        </w:tc>
        <w:tc>
          <w:tcPr>
            <w:tcW w:type="dxa" w:w="26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Observation</w:t>
            </w:r>
          </w:p>
        </w:tc>
      </w:tr>
      <w:tr>
        <w:tc>
          <w:tcPr>
            <w:tcW w:type="dxa" w:w="156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bCs/>
                <w:color w:val="000000"/>
                <w:sz w:val="20"/>
                <w:szCs w:val="20"/>
              </w:rPr>
              <w:t xml:space="preserve">5</w:t>
            </w:r>
          </w:p>
        </w:tc>
        <w:tc>
          <w:tcPr>
            <w:tcW w:type="dxa" w:w="18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78.79%</w:t>
            </w:r>
          </w:p>
        </w:tc>
        <w:tc>
          <w:tcPr>
            <w:tcW w:type="dxa" w:w="16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15.45 ms</w:t>
            </w:r>
          </w:p>
        </w:tc>
        <w:tc>
          <w:tcPr>
            <w:tcW w:type="dxa" w:w="18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18.97 MB</w:t>
            </w:r>
          </w:p>
        </w:tc>
        <w:tc>
          <w:tcPr>
            <w:tcW w:type="dxa" w:w="26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Strong convergence</w:t>
            </w:r>
          </w:p>
        </w:tc>
      </w:tr>
      <w:tr>
        <w:tc>
          <w:tcPr>
            <w:tcW w:type="dxa" w:w="156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bCs/>
                <w:color w:val="000000"/>
                <w:sz w:val="20"/>
                <w:szCs w:val="20"/>
              </w:rPr>
              <w:t xml:space="preserve">10</w:t>
            </w:r>
          </w:p>
        </w:tc>
        <w:tc>
          <w:tcPr>
            <w:tcW w:type="dxa" w:w="18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75.71%</w:t>
            </w:r>
          </w:p>
        </w:tc>
        <w:tc>
          <w:tcPr>
            <w:tcW w:type="dxa" w:w="16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16.15 ms</w:t>
            </w:r>
          </w:p>
        </w:tc>
        <w:tc>
          <w:tcPr>
            <w:tcW w:type="dxa" w:w="18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37.91 MB</w:t>
            </w:r>
          </w:p>
        </w:tc>
        <w:tc>
          <w:tcPr>
            <w:tcW w:type="dxa" w:w="26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Stable overhead</w:t>
            </w:r>
          </w:p>
        </w:tc>
      </w:tr>
      <w:tr>
        <w:tc>
          <w:tcPr>
            <w:tcW w:type="dxa" w:w="156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bCs/>
                <w:color w:val="000000"/>
                <w:sz w:val="20"/>
                <w:szCs w:val="20"/>
              </w:rPr>
              <w:t xml:space="preserve">20</w:t>
            </w:r>
          </w:p>
        </w:tc>
        <w:tc>
          <w:tcPr>
            <w:tcW w:type="dxa" w:w="18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70.81%</w:t>
            </w:r>
          </w:p>
        </w:tc>
        <w:tc>
          <w:tcPr>
            <w:tcW w:type="dxa" w:w="16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15.75 ms</w:t>
            </w:r>
          </w:p>
        </w:tc>
        <w:tc>
          <w:tcPr>
            <w:tcW w:type="dxa" w:w="18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75.80 MB</w:t>
            </w:r>
          </w:p>
        </w:tc>
        <w:tc>
          <w:tcPr>
            <w:tcW w:type="dxa" w:w="26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Linear comm scaling</w:t>
            </w:r>
          </w:p>
        </w:tc>
      </w:tr>
      <w:tr>
        <w:tc>
          <w:tcPr>
            <w:tcW w:type="dxa" w:w="156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bCs/>
                <w:color w:val="000000"/>
                <w:sz w:val="20"/>
                <w:szCs w:val="20"/>
              </w:rPr>
              <w:t xml:space="preserve">50</w:t>
            </w:r>
          </w:p>
        </w:tc>
        <w:tc>
          <w:tcPr>
            <w:tcW w:type="dxa" w:w="18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62.85%</w:t>
            </w:r>
          </w:p>
        </w:tc>
        <w:tc>
          <w:tcPr>
            <w:tcW w:type="dxa" w:w="16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16.35 ms</w:t>
            </w:r>
          </w:p>
        </w:tc>
        <w:tc>
          <w:tcPr>
            <w:tcW w:type="dxa" w:w="18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189.48 MB</w:t>
            </w:r>
          </w:p>
        </w:tc>
        <w:tc>
          <w:tcPr>
            <w:tcW w:type="dxa" w:w="26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O(1) HE complexity</w:t>
            </w:r>
          </w:p>
        </w:tc>
      </w:tr>
    </w:tbl>
    <w:p>
      <w:pPr>
        <w:spacing w:after="120" w:line="276"/>
        <w:jc w:val="both"/>
      </w:pPr>
      <w:r>
        <w:rPr>
          <w:rFonts w:ascii="Arial" w:cs="Arial" w:eastAsia="Arial" w:hAnsi="Arial"/>
          <w:b w:val="false"/>
          <w:bCs w:val="false"/>
          <w:i/>
          <w:iCs/>
          <w:color w:val="000000"/>
          <w:sz w:val="22"/>
          <w:szCs w:val="22"/>
        </w:rPr>
        <w:t xml:space="preserve">Table 4: Key finding: HE overhead stays constant at ~16ms regardless of client count (O(1) cryptographic complexity).</w:t>
      </w:r>
    </w:p>
    <w:p>
      <w:pPr>
        <w:pStyle w:val="Heading2"/>
      </w:pPr>
      <w:r>
        <w:rPr>
          <w:rFonts w:ascii="Arial" w:cs="Arial" w:eastAsia="Arial" w:hAnsi="Arial"/>
          <w:b/>
          <w:bCs/>
          <w:color w:val="0e8a72"/>
          <w:sz w:val="24"/>
          <w:szCs w:val="24"/>
        </w:rPr>
        <w:t xml:space="preserve">5.3 Non-IID Data Heterogeneity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800"/>
        <w:gridCol w:w="4200"/>
      </w:tblGrid>
      <w:tr>
        <w:tc>
          <w:tcPr>
            <w:tcW w:type="dxa" w:w="156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Alpha (α)</w:t>
            </w:r>
          </w:p>
        </w:tc>
        <w:tc>
          <w:tcPr>
            <w:tcW w:type="dxa" w:w="18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Accuracy</w:t>
            </w:r>
          </w:p>
        </w:tc>
        <w:tc>
          <w:tcPr>
            <w:tcW w:type="dxa" w:w="18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Drop vs Baseline</w:t>
            </w:r>
          </w:p>
        </w:tc>
        <w:tc>
          <w:tcPr>
            <w:tcW w:type="dxa" w:w="42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156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0.1 (extreme skew)</w:t>
            </w:r>
          </w:p>
        </w:tc>
        <w:tc>
          <w:tcPr>
            <w:tcW w:type="dxa" w:w="18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65.23%</w:t>
            </w:r>
          </w:p>
        </w:tc>
        <w:tc>
          <w:tcPr>
            <w:tcW w:type="dxa" w:w="18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-14.20%</w:t>
            </w:r>
          </w:p>
        </w:tc>
        <w:tc>
          <w:tcPr>
            <w:tcW w:type="dxa" w:w="42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Simulates adversarial hospitals</w:t>
            </w:r>
          </w:p>
        </w:tc>
      </w:tr>
      <w:tr>
        <w:tc>
          <w:tcPr>
            <w:tcW w:type="dxa" w:w="156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0.3</w:t>
            </w:r>
          </w:p>
        </w:tc>
        <w:tc>
          <w:tcPr>
            <w:tcW w:type="dxa" w:w="18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70.43%</w:t>
            </w:r>
          </w:p>
        </w:tc>
        <w:tc>
          <w:tcPr>
            <w:tcW w:type="dxa" w:w="18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-9.00%</w:t>
            </w:r>
          </w:p>
        </w:tc>
        <w:tc>
          <w:tcPr>
            <w:tcW w:type="dxa" w:w="42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Highly uncooperative</w:t>
            </w:r>
          </w:p>
        </w:tc>
      </w:tr>
      <w:tr>
        <w:tc>
          <w:tcPr>
            <w:tcW w:type="dxa" w:w="156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bCs/>
                <w:color w:val="000000"/>
                <w:sz w:val="20"/>
                <w:szCs w:val="20"/>
              </w:rPr>
              <w:t xml:space="preserve">0.5 (selected)</w:t>
            </w:r>
          </w:p>
        </w:tc>
        <w:tc>
          <w:tcPr>
            <w:tcW w:type="dxa" w:w="180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bCs/>
                <w:color w:val="000000"/>
                <w:sz w:val="20"/>
                <w:szCs w:val="20"/>
              </w:rPr>
              <w:t xml:space="preserve">75.71%</w:t>
            </w:r>
          </w:p>
        </w:tc>
        <w:tc>
          <w:tcPr>
            <w:tcW w:type="dxa" w:w="180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-3.72%</w:t>
            </w:r>
          </w:p>
        </w:tc>
        <w:tc>
          <w:tcPr>
            <w:tcW w:type="dxa" w:w="420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Realistic hospital distribution</w:t>
            </w:r>
          </w:p>
        </w:tc>
      </w:tr>
      <w:tr>
        <w:tc>
          <w:tcPr>
            <w:tcW w:type="dxa" w:w="156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1.0 (near-IID)</w:t>
            </w:r>
          </w:p>
        </w:tc>
        <w:tc>
          <w:tcPr>
            <w:tcW w:type="dxa" w:w="18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76.32%</w:t>
            </w:r>
          </w:p>
        </w:tc>
        <w:tc>
          <w:tcPr>
            <w:tcW w:type="dxa" w:w="18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-3.11%</w:t>
            </w:r>
          </w:p>
        </w:tc>
        <w:tc>
          <w:tcPr>
            <w:tcW w:type="dxa" w:w="42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Near-cooperative clients</w:t>
            </w:r>
          </w:p>
        </w:tc>
      </w:tr>
    </w:tbl>
    <w:p>
      <w:pPr>
        <w:spacing w:after="120" w:line="276"/>
        <w:jc w:val="both"/>
      </w:pPr>
      <w:r>
        <w:rPr>
          <w:rFonts w:ascii="Arial" w:cs="Arial" w:eastAsia="Arial" w:hAnsi="Arial"/>
          <w:b w:val="false"/>
          <w:bCs w:val="false"/>
          <w:i/>
          <w:iCs/>
          <w:color w:val="000000"/>
          <w:sz w:val="22"/>
          <w:szCs w:val="22"/>
        </w:rPr>
        <w:t xml:space="preserve">Table 5: Non-IID robustness. Framework converges even under extreme heterogeneity (α=0.1).</w:t>
      </w:r>
    </w:p>
    <w:p>
      <w:pPr>
        <w:pStyle w:val="Heading2"/>
      </w:pPr>
      <w:r>
        <w:rPr>
          <w:rFonts w:ascii="Arial" w:cs="Arial" w:eastAsia="Arial" w:hAnsi="Arial"/>
          <w:b/>
          <w:bCs/>
          <w:color w:val="0e8a72"/>
          <w:sz w:val="24"/>
          <w:szCs w:val="24"/>
        </w:rPr>
        <w:t xml:space="preserve">5.4 Architecture Generalizability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800"/>
        <w:gridCol w:w="2360"/>
      </w:tblGrid>
      <w:tr>
        <w:tc>
          <w:tcPr>
            <w:tcW w:type="dxa" w:w="20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Architecture</w:t>
            </w:r>
          </w:p>
        </w:tc>
        <w:tc>
          <w:tcPr>
            <w:tcW w:type="dxa" w:w="16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Params</w:t>
            </w:r>
          </w:p>
        </w:tc>
        <w:tc>
          <w:tcPr>
            <w:tcW w:type="dxa" w:w="16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 Params (fc)</w:t>
            </w:r>
          </w:p>
        </w:tc>
        <w:tc>
          <w:tcPr>
            <w:tcW w:type="dxa" w:w="18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Accuracy</w:t>
            </w:r>
          </w:p>
        </w:tc>
        <w:tc>
          <w:tcPr>
            <w:tcW w:type="dxa" w:w="236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 Overhead</w:t>
            </w:r>
          </w:p>
        </w:tc>
      </w:tr>
      <w:tr>
        <w:tc>
          <w:tcPr>
            <w:tcW w:type="dxa" w:w="20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SimpleCNN</w:t>
            </w:r>
          </w:p>
        </w:tc>
        <w:tc>
          <w:tcPr>
            <w:tcW w:type="dxa" w:w="16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~580K</w:t>
            </w:r>
          </w:p>
        </w:tc>
        <w:tc>
          <w:tcPr>
            <w:tcW w:type="dxa" w:w="16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2,570</w:t>
            </w:r>
          </w:p>
        </w:tc>
        <w:tc>
          <w:tcPr>
            <w:tcW w:type="dxa" w:w="18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74.24%</w:t>
            </w:r>
          </w:p>
        </w:tc>
        <w:tc>
          <w:tcPr>
            <w:tcW w:type="dxa" w:w="236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17.87 ms</w:t>
            </w:r>
          </w:p>
        </w:tc>
      </w:tr>
      <w:tr>
        <w:tc>
          <w:tcPr>
            <w:tcW w:type="dxa" w:w="200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bCs/>
                <w:color w:val="000000"/>
                <w:sz w:val="20"/>
                <w:szCs w:val="20"/>
              </w:rPr>
              <w:t xml:space="preserve">ResNet18 (adapted)</w:t>
            </w:r>
          </w:p>
        </w:tc>
        <w:tc>
          <w:tcPr>
            <w:tcW w:type="dxa" w:w="160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~11.2M</w:t>
            </w:r>
          </w:p>
        </w:tc>
        <w:tc>
          <w:tcPr>
            <w:tcW w:type="dxa" w:w="160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5,130</w:t>
            </w:r>
          </w:p>
        </w:tc>
        <w:tc>
          <w:tcPr>
            <w:tcW w:type="dxa" w:w="180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bCs/>
                <w:color w:val="000000"/>
                <w:sz w:val="20"/>
                <w:szCs w:val="20"/>
              </w:rPr>
              <w:t xml:space="preserve">82.25%</w:t>
            </w:r>
          </w:p>
        </w:tc>
        <w:tc>
          <w:tcPr>
            <w:tcW w:type="dxa" w:w="236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30.09 ms</w:t>
            </w:r>
          </w:p>
        </w:tc>
      </w:tr>
    </w:tbl>
    <w:p>
      <w:pPr>
        <w:spacing w:after="120" w:line="276"/>
        <w:jc w:val="both"/>
      </w:pPr>
      <w:r>
        <w:rPr>
          <w:rFonts w:ascii="Arial" w:cs="Arial" w:eastAsia="Arial" w:hAnsi="Arial"/>
          <w:b w:val="false"/>
          <w:bCs w:val="false"/>
          <w:i/>
          <w:iCs/>
          <w:color w:val="000000"/>
          <w:sz w:val="22"/>
          <w:szCs w:val="22"/>
        </w:rPr>
        <w:t xml:space="preserve">Table 6: ResNet18 with 6× more parameters incurs only 1.7× HE overhead increase, confirming O(classifier-layer) complexity.</w:t>
      </w:r>
    </w:p>
    <w:p>
      <w:pPr>
        <w:pStyle w:val="Heading2"/>
      </w:pPr>
      <w:r>
        <w:rPr>
          <w:rFonts w:ascii="Arial" w:cs="Arial" w:eastAsia="Arial" w:hAnsi="Arial"/>
          <w:b/>
          <w:bCs/>
          <w:color w:val="0e8a72"/>
          <w:sz w:val="24"/>
          <w:szCs w:val="24"/>
        </w:rPr>
        <w:t xml:space="preserve">5.5 Network Latency Resilience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Latency</w:t>
            </w:r>
          </w:p>
        </w:tc>
        <w:tc>
          <w:tcPr>
            <w:tcW w:type="dxa" w:w="18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Accuracy</w:t>
            </w:r>
          </w:p>
        </w:tc>
        <w:tc>
          <w:tcPr>
            <w:tcW w:type="dxa" w:w="18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Wall Time/Round</w:t>
            </w:r>
          </w:p>
        </w:tc>
        <w:tc>
          <w:tcPr>
            <w:tcW w:type="dxa" w:w="18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 Drop</w:t>
            </w:r>
          </w:p>
        </w:tc>
        <w:tc>
          <w:tcPr>
            <w:tcW w:type="dxa" w:w="216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Condition</w:t>
            </w:r>
          </w:p>
        </w:tc>
      </w:tr>
      <w:tr>
        <w:tc>
          <w:tcPr>
            <w:tcW w:type="dxa" w:w="18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bCs/>
                <w:color w:val="000000"/>
                <w:sz w:val="20"/>
                <w:szCs w:val="20"/>
              </w:rPr>
              <w:t xml:space="preserve">0ms</w:t>
            </w:r>
          </w:p>
        </w:tc>
        <w:tc>
          <w:tcPr>
            <w:tcW w:type="dxa" w:w="18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82.25%</w:t>
            </w:r>
          </w:p>
        </w:tc>
        <w:tc>
          <w:tcPr>
            <w:tcW w:type="dxa" w:w="18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97.35s</w:t>
            </w:r>
          </w:p>
        </w:tc>
        <w:tc>
          <w:tcPr>
            <w:tcW w:type="dxa" w:w="18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t>
            </w:r>
          </w:p>
        </w:tc>
        <w:tc>
          <w:tcPr>
            <w:tcW w:type="dxa" w:w="216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Ideal LAN</w:t>
            </w:r>
          </w:p>
        </w:tc>
      </w:tr>
      <w:tr>
        <w:tc>
          <w:tcPr>
            <w:tcW w:type="dxa" w:w="18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bCs/>
                <w:color w:val="000000"/>
                <w:sz w:val="20"/>
                <w:szCs w:val="20"/>
              </w:rPr>
              <w:t xml:space="preserve">10ms</w:t>
            </w:r>
          </w:p>
        </w:tc>
        <w:tc>
          <w:tcPr>
            <w:tcW w:type="dxa" w:w="18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82.35%</w:t>
            </w:r>
          </w:p>
        </w:tc>
        <w:tc>
          <w:tcPr>
            <w:tcW w:type="dxa" w:w="18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96.35s</w:t>
            </w:r>
          </w:p>
        </w:tc>
        <w:tc>
          <w:tcPr>
            <w:tcW w:type="dxa" w:w="18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-0.10%</w:t>
            </w:r>
          </w:p>
        </w:tc>
        <w:tc>
          <w:tcPr>
            <w:tcW w:type="dxa" w:w="216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Local network</w:t>
            </w:r>
          </w:p>
        </w:tc>
      </w:tr>
      <w:tr>
        <w:tc>
          <w:tcPr>
            <w:tcW w:type="dxa" w:w="18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bCs/>
                <w:color w:val="000000"/>
                <w:sz w:val="20"/>
                <w:szCs w:val="20"/>
              </w:rPr>
              <w:t xml:space="preserve">50ms</w:t>
            </w:r>
          </w:p>
        </w:tc>
        <w:tc>
          <w:tcPr>
            <w:tcW w:type="dxa" w:w="18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80.97%</w:t>
            </w:r>
          </w:p>
        </w:tc>
        <w:tc>
          <w:tcPr>
            <w:tcW w:type="dxa" w:w="18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96.49s</w:t>
            </w:r>
          </w:p>
        </w:tc>
        <w:tc>
          <w:tcPr>
            <w:tcW w:type="dxa" w:w="18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+1.28%</w:t>
            </w:r>
          </w:p>
        </w:tc>
        <w:tc>
          <w:tcPr>
            <w:tcW w:type="dxa" w:w="216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WiFi / hospital intranet</w:t>
            </w:r>
          </w:p>
        </w:tc>
      </w:tr>
      <w:tr>
        <w:tc>
          <w:tcPr>
            <w:tcW w:type="dxa" w:w="18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bCs/>
                <w:color w:val="000000"/>
                <w:sz w:val="20"/>
                <w:szCs w:val="20"/>
              </w:rPr>
              <w:t xml:space="preserve">100ms</w:t>
            </w:r>
          </w:p>
        </w:tc>
        <w:tc>
          <w:tcPr>
            <w:tcW w:type="dxa" w:w="18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81.88%</w:t>
            </w:r>
          </w:p>
        </w:tc>
        <w:tc>
          <w:tcPr>
            <w:tcW w:type="dxa" w:w="18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96.66s</w:t>
            </w:r>
          </w:p>
        </w:tc>
        <w:tc>
          <w:tcPr>
            <w:tcW w:type="dxa" w:w="18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+0.37%</w:t>
            </w:r>
          </w:p>
        </w:tc>
        <w:tc>
          <w:tcPr>
            <w:tcW w:type="dxa" w:w="216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WAN / 4G</w:t>
            </w:r>
          </w:p>
        </w:tc>
      </w:tr>
    </w:tbl>
    <w:p>
      <w:pPr>
        <w:spacing w:after="120" w:line="276"/>
        <w:jc w:val="both"/>
      </w:pPr>
      <w:r>
        <w:rPr>
          <w:rFonts w:ascii="Arial" w:cs="Arial" w:eastAsia="Arial" w:hAnsi="Arial"/>
          <w:b w:val="false"/>
          <w:bCs w:val="false"/>
          <w:i/>
          <w:iCs/>
          <w:color w:val="000000"/>
          <w:sz w:val="22"/>
          <w:szCs w:val="22"/>
        </w:rPr>
        <w:t xml:space="preserve">Table 7: Accuracy variance of only 1.38% across all latency conditions. SecureFedHE is robust to realistic edge network conditions.</w:t>
      </w:r>
    </w:p>
    <w:p>
      <w:r>
        <w:br w:type="page"/>
      </w:r>
    </w:p>
    <w:p>
      <w:pPr>
        <w:pStyle w:val="Heading1"/>
      </w:pPr>
      <w:r>
        <w:rPr>
          <w:rFonts w:ascii="Arial" w:cs="Arial" w:eastAsia="Arial" w:hAnsi="Arial"/>
          <w:b/>
          <w:bCs/>
          <w:color w:val="1a3a6b"/>
          <w:sz w:val="28"/>
          <w:szCs w:val="28"/>
        </w:rPr>
        <w:t xml:space="preserve">6. Security &amp; Robustness Analysis</w:t>
      </w:r>
    </w:p>
    <w:p>
      <w:pPr>
        <w:pBdr>
          <w:bottom w:val="single" w:color="0e8a72" w:sz="4" w:space="1"/>
        </w:pBdr>
        <w:spacing w:after="160"/>
      </w:pPr>
      <w:r>
        <w:t xml:space="preserve"/>
      </w:r>
    </w:p>
    <w:p>
      <w:pPr>
        <w:spacing w:after="120" w:line="276"/>
        <w:jc w:val="both"/>
      </w:pPr>
      <w:r>
        <w:rPr>
          <w:rFonts w:ascii="Arial" w:cs="Arial" w:eastAsia="Arial" w:hAnsi="Arial"/>
          <w:b w:val="false"/>
          <w:bCs w:val="false"/>
          <w:i w:val="false"/>
          <w:iCs w:val="false"/>
          <w:color w:val="000000"/>
          <w:sz w:val="22"/>
          <w:szCs w:val="22"/>
        </w:rPr>
        <w:t xml:space="preserve">This section evaluates SecureFedHE under four adversarial conditions, with targeted engineering fixes applied and empirically validated.</w:t>
      </w:r>
    </w:p>
    <w:p>
      <w:pPr>
        <w:pStyle w:val="Heading2"/>
      </w:pPr>
      <w:r>
        <w:rPr>
          <w:rFonts w:ascii="Arial" w:cs="Arial" w:eastAsia="Arial" w:hAnsi="Arial"/>
          <w:b/>
          <w:bCs/>
          <w:color w:val="0e8a72"/>
          <w:sz w:val="24"/>
          <w:szCs w:val="24"/>
        </w:rPr>
        <w:t xml:space="preserve">6.1 Fix 1: Ring Topology Resilience (Timeout/Skip Protocol)</w:t>
      </w:r>
    </w:p>
    <w:p>
      <w:pPr>
        <w:spacing w:after="120" w:line="276"/>
        <w:jc w:val="both"/>
      </w:pPr>
      <w:r>
        <w:rPr>
          <w:rFonts w:ascii="Arial" w:cs="Arial" w:eastAsia="Arial" w:hAnsi="Arial"/>
          <w:b w:val="false"/>
          <w:bCs w:val="false"/>
          <w:i w:val="false"/>
          <w:iCs w:val="false"/>
          <w:color w:val="000000"/>
          <w:sz w:val="22"/>
          <w:szCs w:val="22"/>
        </w:rPr>
        <w:t xml:space="preserve">Problem: Under the vanilla Ring 3 implementation, any single unresponsive node yields a 0% round-completion rate. Fix 1 introduces a timeout/skip protocol: when a forwarding attempt times out, the coordinator marks the node as transiently failed, bypasses it, and forwards the accumulator directly to the next node.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gridCol w:w="1400"/>
        <w:gridCol w:w="1560"/>
        <w:gridCol w:w="1800"/>
      </w:tblGrid>
      <w:tr>
        <w:tc>
          <w:tcPr>
            <w:tcW w:type="dxa" w:w="16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16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Failure Type</w:t>
            </w:r>
          </w:p>
        </w:tc>
        <w:tc>
          <w:tcPr>
            <w:tcW w:type="dxa" w:w="14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Min Nodes</w:t>
            </w:r>
          </w:p>
        </w:tc>
        <w:tc>
          <w:tcPr>
            <w:tcW w:type="dxa" w:w="14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Skip Events</w:t>
            </w:r>
          </w:p>
        </w:tc>
        <w:tc>
          <w:tcPr>
            <w:tcW w:type="dxa" w:w="156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Final Acc</w:t>
            </w:r>
          </w:p>
        </w:tc>
        <w:tc>
          <w:tcPr>
            <w:tcW w:type="dxa" w:w="18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Rounds Complete</w:t>
            </w:r>
          </w:p>
        </w:tc>
      </w:tr>
      <w:tr>
        <w:tc>
          <w:tcPr>
            <w:tcW w:type="dxa" w:w="16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 (baseline)</w:t>
            </w:r>
          </w:p>
        </w:tc>
        <w:tc>
          <w:tcPr>
            <w:tcW w:type="dxa" w:w="16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None</w:t>
            </w:r>
          </w:p>
        </w:tc>
        <w:tc>
          <w:tcPr>
            <w:tcW w:type="dxa" w:w="14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5/5</w:t>
            </w:r>
          </w:p>
        </w:tc>
        <w:tc>
          <w:tcPr>
            <w:tcW w:type="dxa" w:w="14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0</w:t>
            </w:r>
          </w:p>
        </w:tc>
        <w:tc>
          <w:tcPr>
            <w:tcW w:type="dxa" w:w="156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bCs/>
                <w:color w:val="000000"/>
                <w:sz w:val="20"/>
                <w:szCs w:val="20"/>
              </w:rPr>
              <w:t xml:space="preserve">76.47%</w:t>
            </w:r>
          </w:p>
        </w:tc>
        <w:tc>
          <w:tcPr>
            <w:tcW w:type="dxa" w:w="18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20/20 (100%)</w:t>
            </w:r>
          </w:p>
        </w:tc>
      </w:tr>
      <w:tr>
        <w:tc>
          <w:tcPr>
            <w:tcW w:type="dxa" w:w="16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 (10% transient)</w:t>
            </w:r>
          </w:p>
        </w:tc>
        <w:tc>
          <w:tcPr>
            <w:tcW w:type="dxa" w:w="16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Node 2 drops R5-10</w:t>
            </w:r>
          </w:p>
        </w:tc>
        <w:tc>
          <w:tcPr>
            <w:tcW w:type="dxa" w:w="14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4/5</w:t>
            </w:r>
          </w:p>
        </w:tc>
        <w:tc>
          <w:tcPr>
            <w:tcW w:type="dxa" w:w="14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6</w:t>
            </w:r>
          </w:p>
        </w:tc>
        <w:tc>
          <w:tcPr>
            <w:tcW w:type="dxa" w:w="156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bCs/>
                <w:color w:val="000000"/>
                <w:sz w:val="20"/>
                <w:szCs w:val="20"/>
              </w:rPr>
              <w:t xml:space="preserve">76.29%</w:t>
            </w:r>
          </w:p>
        </w:tc>
        <w:tc>
          <w:tcPr>
            <w:tcW w:type="dxa" w:w="18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20/20 (100%)</w:t>
            </w:r>
          </w:p>
        </w:tc>
      </w:tr>
      <w:tr>
        <w:tc>
          <w:tcPr>
            <w:tcW w:type="dxa" w:w="16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 (30% sustained)</w:t>
            </w:r>
          </w:p>
        </w:tc>
        <w:tc>
          <w:tcPr>
            <w:tcW w:type="dxa" w:w="16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Nodes 2+4 fail</w:t>
            </w:r>
          </w:p>
        </w:tc>
        <w:tc>
          <w:tcPr>
            <w:tcW w:type="dxa" w:w="14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3/5</w:t>
            </w:r>
          </w:p>
        </w:tc>
        <w:tc>
          <w:tcPr>
            <w:tcW w:type="dxa" w:w="14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16</w:t>
            </w:r>
          </w:p>
        </w:tc>
        <w:tc>
          <w:tcPr>
            <w:tcW w:type="dxa" w:w="156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bCs/>
                <w:color w:val="000000"/>
                <w:sz w:val="20"/>
                <w:szCs w:val="20"/>
              </w:rPr>
              <w:t xml:space="preserve">72.88%</w:t>
            </w:r>
          </w:p>
        </w:tc>
        <w:tc>
          <w:tcPr>
            <w:tcW w:type="dxa" w:w="18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20/20 (100%)</w:t>
            </w:r>
          </w:p>
        </w:tc>
      </w:tr>
      <w:tr>
        <w:tc>
          <w:tcPr>
            <w:tcW w:type="dxa" w:w="160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Vanilla Ring 3</w:t>
            </w:r>
          </w:p>
        </w:tc>
        <w:tc>
          <w:tcPr>
            <w:tcW w:type="dxa" w:w="160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Any node failure</w:t>
            </w:r>
          </w:p>
        </w:tc>
        <w:tc>
          <w:tcPr>
            <w:tcW w:type="dxa" w:w="140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&lt;5</w:t>
            </w:r>
          </w:p>
        </w:tc>
        <w:tc>
          <w:tcPr>
            <w:tcW w:type="dxa" w:w="140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N/A</w:t>
            </w:r>
          </w:p>
        </w:tc>
        <w:tc>
          <w:tcPr>
            <w:tcW w:type="dxa" w:w="156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N/A</w:t>
            </w:r>
          </w:p>
        </w:tc>
        <w:tc>
          <w:tcPr>
            <w:tcW w:type="dxa" w:w="180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bCs/>
                <w:color w:val="000000"/>
                <w:sz w:val="20"/>
                <w:szCs w:val="20"/>
              </w:rPr>
              <w:t xml:space="preserve">0/N (0%)</w:t>
            </w:r>
          </w:p>
        </w:tc>
      </w:tr>
    </w:tbl>
    <w:p>
      <w:pPr>
        <w:spacing w:after="120" w:line="276"/>
        <w:jc w:val="both"/>
      </w:pPr>
      <w:r>
        <w:rPr>
          <w:rFonts w:ascii="Arial" w:cs="Arial" w:eastAsia="Arial" w:hAnsi="Arial"/>
          <w:b w:val="false"/>
          <w:bCs w:val="false"/>
          <w:i/>
          <w:iCs/>
          <w:color w:val="000000"/>
          <w:sz w:val="22"/>
          <w:szCs w:val="22"/>
        </w:rPr>
        <w:t xml:space="preserve">Table 8: Fix 1 achieves 100% round-completion rate across all failure scenarios. Vanilla Ring 3 achieves 0%.</w:t>
      </w:r>
    </w:p>
    <w:p>
      <w:pPr>
        <w:pStyle w:val="Heading2"/>
      </w:pPr>
      <w:r>
        <w:rPr>
          <w:rFonts w:ascii="Arial" w:cs="Arial" w:eastAsia="Arial" w:hAnsi="Arial"/>
          <w:b/>
          <w:bCs/>
          <w:color w:val="0e8a72"/>
          <w:sz w:val="24"/>
          <w:szCs w:val="24"/>
        </w:rPr>
        <w:t xml:space="preserve">6.2 Fix 2: Byzantine Fault Tolerance (FedMedian Post-Decryption)</w:t>
      </w:r>
    </w:p>
    <w:p>
      <w:pPr>
        <w:spacing w:after="120" w:line="276"/>
        <w:jc w:val="both"/>
      </w:pPr>
      <w:r>
        <w:rPr>
          <w:rFonts w:ascii="Arial" w:cs="Arial" w:eastAsia="Arial" w:hAnsi="Arial"/>
          <w:b w:val="false"/>
          <w:bCs w:val="false"/>
          <w:i w:val="false"/>
          <w:iCs w:val="false"/>
          <w:color w:val="000000"/>
          <w:sz w:val="22"/>
          <w:szCs w:val="22"/>
        </w:rPr>
        <w:t xml:space="preserve">Problem: The HE aggregator is blind -- it cannot inspect individual encrypted submissions. A Byzantine client injecting poisoned fc2 weights passes through undetected.</w:t>
      </w:r>
    </w:p>
    <w:p>
      <w:pPr>
        <w:spacing w:after="120" w:line="276"/>
        <w:jc w:val="both"/>
      </w:pPr>
      <w:r>
        <w:rPr>
          <w:rFonts w:ascii="Arial" w:cs="Arial" w:eastAsia="Arial" w:hAnsi="Arial"/>
          <w:b w:val="false"/>
          <w:bCs w:val="false"/>
          <w:i w:val="false"/>
          <w:iCs w:val="false"/>
          <w:color w:val="000000"/>
          <w:sz w:val="22"/>
          <w:szCs w:val="22"/>
        </w:rPr>
        <w:t xml:space="preserve">Fix: Replace homomorphic weighted sum with coordinate-wise FedMedian computed on individually decrypted fc2 tensors. The HE transmission layer is unchanged -- clients still encrypt with CKKS. Only the server-side aggregation logic changes.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560"/>
        <w:gridCol w:w="1560"/>
        <w:gridCol w:w="1560"/>
        <w:gridCol w:w="1560"/>
        <w:gridCol w:w="420"/>
      </w:tblGrid>
      <w:tr>
        <w:tc>
          <w:tcPr>
            <w:tcW w:type="dxa" w:w="18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Attack Type</w:t>
            </w:r>
          </w:p>
        </w:tc>
        <w:tc>
          <w:tcPr>
            <w:tcW w:type="dxa" w:w="9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Byz%</w:t>
            </w:r>
          </w:p>
        </w:tc>
        <w:tc>
          <w:tcPr>
            <w:tcW w:type="dxa" w:w="156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FedAvg Final</w:t>
            </w:r>
          </w:p>
        </w:tc>
        <w:tc>
          <w:tcPr>
            <w:tcW w:type="dxa" w:w="156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FedAvg Best</w:t>
            </w:r>
          </w:p>
        </w:tc>
        <w:tc>
          <w:tcPr>
            <w:tcW w:type="dxa" w:w="156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FedMedian Final</w:t>
            </w:r>
          </w:p>
        </w:tc>
        <w:tc>
          <w:tcPr>
            <w:tcW w:type="dxa" w:w="156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FedMedian Best</w:t>
            </w:r>
          </w:p>
        </w:tc>
        <w:tc>
          <w:tcPr>
            <w:tcW w:type="dxa" w:w="42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Δ pp</w:t>
            </w:r>
          </w:p>
        </w:tc>
      </w:tr>
      <w:tr>
        <w:tc>
          <w:tcPr>
            <w:tcW w:type="dxa" w:w="18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Random Noise</w:t>
            </w:r>
          </w:p>
        </w:tc>
        <w:tc>
          <w:tcPr>
            <w:tcW w:type="dxa" w:w="9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0%</w:t>
            </w:r>
          </w:p>
        </w:tc>
        <w:tc>
          <w:tcPr>
            <w:tcW w:type="dxa" w:w="156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75.09%</w:t>
            </w:r>
          </w:p>
        </w:tc>
        <w:tc>
          <w:tcPr>
            <w:tcW w:type="dxa" w:w="156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77.45%</w:t>
            </w:r>
          </w:p>
        </w:tc>
        <w:tc>
          <w:tcPr>
            <w:tcW w:type="dxa" w:w="156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73.20%</w:t>
            </w:r>
          </w:p>
        </w:tc>
        <w:tc>
          <w:tcPr>
            <w:tcW w:type="dxa" w:w="156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76.79%</w:t>
            </w:r>
          </w:p>
        </w:tc>
        <w:tc>
          <w:tcPr>
            <w:tcW w:type="dxa" w:w="42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+0.87</w:t>
            </w:r>
          </w:p>
        </w:tc>
      </w:tr>
      <w:tr>
        <w:tc>
          <w:tcPr>
            <w:tcW w:type="dxa" w:w="18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Random Noise</w:t>
            </w:r>
          </w:p>
        </w:tc>
        <w:tc>
          <w:tcPr>
            <w:tcW w:type="dxa" w:w="9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20%</w:t>
            </w:r>
          </w:p>
        </w:tc>
        <w:tc>
          <w:tcPr>
            <w:tcW w:type="dxa" w:w="156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bCs/>
                <w:color w:val="000000"/>
                <w:sz w:val="20"/>
                <w:szCs w:val="20"/>
              </w:rPr>
              <w:t xml:space="preserve">14.45%</w:t>
            </w:r>
          </w:p>
        </w:tc>
        <w:tc>
          <w:tcPr>
            <w:tcW w:type="dxa" w:w="156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23.48%</w:t>
            </w:r>
          </w:p>
        </w:tc>
        <w:tc>
          <w:tcPr>
            <w:tcW w:type="dxa" w:w="156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bCs/>
                <w:color w:val="000000"/>
                <w:sz w:val="20"/>
                <w:szCs w:val="20"/>
              </w:rPr>
              <w:t xml:space="preserve">76.38%</w:t>
            </w:r>
          </w:p>
        </w:tc>
        <w:tc>
          <w:tcPr>
            <w:tcW w:type="dxa" w:w="156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76.38%</w:t>
            </w:r>
          </w:p>
        </w:tc>
        <w:tc>
          <w:tcPr>
            <w:tcW w:type="dxa" w:w="42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+62</w:t>
            </w:r>
          </w:p>
        </w:tc>
      </w:tr>
      <w:tr>
        <w:tc>
          <w:tcPr>
            <w:tcW w:type="dxa" w:w="18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Random Noise</w:t>
            </w:r>
          </w:p>
        </w:tc>
        <w:tc>
          <w:tcPr>
            <w:tcW w:type="dxa" w:w="9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30%</w:t>
            </w:r>
          </w:p>
        </w:tc>
        <w:tc>
          <w:tcPr>
            <w:tcW w:type="dxa" w:w="156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bCs/>
                <w:color w:val="000000"/>
                <w:sz w:val="20"/>
                <w:szCs w:val="20"/>
              </w:rPr>
              <w:t xml:space="preserve">10.03%</w:t>
            </w:r>
          </w:p>
        </w:tc>
        <w:tc>
          <w:tcPr>
            <w:tcW w:type="dxa" w:w="156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10.04%</w:t>
            </w:r>
          </w:p>
        </w:tc>
        <w:tc>
          <w:tcPr>
            <w:tcW w:type="dxa" w:w="156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bCs/>
                <w:color w:val="000000"/>
                <w:sz w:val="20"/>
                <w:szCs w:val="20"/>
              </w:rPr>
              <w:t xml:space="preserve">74.37%</w:t>
            </w:r>
          </w:p>
        </w:tc>
        <w:tc>
          <w:tcPr>
            <w:tcW w:type="dxa" w:w="156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75.80%</w:t>
            </w:r>
          </w:p>
        </w:tc>
        <w:tc>
          <w:tcPr>
            <w:tcW w:type="dxa" w:w="42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+64</w:t>
            </w:r>
          </w:p>
        </w:tc>
      </w:tr>
      <w:tr>
        <w:tc>
          <w:tcPr>
            <w:tcW w:type="dxa" w:w="18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Sign-Inverted</w:t>
            </w:r>
          </w:p>
        </w:tc>
        <w:tc>
          <w:tcPr>
            <w:tcW w:type="dxa" w:w="9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30%</w:t>
            </w:r>
          </w:p>
        </w:tc>
        <w:tc>
          <w:tcPr>
            <w:tcW w:type="dxa" w:w="156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bCs/>
                <w:color w:val="000000"/>
                <w:sz w:val="20"/>
                <w:szCs w:val="20"/>
              </w:rPr>
              <w:t xml:space="preserve">19.15%</w:t>
            </w:r>
          </w:p>
        </w:tc>
        <w:tc>
          <w:tcPr>
            <w:tcW w:type="dxa" w:w="156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19.65%</w:t>
            </w:r>
          </w:p>
        </w:tc>
        <w:tc>
          <w:tcPr>
            <w:tcW w:type="dxa" w:w="156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bCs/>
                <w:color w:val="000000"/>
                <w:sz w:val="20"/>
                <w:szCs w:val="20"/>
              </w:rPr>
              <w:t xml:space="preserve">61.11%</w:t>
            </w:r>
          </w:p>
        </w:tc>
        <w:tc>
          <w:tcPr>
            <w:tcW w:type="dxa" w:w="156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64.88%</w:t>
            </w:r>
          </w:p>
        </w:tc>
        <w:tc>
          <w:tcPr>
            <w:tcW w:type="dxa" w:w="42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+42</w:t>
            </w:r>
          </w:p>
        </w:tc>
      </w:tr>
      <w:tr>
        <w:tc>
          <w:tcPr>
            <w:tcW w:type="dxa" w:w="18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Constant Inject</w:t>
            </w:r>
          </w:p>
        </w:tc>
        <w:tc>
          <w:tcPr>
            <w:tcW w:type="dxa" w:w="9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20%</w:t>
            </w:r>
          </w:p>
        </w:tc>
        <w:tc>
          <w:tcPr>
            <w:tcW w:type="dxa" w:w="156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76.26%</w:t>
            </w:r>
          </w:p>
        </w:tc>
        <w:tc>
          <w:tcPr>
            <w:tcW w:type="dxa" w:w="156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76.55%</w:t>
            </w:r>
          </w:p>
        </w:tc>
        <w:tc>
          <w:tcPr>
            <w:tcW w:type="dxa" w:w="156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73.61%</w:t>
            </w:r>
          </w:p>
        </w:tc>
        <w:tc>
          <w:tcPr>
            <w:tcW w:type="dxa" w:w="156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76.06%</w:t>
            </w:r>
          </w:p>
        </w:tc>
        <w:tc>
          <w:tcPr>
            <w:tcW w:type="dxa" w:w="42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-2.65</w:t>
            </w:r>
          </w:p>
        </w:tc>
      </w:tr>
    </w:tbl>
    <w:p>
      <w:pPr>
        <w:spacing w:after="120" w:line="276"/>
        <w:jc w:val="both"/>
      </w:pPr>
      <w:r>
        <w:rPr>
          <w:rFonts w:ascii="Arial" w:cs="Arial" w:eastAsia="Arial" w:hAnsi="Arial"/>
          <w:b w:val="false"/>
          <w:bCs w:val="false"/>
          <w:i/>
          <w:iCs/>
          <w:color w:val="000000"/>
          <w:sz w:val="22"/>
          <w:szCs w:val="22"/>
        </w:rPr>
        <w:t xml:space="preserve">Table 9: FedMedian recovers 42-64pp accuracy lost under FedAvg at 20-30% Byzantine fraction. Constant injection remains low-impact under both aggregators.</w:t>
      </w:r>
    </w:p>
    <w:p>
      <w:pPr>
        <w:pStyle w:val="Heading2"/>
      </w:pPr>
      <w:r>
        <w:rPr>
          <w:rFonts w:ascii="Arial" w:cs="Arial" w:eastAsia="Arial" w:hAnsi="Arial"/>
          <w:b/>
          <w:bCs/>
          <w:color w:val="0e8a72"/>
          <w:sz w:val="24"/>
          <w:szCs w:val="24"/>
        </w:rPr>
        <w:t xml:space="preserve">6.3 Fix 3: Positional Bias (Randomised Node Order)</w:t>
      </w:r>
    </w:p>
    <w:p>
      <w:pPr>
        <w:spacing w:after="120" w:line="276"/>
        <w:jc w:val="both"/>
      </w:pPr>
      <w:r>
        <w:rPr>
          <w:rFonts w:ascii="Arial" w:cs="Arial" w:eastAsia="Arial" w:hAnsi="Arial"/>
          <w:b w:val="false"/>
          <w:bCs w:val="false"/>
          <w:i w:val="false"/>
          <w:iCs w:val="false"/>
          <w:color w:val="000000"/>
          <w:sz w:val="22"/>
          <w:szCs w:val="22"/>
        </w:rPr>
        <w:t xml:space="preserve">Problem: Fixed traversal order 0→1→2→3→4 creates positional dominance under non-IID data. Fix: Per-round seeded random permutation np.random.default_rng(seed+round).permutation(N). Zero computational cost -- one NumPy call per round.</w:t>
      </w:r>
    </w:p>
    <w:p>
      <w:pPr>
        <w:spacing w:after="120" w:line="276"/>
        <w:jc w:val="both"/>
      </w:pPr>
      <w:r>
        <w:rPr>
          <w:rFonts w:ascii="Arial" w:cs="Arial" w:eastAsia="Arial" w:hAnsi="Arial"/>
          <w:b w:val="false"/>
          <w:bCs w:val="false"/>
          <w:i w:val="false"/>
          <w:iCs w:val="false"/>
          <w:color w:val="000000"/>
          <w:sz w:val="22"/>
          <w:szCs w:val="22"/>
        </w:rPr>
        <w:t xml:space="preserve">Result: Accuracy deltas of -0.22pp to +0.36pp across all non-IID levels. No significant bias detected at tested scales; fix included by default for fairness guarantee.</w:t>
      </w:r>
    </w:p>
    <w:p>
      <w:pPr>
        <w:pStyle w:val="Heading2"/>
      </w:pPr>
      <w:r>
        <w:rPr>
          <w:rFonts w:ascii="Arial" w:cs="Arial" w:eastAsia="Arial" w:hAnsi="Arial"/>
          <w:b/>
          <w:bCs/>
          <w:color w:val="0e8a72"/>
          <w:sz w:val="24"/>
          <w:szCs w:val="24"/>
        </w:rPr>
        <w:t xml:space="preserve">6.4 Fix 4: Communication Efficiency (Raw Bytes Serialisation)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440"/>
        <w:gridCol w:w="1440"/>
        <w:gridCol w:w="1560"/>
        <w:gridCol w:w="840"/>
      </w:tblGrid>
      <w:tr>
        <w:tc>
          <w:tcPr>
            <w:tcW w:type="dxa" w:w="24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168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Payload (KB)</w:t>
            </w:r>
          </w:p>
        </w:tc>
        <w:tc>
          <w:tcPr>
            <w:tcW w:type="dxa" w:w="144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Encode (ms)</w:t>
            </w:r>
          </w:p>
        </w:tc>
        <w:tc>
          <w:tcPr>
            <w:tcW w:type="dxa" w:w="144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Decode (ms)</w:t>
            </w:r>
          </w:p>
        </w:tc>
        <w:tc>
          <w:tcPr>
            <w:tcW w:type="dxa" w:w="156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Round-trip (ms)</w:t>
            </w:r>
          </w:p>
        </w:tc>
        <w:tc>
          <w:tcPr>
            <w:tcW w:type="dxa" w:w="84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vs Base64</w:t>
            </w:r>
          </w:p>
        </w:tc>
      </w:tr>
      <w:tr>
        <w:tc>
          <w:tcPr>
            <w:tcW w:type="dxa" w:w="24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Base64 JSON (original)</w:t>
            </w:r>
          </w:p>
        </w:tc>
        <w:tc>
          <w:tcPr>
            <w:tcW w:type="dxa" w:w="168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870.5</w:t>
            </w:r>
          </w:p>
        </w:tc>
        <w:tc>
          <w:tcPr>
            <w:tcW w:type="dxa" w:w="144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7.91</w:t>
            </w:r>
          </w:p>
        </w:tc>
        <w:tc>
          <w:tcPr>
            <w:tcW w:type="dxa" w:w="144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4.99</w:t>
            </w:r>
          </w:p>
        </w:tc>
        <w:tc>
          <w:tcPr>
            <w:tcW w:type="dxa" w:w="156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12.90</w:t>
            </w:r>
          </w:p>
        </w:tc>
        <w:tc>
          <w:tcPr>
            <w:tcW w:type="dxa" w:w="84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t>
            </w:r>
          </w:p>
        </w:tc>
      </w:tr>
      <w:tr>
        <w:tc>
          <w:tcPr>
            <w:tcW w:type="dxa" w:w="240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bCs/>
                <w:color w:val="000000"/>
                <w:sz w:val="20"/>
                <w:szCs w:val="20"/>
              </w:rPr>
              <w:t xml:space="preserve">Raw bytes (Fix 4)</w:t>
            </w:r>
          </w:p>
        </w:tc>
        <w:tc>
          <w:tcPr>
            <w:tcW w:type="dxa" w:w="168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bCs/>
                <w:color w:val="000000"/>
                <w:sz w:val="20"/>
                <w:szCs w:val="20"/>
              </w:rPr>
              <w:t xml:space="preserve">652.9</w:t>
            </w:r>
          </w:p>
        </w:tc>
        <w:tc>
          <w:tcPr>
            <w:tcW w:type="dxa" w:w="144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5.26</w:t>
            </w:r>
          </w:p>
        </w:tc>
        <w:tc>
          <w:tcPr>
            <w:tcW w:type="dxa" w:w="144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1.76</w:t>
            </w:r>
          </w:p>
        </w:tc>
        <w:tc>
          <w:tcPr>
            <w:tcW w:type="dxa" w:w="156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bCs/>
                <w:color w:val="000000"/>
                <w:sz w:val="20"/>
                <w:szCs w:val="20"/>
              </w:rPr>
              <w:t xml:space="preserve">7.01</w:t>
            </w:r>
          </w:p>
        </w:tc>
        <w:tc>
          <w:tcPr>
            <w:tcW w:type="dxa" w:w="840"/>
            <w:tcBorders>
              <w:top w:val="single" w:color="d0d8e8" w:sz="1"/>
              <w:left w:val="single" w:color="d0d8e8" w:sz="1"/>
              <w:bottom w:val="single" w:color="d0d8e8" w:sz="1"/>
              <w:right w:val="single" w:color="d0d8e8" w:sz="1"/>
            </w:tcBorders>
            <w:shd w:fill="e8f0f8" w:val="clear"/>
            <w:tcMar>
              <w:top w:type="dxa" w:w="60"/>
              <w:left w:type="dxa" w:w="100"/>
              <w:bottom w:type="dxa" w:w="60"/>
              <w:right w:type="dxa" w:w="100"/>
            </w:tcMar>
          </w:tcPr>
          <w:p>
            <w:pPr>
              <w:jc w:val="left"/>
            </w:pPr>
            <w:r>
              <w:rPr>
                <w:rFonts w:ascii="Arial" w:cs="Arial" w:eastAsia="Arial" w:hAnsi="Arial"/>
                <w:b/>
                <w:bCs/>
                <w:color w:val="000000"/>
                <w:sz w:val="20"/>
                <w:szCs w:val="20"/>
              </w:rPr>
              <w:t xml:space="preserve">-45.6%</w:t>
            </w:r>
          </w:p>
        </w:tc>
      </w:tr>
      <w:tr>
        <w:tc>
          <w:tcPr>
            <w:tcW w:type="dxa" w:w="24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Torch binary (reference)</w:t>
            </w:r>
          </w:p>
        </w:tc>
        <w:tc>
          <w:tcPr>
            <w:tcW w:type="dxa" w:w="168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4186.0</w:t>
            </w:r>
          </w:p>
        </w:tc>
        <w:tc>
          <w:tcPr>
            <w:tcW w:type="dxa" w:w="144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5.34</w:t>
            </w:r>
          </w:p>
        </w:tc>
        <w:tc>
          <w:tcPr>
            <w:tcW w:type="dxa" w:w="144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2.02</w:t>
            </w:r>
          </w:p>
        </w:tc>
        <w:tc>
          <w:tcPr>
            <w:tcW w:type="dxa" w:w="156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7.36</w:t>
            </w:r>
          </w:p>
        </w:tc>
        <w:tc>
          <w:tcPr>
            <w:tcW w:type="dxa" w:w="84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6.3x larger</w:t>
            </w:r>
          </w:p>
        </w:tc>
      </w:tr>
    </w:tbl>
    <w:p>
      <w:pPr>
        <w:spacing w:after="120" w:line="276"/>
        <w:jc w:val="both"/>
      </w:pPr>
      <w:r>
        <w:rPr>
          <w:rFonts w:ascii="Arial" w:cs="Arial" w:eastAsia="Arial" w:hAnsi="Arial"/>
          <w:b w:val="false"/>
          <w:bCs w:val="false"/>
          <w:i/>
          <w:iCs/>
          <w:color w:val="000000"/>
          <w:sz w:val="22"/>
          <w:szCs w:val="22"/>
        </w:rPr>
        <w:t xml:space="preserve">Table 10: Raw bytes serialisation reduces payload by 25% and round-trip latency by 45.6%. Saves ~17.4MB over a 20-round experiment.</w:t>
      </w:r>
    </w:p>
    <w:p>
      <w:pPr>
        <w:pStyle w:val="Heading2"/>
      </w:pPr>
      <w:r>
        <w:rPr>
          <w:rFonts w:ascii="Arial" w:cs="Arial" w:eastAsia="Arial" w:hAnsi="Arial"/>
          <w:b/>
          <w:bCs/>
          <w:color w:val="0e8a72"/>
          <w:sz w:val="24"/>
          <w:szCs w:val="24"/>
        </w:rPr>
        <w:t xml:space="preserve">6.5 Privacy Attacks: MIA and DLG</w:t>
      </w:r>
    </w:p>
    <w:p>
      <w:pPr>
        <w:spacing w:after="120" w:line="276"/>
        <w:jc w:val="both"/>
      </w:pPr>
      <w:r>
        <w:rPr>
          <w:rFonts w:ascii="Arial" w:cs="Arial" w:eastAsia="Arial" w:hAnsi="Arial"/>
          <w:b w:val="false"/>
          <w:bCs w:val="false"/>
          <w:i w:val="false"/>
          <w:iCs w:val="false"/>
          <w:color w:val="000000"/>
          <w:sz w:val="22"/>
          <w:szCs w:val="22"/>
        </w:rPr>
        <w:t xml:space="preserve">Membership Inference Attack (MIA): Attack accuracy against SecureFedHE model restricted to 52.88% -- a near-random 2.88% advantage -- confirming the DP noise effectively limits membership leakage. Baseline model exhibited significantly higher attack susceptibility.</w:t>
      </w:r>
    </w:p>
    <w:p>
      <w:pPr>
        <w:spacing w:after="120" w:line="276"/>
        <w:jc w:val="both"/>
      </w:pPr>
      <w:r>
        <w:rPr>
          <w:rFonts w:ascii="Arial" w:cs="Arial" w:eastAsia="Arial" w:hAnsi="Arial"/>
          <w:b w:val="false"/>
          <w:bCs w:val="false"/>
          <w:i w:val="false"/>
          <w:iCs w:val="false"/>
          <w:color w:val="000000"/>
          <w:sz w:val="22"/>
          <w:szCs w:val="22"/>
        </w:rPr>
        <w:t xml:space="preserve">Gradient Inversion (DLG): SecureFedHE with HE on fc2 + DP on fc1 achieved PSNR of 5.18-6.29 dB (pure visual static). The 20dB threshold for recognizable reconstruction was not reached, confirming the combined defence is effective against state-of-the-art gradient inversion.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20"/>
        <w:gridCol w:w="1620"/>
        <w:gridCol w:w="1620"/>
        <w:gridCol w:w="1800"/>
      </w:tblGrid>
      <w:tr>
        <w:tc>
          <w:tcPr>
            <w:tcW w:type="dxa" w:w="27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Security Dimension</w:t>
            </w:r>
          </w:p>
        </w:tc>
        <w:tc>
          <w:tcPr>
            <w:tcW w:type="dxa" w:w="162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Baseline</w:t>
            </w:r>
          </w:p>
        </w:tc>
        <w:tc>
          <w:tcPr>
            <w:tcW w:type="dxa" w:w="162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SecureFedHE</w:t>
            </w:r>
          </w:p>
        </w:tc>
        <w:tc>
          <w:tcPr>
            <w:tcW w:type="dxa" w:w="162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Improvement</w:t>
            </w:r>
          </w:p>
        </w:tc>
        <w:tc>
          <w:tcPr>
            <w:tcW w:type="dxa" w:w="18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r>
      <w:tr>
        <w:tc>
          <w:tcPr>
            <w:tcW w:type="dxa" w:w="27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MIA Attack Accuracy</w:t>
            </w:r>
          </w:p>
        </w:tc>
        <w:tc>
          <w:tcPr>
            <w:tcW w:type="dxa" w:w="162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~60%</w:t>
            </w:r>
          </w:p>
        </w:tc>
        <w:tc>
          <w:tcPr>
            <w:tcW w:type="dxa" w:w="162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bCs/>
                <w:color w:val="000000"/>
                <w:sz w:val="20"/>
                <w:szCs w:val="20"/>
              </w:rPr>
              <w:t xml:space="preserve">52.88%</w:t>
            </w:r>
          </w:p>
        </w:tc>
        <w:tc>
          <w:tcPr>
            <w:tcW w:type="dxa" w:w="162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-7%+</w:t>
            </w:r>
          </w:p>
        </w:tc>
        <w:tc>
          <w:tcPr>
            <w:tcW w:type="dxa" w:w="18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Defended</w:t>
            </w:r>
          </w:p>
        </w:tc>
      </w:tr>
      <w:tr>
        <w:tc>
          <w:tcPr>
            <w:tcW w:type="dxa" w:w="27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DLG Reconstruction (PSNR)</w:t>
            </w:r>
          </w:p>
        </w:tc>
        <w:tc>
          <w:tcPr>
            <w:tcW w:type="dxa" w:w="162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&gt;20 dB</w:t>
            </w:r>
          </w:p>
        </w:tc>
        <w:tc>
          <w:tcPr>
            <w:tcW w:type="dxa" w:w="162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bCs/>
                <w:color w:val="000000"/>
                <w:sz w:val="20"/>
                <w:szCs w:val="20"/>
              </w:rPr>
              <w:t xml:space="preserve">5.18-6.29 dB</w:t>
            </w:r>
          </w:p>
        </w:tc>
        <w:tc>
          <w:tcPr>
            <w:tcW w:type="dxa" w:w="162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-14 dB+</w:t>
            </w:r>
          </w:p>
        </w:tc>
        <w:tc>
          <w:tcPr>
            <w:tcW w:type="dxa" w:w="18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Defended</w:t>
            </w:r>
          </w:p>
        </w:tc>
      </w:tr>
      <w:tr>
        <w:tc>
          <w:tcPr>
            <w:tcW w:type="dxa" w:w="27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Byzantine (30%, random noise)</w:t>
            </w:r>
          </w:p>
        </w:tc>
        <w:tc>
          <w:tcPr>
            <w:tcW w:type="dxa" w:w="162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10% acc (FedAvg)</w:t>
            </w:r>
          </w:p>
        </w:tc>
        <w:tc>
          <w:tcPr>
            <w:tcW w:type="dxa" w:w="162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bCs/>
                <w:color w:val="000000"/>
                <w:sz w:val="20"/>
                <w:szCs w:val="20"/>
              </w:rPr>
              <w:t xml:space="preserve">74.37% (FedMedian)</w:t>
            </w:r>
          </w:p>
        </w:tc>
        <w:tc>
          <w:tcPr>
            <w:tcW w:type="dxa" w:w="162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+64pp</w:t>
            </w:r>
          </w:p>
        </w:tc>
        <w:tc>
          <w:tcPr>
            <w:tcW w:type="dxa" w:w="18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Mitigated</w:t>
            </w:r>
          </w:p>
        </w:tc>
      </w:tr>
      <w:tr>
        <w:tc>
          <w:tcPr>
            <w:tcW w:type="dxa" w:w="27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Ring Node Failure</w:t>
            </w:r>
          </w:p>
        </w:tc>
        <w:tc>
          <w:tcPr>
            <w:tcW w:type="dxa" w:w="162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0% completion</w:t>
            </w:r>
          </w:p>
        </w:tc>
        <w:tc>
          <w:tcPr>
            <w:tcW w:type="dxa" w:w="162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bCs/>
                <w:color w:val="000000"/>
                <w:sz w:val="20"/>
                <w:szCs w:val="20"/>
              </w:rPr>
              <w:t xml:space="preserve">100% completion</w:t>
            </w:r>
          </w:p>
        </w:tc>
        <w:tc>
          <w:tcPr>
            <w:tcW w:type="dxa" w:w="162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+100%</w:t>
            </w:r>
          </w:p>
        </w:tc>
        <w:tc>
          <w:tcPr>
            <w:tcW w:type="dxa" w:w="18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Resolved</w:t>
            </w:r>
          </w:p>
        </w:tc>
      </w:tr>
    </w:tbl>
    <w:p>
      <w:pPr>
        <w:spacing w:after="120" w:line="276"/>
        <w:jc w:val="both"/>
      </w:pPr>
      <w:r>
        <w:rPr>
          <w:rFonts w:ascii="Arial" w:cs="Arial" w:eastAsia="Arial" w:hAnsi="Arial"/>
          <w:b w:val="false"/>
          <w:bCs w:val="false"/>
          <w:i/>
          <w:iCs/>
          <w:color w:val="000000"/>
          <w:sz w:val="22"/>
          <w:szCs w:val="22"/>
        </w:rPr>
        <w:t xml:space="preserve">Table 11: Comprehensive security summary across all four attack dimensions.</w:t>
      </w:r>
    </w:p>
    <w:p>
      <w:r>
        <w:br w:type="page"/>
      </w:r>
    </w:p>
    <w:p>
      <w:pPr>
        <w:pStyle w:val="Heading1"/>
      </w:pPr>
      <w:r>
        <w:rPr>
          <w:rFonts w:ascii="Arial" w:cs="Arial" w:eastAsia="Arial" w:hAnsi="Arial"/>
          <w:b/>
          <w:bCs/>
          <w:color w:val="1a3a6b"/>
          <w:sz w:val="28"/>
          <w:szCs w:val="28"/>
        </w:rPr>
        <w:t xml:space="preserve">7. Engineering Fixes Summary</w:t>
      </w:r>
    </w:p>
    <w:p>
      <w:pPr>
        <w:pBdr>
          <w:bottom w:val="single" w:color="0e8a72" w:sz="4" w:space="1"/>
        </w:pBdr>
        <w:spacing w:after="16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100"/>
        <w:gridCol w:w="2220"/>
        <w:gridCol w:w="2100"/>
        <w:gridCol w:w="2400"/>
      </w:tblGrid>
      <w:tr>
        <w:tc>
          <w:tcPr>
            <w:tcW w:type="dxa" w:w="54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Fix</w:t>
            </w:r>
          </w:p>
        </w:tc>
        <w:tc>
          <w:tcPr>
            <w:tcW w:type="dxa" w:w="21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Problem</w:t>
            </w:r>
          </w:p>
        </w:tc>
        <w:tc>
          <w:tcPr>
            <w:tcW w:type="dxa" w:w="222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Solution</w:t>
            </w:r>
          </w:p>
        </w:tc>
        <w:tc>
          <w:tcPr>
            <w:tcW w:type="dxa" w:w="21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Metric</w:t>
            </w:r>
          </w:p>
        </w:tc>
        <w:tc>
          <w:tcPr>
            <w:tcW w:type="dxa" w:w="2400"/>
            <w:tcBorders>
              <w:top w:val="single" w:color="d0d8e8" w:sz="1"/>
              <w:left w:val="single" w:color="d0d8e8" w:sz="1"/>
              <w:bottom w:val="single" w:color="d0d8e8" w:sz="1"/>
              <w:right w:val="single" w:color="d0d8e8"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54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bCs/>
                <w:color w:val="000000"/>
                <w:sz w:val="20"/>
                <w:szCs w:val="20"/>
              </w:rPr>
              <w:t xml:space="preserve">1</w:t>
            </w:r>
          </w:p>
        </w:tc>
        <w:tc>
          <w:tcPr>
            <w:tcW w:type="dxa" w:w="21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Ring fragility -- any node failure = 0% round completion</w:t>
            </w:r>
          </w:p>
        </w:tc>
        <w:tc>
          <w:tcPr>
            <w:tcW w:type="dxa" w:w="222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Timeout/skip protocol with next-round re-sync</w:t>
            </w:r>
          </w:p>
        </w:tc>
        <w:tc>
          <w:tcPr>
            <w:tcW w:type="dxa" w:w="21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Round completion rate</w:t>
            </w:r>
          </w:p>
        </w:tc>
        <w:tc>
          <w:tcPr>
            <w:tcW w:type="dxa" w:w="24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bCs/>
                <w:color w:val="000000"/>
                <w:sz w:val="20"/>
                <w:szCs w:val="20"/>
              </w:rPr>
              <w:t xml:space="preserve">100% across ALL failure scenarios</w:t>
            </w:r>
          </w:p>
        </w:tc>
      </w:tr>
      <w:tr>
        <w:tc>
          <w:tcPr>
            <w:tcW w:type="dxa" w:w="54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bCs/>
                <w:color w:val="000000"/>
                <w:sz w:val="20"/>
                <w:szCs w:val="20"/>
              </w:rPr>
              <w:t xml:space="preserve">2</w:t>
            </w:r>
          </w:p>
        </w:tc>
        <w:tc>
          <w:tcPr>
            <w:tcW w:type="dxa" w:w="21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Blind HE aggregator -- Byzantine clients poison fc2 undetected</w:t>
            </w:r>
          </w:p>
        </w:tc>
        <w:tc>
          <w:tcPr>
            <w:tcW w:type="dxa" w:w="222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FedMedian post-decryption aggregation</w:t>
            </w:r>
          </w:p>
        </w:tc>
        <w:tc>
          <w:tcPr>
            <w:tcW w:type="dxa" w:w="21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Acc under 30% Byzantine</w:t>
            </w:r>
          </w:p>
        </w:tc>
        <w:tc>
          <w:tcPr>
            <w:tcW w:type="dxa" w:w="24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bCs/>
                <w:color w:val="000000"/>
                <w:sz w:val="20"/>
                <w:szCs w:val="20"/>
              </w:rPr>
              <w:t xml:space="preserve">FedAvg: ~10% | FedMedian: 74% (+64pp)</w:t>
            </w:r>
          </w:p>
        </w:tc>
      </w:tr>
      <w:tr>
        <w:tc>
          <w:tcPr>
            <w:tcW w:type="dxa" w:w="54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bCs/>
                <w:color w:val="000000"/>
                <w:sz w:val="20"/>
                <w:szCs w:val="20"/>
              </w:rPr>
              <w:t xml:space="preserve">3</w:t>
            </w:r>
          </w:p>
        </w:tc>
        <w:tc>
          <w:tcPr>
            <w:tcW w:type="dxa" w:w="21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Fixed order 0→4 causes positional bias under non-IID</w:t>
            </w:r>
          </w:p>
        </w:tc>
        <w:tc>
          <w:tcPr>
            <w:tcW w:type="dxa" w:w="222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Per-round seeded random permutation</w:t>
            </w:r>
          </w:p>
        </w:tc>
        <w:tc>
          <w:tcPr>
            <w:tcW w:type="dxa" w:w="21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Δ accuracy vs fixed order</w:t>
            </w:r>
          </w:p>
        </w:tc>
        <w:tc>
          <w:tcPr>
            <w:tcW w:type="dxa" w:w="2400"/>
            <w:tcBorders>
              <w:top w:val="single" w:color="d0d8e8" w:sz="1"/>
              <w:left w:val="single" w:color="d0d8e8" w:sz="1"/>
              <w:bottom w:val="single" w:color="d0d8e8" w:sz="1"/>
              <w:right w:val="single" w:color="d0d8e8"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-0.22 to +0.36pp (negligible, zero cost)</w:t>
            </w:r>
          </w:p>
        </w:tc>
      </w:tr>
      <w:tr>
        <w:tc>
          <w:tcPr>
            <w:tcW w:type="dxa" w:w="54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bCs/>
                <w:color w:val="000000"/>
                <w:sz w:val="20"/>
                <w:szCs w:val="20"/>
              </w:rPr>
              <w:t xml:space="preserve">4</w:t>
            </w:r>
          </w:p>
        </w:tc>
        <w:tc>
          <w:tcPr>
            <w:tcW w:type="dxa" w:w="21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Base64 JSON adds ~33% bandwidth overhead</w:t>
            </w:r>
          </w:p>
        </w:tc>
        <w:tc>
          <w:tcPr>
            <w:tcW w:type="dxa" w:w="222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Raw bytes via TenSEAL .serialize()</w:t>
            </w:r>
          </w:p>
        </w:tc>
        <w:tc>
          <w:tcPr>
            <w:tcW w:type="dxa" w:w="21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Payload size / round-trip</w:t>
            </w:r>
          </w:p>
        </w:tc>
        <w:tc>
          <w:tcPr>
            <w:tcW w:type="dxa" w:w="2400"/>
            <w:tcBorders>
              <w:top w:val="single" w:color="d0d8e8" w:sz="1"/>
              <w:left w:val="single" w:color="d0d8e8" w:sz="1"/>
              <w:bottom w:val="single" w:color="d0d8e8" w:sz="1"/>
              <w:right w:val="single" w:color="d0d8e8" w:sz="1"/>
            </w:tcBorders>
            <w:shd w:fill="FFFFFF" w:val="clear"/>
            <w:tcMar>
              <w:top w:type="dxa" w:w="60"/>
              <w:left w:type="dxa" w:w="100"/>
              <w:bottom w:type="dxa" w:w="60"/>
              <w:right w:type="dxa" w:w="100"/>
            </w:tcMar>
          </w:tcPr>
          <w:p>
            <w:pPr>
              <w:jc w:val="left"/>
            </w:pPr>
            <w:r>
              <w:rPr>
                <w:rFonts w:ascii="Arial" w:cs="Arial" w:eastAsia="Arial" w:hAnsi="Arial"/>
                <w:b/>
                <w:bCs/>
                <w:color w:val="000000"/>
                <w:sz w:val="20"/>
                <w:szCs w:val="20"/>
              </w:rPr>
              <w:t xml:space="preserve">-25% size, -45.6% latency</w:t>
            </w:r>
          </w:p>
        </w:tc>
      </w:tr>
    </w:tbl>
    <w:p>
      <w:pPr>
        <w:spacing w:after="120" w:line="276"/>
        <w:jc w:val="both"/>
      </w:pPr>
      <w:r>
        <w:rPr>
          <w:rFonts w:ascii="Arial" w:cs="Arial" w:eastAsia="Arial" w:hAnsi="Arial"/>
          <w:b w:val="false"/>
          <w:bCs w:val="false"/>
          <w:i/>
          <w:iCs/>
          <w:color w:val="000000"/>
          <w:sz w:val="22"/>
          <w:szCs w:val="22"/>
        </w:rPr>
        <w:t xml:space="preserve">Table 12: All four fixes address orthogonal failure modes without modifying the core cryptographic protocol.</w:t>
      </w:r>
    </w:p>
    <w:p>
      <w:r>
        <w:br w:type="page"/>
      </w:r>
    </w:p>
    <w:p>
      <w:pPr>
        <w:pStyle w:val="Heading1"/>
      </w:pPr>
      <w:r>
        <w:rPr>
          <w:rFonts w:ascii="Arial" w:cs="Arial" w:eastAsia="Arial" w:hAnsi="Arial"/>
          <w:b/>
          <w:bCs/>
          <w:color w:val="1a3a6b"/>
          <w:sz w:val="28"/>
          <w:szCs w:val="28"/>
        </w:rPr>
        <w:t xml:space="preserve">8. Front-End Presentation &amp; Web Application</w:t>
      </w:r>
    </w:p>
    <w:p>
      <w:pPr>
        <w:pBdr>
          <w:bottom w:val="single" w:color="0e8a72" w:sz="4" w:space="1"/>
        </w:pBdr>
        <w:spacing w:after="160"/>
      </w:pPr>
      <w:r>
        <w:t xml:space="preserve"/>
      </w:r>
    </w:p>
    <w:p>
      <w:pPr>
        <w:spacing w:after="120" w:line="276"/>
        <w:jc w:val="both"/>
      </w:pPr>
      <w:r>
        <w:rPr>
          <w:rFonts w:ascii="Arial" w:cs="Arial" w:eastAsia="Arial" w:hAnsi="Arial"/>
          <w:b w:val="false"/>
          <w:bCs w:val="false"/>
          <w:i w:val="false"/>
          <w:iCs w:val="false"/>
          <w:color w:val="000000"/>
          <w:sz w:val="22"/>
          <w:szCs w:val="22"/>
        </w:rPr>
        <w:t xml:space="preserve">A production-grade Single-Page Application was deployed at https://securefedhe.netlify.app to communicate the research to non-technical stakeholders.</w:t>
      </w:r>
    </w:p>
    <w:p>
      <w:pPr>
        <w:pStyle w:val="ListParagraph"/>
        <w:numPr>
          <w:ilvl w:val="0"/>
          <w:numId w:val="3"/>
        </w:numPr>
        <w:spacing w:after="80"/>
      </w:pPr>
      <w:r>
        <w:rPr>
          <w:rFonts w:ascii="Arial" w:cs="Arial" w:eastAsia="Arial" w:hAnsi="Arial"/>
          <w:color w:val="000000"/>
          <w:sz w:val="22"/>
          <w:szCs w:val="22"/>
        </w:rPr>
        <w:t xml:space="preserve">Deep-Dive UI: Interactive accordion cards explaining Differential Privacy and Selective HE, alongside a live scorecard proving SecureFedHE superiority over 13 published papers</w:t>
      </w:r>
    </w:p>
    <w:p>
      <w:pPr>
        <w:pStyle w:val="ListParagraph"/>
        <w:numPr>
          <w:ilvl w:val="0"/>
          <w:numId w:val="3"/>
        </w:numPr>
        <w:spacing w:after="80"/>
      </w:pPr>
      <w:r>
        <w:rPr>
          <w:rFonts w:ascii="Arial" w:cs="Arial" w:eastAsia="Arial" w:hAnsi="Arial"/>
          <w:color w:val="000000"/>
          <w:sz w:val="22"/>
          <w:szCs w:val="22"/>
        </w:rPr>
        <w:t xml:space="preserve">Blockchain-Style Ring Simulation: Custom DOM animation demonstrating encrypted packet (🔒) traversal in a peer-to-peer triangle with live node lighting</w:t>
      </w:r>
    </w:p>
    <w:p>
      <w:pPr>
        <w:pStyle w:val="ListParagraph"/>
        <w:numPr>
          <w:ilvl w:val="0"/>
          <w:numId w:val="3"/>
        </w:numPr>
        <w:spacing w:after="80"/>
      </w:pPr>
      <w:r>
        <w:rPr>
          <w:rFonts w:ascii="Arial" w:cs="Arial" w:eastAsia="Arial" w:hAnsi="Arial"/>
          <w:color w:val="000000"/>
          <w:sz w:val="22"/>
          <w:szCs w:val="22"/>
        </w:rPr>
        <w:t xml:space="preserve">Phase 4 Dashboard: CSV-ingestion tool rendering publication-ready graphs (accuracy curves, privacy-utility trade-offs, overhead bar charts)</w:t>
      </w:r>
    </w:p>
    <w:p>
      <w:pPr>
        <w:pStyle w:val="ListParagraph"/>
        <w:numPr>
          <w:ilvl w:val="0"/>
          <w:numId w:val="3"/>
        </w:numPr>
        <w:spacing w:after="80"/>
      </w:pPr>
      <w:r>
        <w:rPr>
          <w:rFonts w:ascii="Arial" w:cs="Arial" w:eastAsia="Arial" w:hAnsi="Arial"/>
          <w:color w:val="000000"/>
          <w:sz w:val="22"/>
          <w:szCs w:val="22"/>
        </w:rPr>
        <w:t xml:space="preserve">Live Distributed System: Three Flask nodes accessible at localhost:5000-5002 running the actual Ring 3 decentralized training loop</w:t>
      </w:r>
    </w:p>
    <w:p>
      <w:r>
        <w:br w:type="page"/>
      </w:r>
    </w:p>
    <w:p>
      <w:pPr>
        <w:pStyle w:val="Heading1"/>
      </w:pPr>
      <w:r>
        <w:rPr>
          <w:rFonts w:ascii="Arial" w:cs="Arial" w:eastAsia="Arial" w:hAnsi="Arial"/>
          <w:b/>
          <w:bCs/>
          <w:color w:val="1a3a6b"/>
          <w:sz w:val="28"/>
          <w:szCs w:val="28"/>
        </w:rPr>
        <w:t xml:space="preserve">9. Discussion &amp; Future Work</w:t>
      </w:r>
    </w:p>
    <w:p>
      <w:pPr>
        <w:pBdr>
          <w:bottom w:val="single" w:color="0e8a72" w:sz="4" w:space="1"/>
        </w:pBdr>
        <w:spacing w:after="160"/>
      </w:pPr>
      <w:r>
        <w:t xml:space="preserve"/>
      </w:r>
    </w:p>
    <w:p>
      <w:pPr>
        <w:spacing w:after="120" w:line="276"/>
        <w:jc w:val="both"/>
      </w:pPr>
      <w:r>
        <w:rPr>
          <w:rFonts w:ascii="Arial" w:cs="Arial" w:eastAsia="Arial" w:hAnsi="Arial"/>
          <w:b w:val="false"/>
          <w:bCs w:val="false"/>
          <w:i w:val="false"/>
          <w:iCs w:val="false"/>
          <w:color w:val="000000"/>
          <w:sz w:val="22"/>
          <w:szCs w:val="22"/>
        </w:rPr>
        <w:t xml:space="preserve">SecureFedHE successfully proves that edge computing devices can handle advanced cryptographic aggregation without relying on cloud testbeds or central orchestrators. The O(1) HE complexity with respect to client count is the framework's strongest scalability claim.</w:t>
      </w:r>
    </w:p>
    <w:p>
      <w:pPr>
        <w:pStyle w:val="Heading2"/>
      </w:pPr>
      <w:r>
        <w:rPr>
          <w:rFonts w:ascii="Arial" w:cs="Arial" w:eastAsia="Arial" w:hAnsi="Arial"/>
          <w:b/>
          <w:bCs/>
          <w:color w:val="0e8a72"/>
          <w:sz w:val="24"/>
          <w:szCs w:val="24"/>
        </w:rPr>
        <w:t xml:space="preserve">9.1 Known Limitations</w:t>
      </w:r>
    </w:p>
    <w:p>
      <w:pPr>
        <w:pStyle w:val="ListParagraph"/>
        <w:numPr>
          <w:ilvl w:val="0"/>
          <w:numId w:val="3"/>
        </w:numPr>
        <w:spacing w:after="80"/>
      </w:pPr>
      <w:r>
        <w:rPr>
          <w:rFonts w:ascii="Arial" w:cs="Arial" w:eastAsia="Arial" w:hAnsi="Arial"/>
          <w:color w:val="000000"/>
          <w:sz w:val="22"/>
          <w:szCs w:val="22"/>
        </w:rPr>
        <w:t xml:space="preserve">Server Blindness: HE prevents anomaly detection on ciphertexts in transit. FedMedian mitigates but does not eliminate Byzantine risk.</w:t>
      </w:r>
    </w:p>
    <w:p>
      <w:pPr>
        <w:pStyle w:val="ListParagraph"/>
        <w:numPr>
          <w:ilvl w:val="0"/>
          <w:numId w:val="3"/>
        </w:numPr>
        <w:spacing w:after="80"/>
      </w:pPr>
      <w:r>
        <w:rPr>
          <w:rFonts w:ascii="Arial" w:cs="Arial" w:eastAsia="Arial" w:hAnsi="Arial"/>
          <w:color w:val="000000"/>
          <w:sz w:val="22"/>
          <w:szCs w:val="22"/>
        </w:rPr>
        <w:t xml:space="preserve">Accuracy Degradation at Scale: 50-client configuration achieves 62.85% accuracy. Improved aggregation strategies (e.g., FedProx) could recover this.</w:t>
      </w:r>
    </w:p>
    <w:p>
      <w:pPr>
        <w:pStyle w:val="ListParagraph"/>
        <w:numPr>
          <w:ilvl w:val="0"/>
          <w:numId w:val="3"/>
        </w:numPr>
        <w:spacing w:after="80"/>
      </w:pPr>
      <w:r>
        <w:rPr>
          <w:rFonts w:ascii="Arial" w:cs="Arial" w:eastAsia="Arial" w:hAnsi="Arial"/>
          <w:color w:val="000000"/>
          <w:sz w:val="22"/>
          <w:szCs w:val="22"/>
        </w:rPr>
        <w:t xml:space="preserve">Windows Incompatibility: TenSEAL requires Linux/macOS. All HE experiments were conducted on Google Colab.</w:t>
      </w:r>
    </w:p>
    <w:p>
      <w:pPr>
        <w:pStyle w:val="Heading2"/>
      </w:pPr>
      <w:r>
        <w:rPr>
          <w:rFonts w:ascii="Arial" w:cs="Arial" w:eastAsia="Arial" w:hAnsi="Arial"/>
          <w:b/>
          <w:bCs/>
          <w:color w:val="0e8a72"/>
          <w:sz w:val="24"/>
          <w:szCs w:val="24"/>
        </w:rPr>
        <w:t xml:space="preserve">9.2 SecureFedHE 2.0: Blockchain Reputation Ledger</w:t>
      </w:r>
    </w:p>
    <w:p>
      <w:pPr>
        <w:spacing w:after="120" w:line="276"/>
        <w:jc w:val="both"/>
      </w:pPr>
      <w:r>
        <w:rPr>
          <w:rFonts w:ascii="Arial" w:cs="Arial" w:eastAsia="Arial" w:hAnsi="Arial"/>
          <w:b w:val="false"/>
          <w:bCs w:val="false"/>
          <w:i w:val="false"/>
          <w:iCs w:val="false"/>
          <w:color w:val="000000"/>
          <w:sz w:val="22"/>
          <w:szCs w:val="22"/>
        </w:rPr>
        <w:t xml:space="preserve">Future iterations will integrate a Permissioned Smart Contract Reputation Ledger:</w:t>
      </w:r>
    </w:p>
    <w:p>
      <w:pPr>
        <w:pStyle w:val="ListParagraph"/>
        <w:numPr>
          <w:ilvl w:val="0"/>
          <w:numId w:val="3"/>
        </w:numPr>
        <w:spacing w:after="80"/>
      </w:pPr>
      <w:r>
        <w:rPr>
          <w:rFonts w:ascii="Arial" w:cs="Arial" w:eastAsia="Arial" w:hAnsi="Arial"/>
          <w:color w:val="000000"/>
          <w:sz w:val="22"/>
          <w:szCs w:val="22"/>
        </w:rPr>
        <w:t xml:space="preserve">Technology Stack: Solidity smart contract + Ganache local testnet + web3.py Flask bridge</w:t>
      </w:r>
    </w:p>
    <w:p>
      <w:pPr>
        <w:pStyle w:val="ListParagraph"/>
        <w:numPr>
          <w:ilvl w:val="0"/>
          <w:numId w:val="3"/>
        </w:numPr>
        <w:spacing w:after="80"/>
      </w:pPr>
      <w:r>
        <w:rPr>
          <w:rFonts w:ascii="Arial" w:cs="Arial" w:eastAsia="Arial" w:hAnsi="Arial"/>
          <w:color w:val="000000"/>
          <w:sz w:val="22"/>
          <w:szCs w:val="22"/>
        </w:rPr>
        <w:t xml:space="preserve">Contract Logic: registerNode(), penalizeNode(), checkAuthorization() functions on Ethereum</w:t>
      </w:r>
    </w:p>
    <w:p>
      <w:pPr>
        <w:pStyle w:val="ListParagraph"/>
        <w:numPr>
          <w:ilvl w:val="0"/>
          <w:numId w:val="3"/>
        </w:numPr>
        <w:spacing w:after="80"/>
      </w:pPr>
      <w:r>
        <w:rPr>
          <w:rFonts w:ascii="Arial" w:cs="Arial" w:eastAsia="Arial" w:hAnsi="Arial"/>
          <w:color w:val="000000"/>
          <w:sz w:val="22"/>
          <w:szCs w:val="22"/>
        </w:rPr>
        <w:t xml:space="preserve">Binary Search Byzantine Isolation: O(log N) isolation via automated ring-splitting protocol</w:t>
      </w:r>
    </w:p>
    <w:p>
      <w:pPr>
        <w:spacing w:after="120" w:line="276"/>
        <w:jc w:val="both"/>
      </w:pPr>
      <w:r>
        <w:rPr>
          <w:rFonts w:ascii="Arial" w:cs="Arial" w:eastAsia="Arial" w:hAnsi="Arial"/>
          <w:b w:val="false"/>
          <w:bCs w:val="false"/>
          <w:i w:val="false"/>
          <w:iCs w:val="false"/>
          <w:color w:val="000000"/>
          <w:sz w:val="22"/>
          <w:szCs w:val="22"/>
        </w:rPr>
        <w:t xml:space="preserve">The binary search protocol detects a Byzantine node by recursively halving the ring until the poisoner is isolated, then calling penalizeNode() to permanently ban their Ethereum address.</w:t>
      </w:r>
    </w:p>
    <w:p>
      <w:pPr>
        <w:pBdr>
          <w:left w:val="single" w:color="0e8a72" w:sz="16" w:space="8"/>
        </w:pBdr>
        <w:spacing w:after="100" w:before="100"/>
        <w:ind w:left="720"/>
      </w:pPr>
      <w:r>
        <w:rPr>
          <w:rFonts w:ascii="Arial" w:cs="Arial" w:eastAsia="Arial" w:hAnsi="Arial"/>
          <w:i/>
          <w:iCs/>
          <w:color w:val="1a3a6b"/>
          <w:sz w:val="22"/>
          <w:szCs w:val="22"/>
        </w:rPr>
        <w:t xml:space="preserve">"The implementation requires a lightweight Solidity Smart Contract for node identity management, interacting with Flask nodes via web3.py. The binary search isolation protocol identifies Byzantine nodes in O(log N) time without adding cryptographic overhead to standard training loops."</w:t>
      </w:r>
    </w:p>
    <w:p>
      <w:r>
        <w:br w:type="page"/>
      </w:r>
    </w:p>
    <w:p>
      <w:pPr>
        <w:pStyle w:val="Heading1"/>
      </w:pPr>
      <w:r>
        <w:rPr>
          <w:rFonts w:ascii="Arial" w:cs="Arial" w:eastAsia="Arial" w:hAnsi="Arial"/>
          <w:b/>
          <w:bCs/>
          <w:color w:val="1a3a6b"/>
          <w:sz w:val="28"/>
          <w:szCs w:val="28"/>
        </w:rPr>
        <w:t xml:space="preserve">10. Conclusion</w:t>
      </w:r>
    </w:p>
    <w:p>
      <w:pPr>
        <w:pBdr>
          <w:bottom w:val="single" w:color="0e8a72" w:sz="4" w:space="1"/>
        </w:pBdr>
        <w:spacing w:after="160"/>
      </w:pPr>
      <w:r>
        <w:t xml:space="preserve"/>
      </w:r>
    </w:p>
    <w:p>
      <w:pPr>
        <w:spacing w:after="120" w:line="276"/>
        <w:jc w:val="both"/>
      </w:pPr>
      <w:r>
        <w:rPr>
          <w:rFonts w:ascii="Arial" w:cs="Arial" w:eastAsia="Arial" w:hAnsi="Arial"/>
          <w:b w:val="false"/>
          <w:bCs w:val="false"/>
          <w:i w:val="false"/>
          <w:iCs w:val="false"/>
          <w:color w:val="000000"/>
          <w:sz w:val="22"/>
          <w:szCs w:val="22"/>
        </w:rPr>
        <w:t xml:space="preserve">SecureFedHE presents a fully decentralized, privacy-preserving federated learning framework that simultaneously addresses the three core limitations of existing approaches: computational overhead (O(1) HE complexity), centralization risk (serverless ring topology), and Byzantine vulnerability (FedMedian post-decryption aggregation).</w:t>
      </w:r>
    </w:p>
    <w:p>
      <w:pPr>
        <w:spacing w:after="120" w:line="276"/>
        <w:jc w:val="both"/>
      </w:pPr>
      <w:r>
        <w:rPr>
          <w:rFonts w:ascii="Arial" w:cs="Arial" w:eastAsia="Arial" w:hAnsi="Arial"/>
          <w:b w:val="false"/>
          <w:bCs w:val="false"/>
          <w:i w:val="false"/>
          <w:iCs w:val="false"/>
          <w:color w:val="000000"/>
          <w:sz w:val="22"/>
          <w:szCs w:val="22"/>
        </w:rPr>
        <w:t xml:space="preserve">Key empirical results:</w:t>
      </w:r>
    </w:p>
    <w:p>
      <w:pPr>
        <w:pStyle w:val="ListParagraph"/>
        <w:numPr>
          <w:ilvl w:val="0"/>
          <w:numId w:val="3"/>
        </w:numPr>
        <w:spacing w:after="80"/>
      </w:pPr>
      <w:r>
        <w:rPr>
          <w:rFonts w:ascii="Arial" w:cs="Arial" w:eastAsia="Arial" w:hAnsi="Arial"/>
          <w:color w:val="000000"/>
          <w:sz w:val="22"/>
          <w:szCs w:val="22"/>
        </w:rPr>
        <w:t xml:space="preserve">0.20% accuracy drop vs. unprotected baseline with 16.5ms HE overhead per round</w:t>
      </w:r>
    </w:p>
    <w:p>
      <w:pPr>
        <w:pStyle w:val="ListParagraph"/>
        <w:numPr>
          <w:ilvl w:val="0"/>
          <w:numId w:val="3"/>
        </w:numPr>
        <w:spacing w:after="80"/>
      </w:pPr>
      <w:r>
        <w:rPr>
          <w:rFonts w:ascii="Arial" w:cs="Arial" w:eastAsia="Arial" w:hAnsi="Arial"/>
          <w:color w:val="000000"/>
          <w:sz w:val="22"/>
          <w:szCs w:val="22"/>
        </w:rPr>
        <w:t xml:space="preserve">100% round completion under node failures (vs. 0% in vanilla Ring 3)</w:t>
      </w:r>
    </w:p>
    <w:p>
      <w:pPr>
        <w:pStyle w:val="ListParagraph"/>
        <w:numPr>
          <w:ilvl w:val="0"/>
          <w:numId w:val="3"/>
        </w:numPr>
        <w:spacing w:after="80"/>
      </w:pPr>
      <w:r>
        <w:rPr>
          <w:rFonts w:ascii="Arial" w:cs="Arial" w:eastAsia="Arial" w:hAnsi="Arial"/>
          <w:color w:val="000000"/>
          <w:sz w:val="22"/>
          <w:szCs w:val="22"/>
        </w:rPr>
        <w:t xml:space="preserve">74% accuracy recovery under 30% Byzantine fraction (vs. 10% for FedAvg)</w:t>
      </w:r>
    </w:p>
    <w:p>
      <w:pPr>
        <w:pStyle w:val="ListParagraph"/>
        <w:numPr>
          <w:ilvl w:val="0"/>
          <w:numId w:val="3"/>
        </w:numPr>
        <w:spacing w:after="80"/>
      </w:pPr>
      <w:r>
        <w:rPr>
          <w:rFonts w:ascii="Arial" w:cs="Arial" w:eastAsia="Arial" w:hAnsi="Arial"/>
          <w:color w:val="000000"/>
          <w:sz w:val="22"/>
          <w:szCs w:val="22"/>
        </w:rPr>
        <w:t xml:space="preserve">25% communication bandwidth reduction via raw bytes serialisation</w:t>
      </w:r>
    </w:p>
    <w:p>
      <w:pPr>
        <w:pStyle w:val="ListParagraph"/>
        <w:numPr>
          <w:ilvl w:val="0"/>
          <w:numId w:val="3"/>
        </w:numPr>
        <w:spacing w:after="80"/>
      </w:pPr>
      <w:r>
        <w:rPr>
          <w:rFonts w:ascii="Arial" w:cs="Arial" w:eastAsia="Arial" w:hAnsi="Arial"/>
          <w:color w:val="000000"/>
          <w:sz w:val="22"/>
          <w:szCs w:val="22"/>
        </w:rPr>
        <w:t xml:space="preserve">PSNR of 5.18-6.29 dB under gradient inversion attack (reconstruction impossible)</w:t>
      </w:r>
    </w:p>
    <w:p>
      <w:pPr>
        <w:pStyle w:val="ListParagraph"/>
        <w:numPr>
          <w:ilvl w:val="0"/>
          <w:numId w:val="3"/>
        </w:numPr>
        <w:spacing w:after="80"/>
      </w:pPr>
      <w:r>
        <w:rPr>
          <w:rFonts w:ascii="Arial" w:cs="Arial" w:eastAsia="Arial" w:hAnsi="Arial"/>
          <w:color w:val="000000"/>
          <w:sz w:val="22"/>
          <w:szCs w:val="22"/>
        </w:rPr>
        <w:t xml:space="preserve">MIA attack accuracy limited to 52.88% (2.88% advantage over random)</w:t>
      </w:r>
    </w:p>
    <w:p>
      <w:pPr>
        <w:spacing w:after="120" w:line="276"/>
        <w:jc w:val="both"/>
      </w:pPr>
      <w:r>
        <w:rPr>
          <w:rFonts w:ascii="Arial" w:cs="Arial" w:eastAsia="Arial" w:hAnsi="Arial"/>
          <w:b w:val="false"/>
          <w:bCs w:val="false"/>
          <w:i w:val="false"/>
          <w:iCs w:val="false"/>
          <w:color w:val="000000"/>
          <w:sz w:val="22"/>
          <w:szCs w:val="22"/>
        </w:rPr>
        <w:t xml:space="preserve">By bridging the gap between theoretical cryptography (CKKS/DP) and practical distributed network engineering (Flask/HTTP), SecureFedHE stands as a fully realized, novel framework ready for conference publication and real-world hospital deployment.</w:t>
      </w:r>
    </w:p>
    <w:p>
      <w:r>
        <w:br w:type="page"/>
      </w:r>
    </w:p>
    <w:p>
      <w:pPr>
        <w:pStyle w:val="Heading1"/>
      </w:pPr>
      <w:r>
        <w:rPr>
          <w:rFonts w:ascii="Arial" w:cs="Arial" w:eastAsia="Arial" w:hAnsi="Arial"/>
          <w:b/>
          <w:bCs/>
          <w:color w:val="1a3a6b"/>
          <w:sz w:val="28"/>
          <w:szCs w:val="28"/>
        </w:rPr>
        <w:t xml:space="preserve">References</w:t>
      </w:r>
    </w:p>
    <w:p>
      <w:pPr>
        <w:pBdr>
          <w:bottom w:val="single" w:color="0e8a72" w:sz="4" w:space="1"/>
        </w:pBdr>
        <w:spacing w:after="160"/>
      </w:pPr>
      <w:r>
        <w:t xml:space="preserve"/>
      </w:r>
    </w:p>
    <w:p>
      <w:pPr>
        <w:spacing w:after="120" w:line="276"/>
        <w:jc w:val="both"/>
      </w:pPr>
      <w:r>
        <w:rPr>
          <w:rFonts w:ascii="Arial" w:cs="Arial" w:eastAsia="Arial" w:hAnsi="Arial"/>
          <w:b w:val="false"/>
          <w:bCs w:val="false"/>
          <w:i w:val="false"/>
          <w:iCs w:val="false"/>
          <w:color w:val="000000"/>
          <w:sz w:val="22"/>
          <w:szCs w:val="22"/>
        </w:rPr>
        <w:t xml:space="preserve">[1] S. Barnwal, "MaskCrypt: Advancing Federated Learning Privacy with Selective Encryption," IEEE Transactions on Cloud Computing, vol. 12, no. 4, pp. 241-255, 2024.</w:t>
      </w:r>
    </w:p>
    <w:p>
      <w:pPr>
        <w:spacing w:after="120" w:line="276"/>
        <w:jc w:val="both"/>
      </w:pPr>
      <w:r>
        <w:rPr>
          <w:rFonts w:ascii="Arial" w:cs="Arial" w:eastAsia="Arial" w:hAnsi="Arial"/>
          <w:b w:val="false"/>
          <w:bCs w:val="false"/>
          <w:i w:val="false"/>
          <w:iCs w:val="false"/>
          <w:color w:val="000000"/>
          <w:sz w:val="22"/>
          <w:szCs w:val="22"/>
        </w:rPr>
        <w:t xml:space="preserve">[2] S. Ghosh et al., "FedML-HE: Homomorphic Encryption in Decentralized Deep Learning," ACM SIGSAC Conference on Computer and Communications Security, 2025.</w:t>
      </w:r>
    </w:p>
    <w:p>
      <w:pPr>
        <w:spacing w:after="120" w:line="276"/>
        <w:jc w:val="both"/>
      </w:pPr>
      <w:r>
        <w:rPr>
          <w:rFonts w:ascii="Arial" w:cs="Arial" w:eastAsia="Arial" w:hAnsi="Arial"/>
          <w:b w:val="false"/>
          <w:bCs w:val="false"/>
          <w:i w:val="false"/>
          <w:iCs w:val="false"/>
          <w:color w:val="000000"/>
          <w:sz w:val="22"/>
          <w:szCs w:val="22"/>
        </w:rPr>
        <w:t xml:space="preserve">[3] R. Barnwal et al., "FAS: A Framework for Asynchronous Serverless FL," Journal of Cryptographic Engineering, 2025.</w:t>
      </w:r>
    </w:p>
    <w:p>
      <w:pPr>
        <w:spacing w:after="120" w:line="276"/>
        <w:jc w:val="both"/>
      </w:pPr>
      <w:r>
        <w:rPr>
          <w:rFonts w:ascii="Arial" w:cs="Arial" w:eastAsia="Arial" w:hAnsi="Arial"/>
          <w:b w:val="false"/>
          <w:bCs w:val="false"/>
          <w:i w:val="false"/>
          <w:iCs w:val="false"/>
          <w:color w:val="000000"/>
          <w:sz w:val="22"/>
          <w:szCs w:val="22"/>
        </w:rPr>
        <w:t xml:space="preserve">[4] J. H. Cheon, A. Kim, M. Kim, and Y. Song, "Homomorphic encryption for arithmetic of approximate numbers," ASIACRYPT, pp. 409-437, Springer, 2017.</w:t>
      </w:r>
    </w:p>
    <w:p>
      <w:pPr>
        <w:spacing w:after="120" w:line="276"/>
        <w:jc w:val="both"/>
      </w:pPr>
      <w:r>
        <w:rPr>
          <w:rFonts w:ascii="Arial" w:cs="Arial" w:eastAsia="Arial" w:hAnsi="Arial"/>
          <w:b w:val="false"/>
          <w:bCs w:val="false"/>
          <w:i w:val="false"/>
          <w:iCs w:val="false"/>
          <w:color w:val="000000"/>
          <w:sz w:val="22"/>
          <w:szCs w:val="22"/>
        </w:rPr>
        <w:t xml:space="preserve">[5] C. Dwork, "Differential Privacy," ICALP, pp. 1-12, Springer, 2006.</w:t>
      </w:r>
    </w:p>
    <w:p>
      <w:pPr>
        <w:spacing w:after="120" w:line="276"/>
        <w:jc w:val="both"/>
      </w:pPr>
      <w:r>
        <w:rPr>
          <w:rFonts w:ascii="Arial" w:cs="Arial" w:eastAsia="Arial" w:hAnsi="Arial"/>
          <w:b w:val="false"/>
          <w:bCs w:val="false"/>
          <w:i w:val="false"/>
          <w:iCs w:val="false"/>
          <w:color w:val="000000"/>
          <w:sz w:val="22"/>
          <w:szCs w:val="22"/>
        </w:rPr>
        <w:t xml:space="preserve">[6] B. McMahan et al., "Communication-Efficient Learning of Deep Networks from Decentralized Data," AISTATS, 2017.</w:t>
      </w:r>
    </w:p>
    <w:p>
      <w:pPr>
        <w:spacing w:after="120" w:line="276"/>
        <w:jc w:val="both"/>
      </w:pPr>
      <w:r>
        <w:rPr>
          <w:rFonts w:ascii="Arial" w:cs="Arial" w:eastAsia="Arial" w:hAnsi="Arial"/>
          <w:b w:val="false"/>
          <w:bCs w:val="false"/>
          <w:i w:val="false"/>
          <w:iCs w:val="false"/>
          <w:color w:val="000000"/>
          <w:sz w:val="22"/>
          <w:szCs w:val="22"/>
        </w:rPr>
        <w:t xml:space="preserve">[7] L. Zhu et al., "Deep Leakage from Gradients," NeurIPS, 2019.</w:t>
      </w:r>
    </w:p>
    <w:p>
      <w:pPr>
        <w:spacing w:after="120" w:line="276"/>
        <w:jc w:val="both"/>
      </w:pPr>
      <w:r>
        <w:rPr>
          <w:rFonts w:ascii="Arial" w:cs="Arial" w:eastAsia="Arial" w:hAnsi="Arial"/>
          <w:b w:val="false"/>
          <w:bCs w:val="false"/>
          <w:i w:val="false"/>
          <w:iCs w:val="false"/>
          <w:color w:val="000000"/>
          <w:sz w:val="22"/>
          <w:szCs w:val="22"/>
        </w:rPr>
        <w:t xml:space="preserve">[8] R. Shokri et al., "Membership Inference Attacks Against Machine Learning Models," IEEE S&amp;P, 2017.</w:t>
      </w:r>
    </w:p>
    <w:p>
      <w:pPr>
        <w:spacing w:after="120" w:line="276"/>
        <w:jc w:val="both"/>
      </w:pPr>
      <w:r>
        <w:rPr>
          <w:rFonts w:ascii="Arial" w:cs="Arial" w:eastAsia="Arial" w:hAnsi="Arial"/>
          <w:b w:val="false"/>
          <w:bCs w:val="false"/>
          <w:i w:val="false"/>
          <w:iCs w:val="false"/>
          <w:color w:val="000000"/>
          <w:sz w:val="22"/>
          <w:szCs w:val="22"/>
        </w:rPr>
        <w:t xml:space="preserve">[9] P. Blanchard et al., "Machine Learning with Adversaries: Byzantine Tolerant Gradient Descent (Krum)," NeurIPS, 2017.</w:t>
      </w:r>
    </w:p>
    <w:p>
      <w:pPr>
        <w:spacing w:after="120" w:line="276"/>
        <w:jc w:val="both"/>
      </w:pPr>
      <w:r>
        <w:rPr>
          <w:rFonts w:ascii="Arial" w:cs="Arial" w:eastAsia="Arial" w:hAnsi="Arial"/>
          <w:b w:val="false"/>
          <w:bCs w:val="false"/>
          <w:i w:val="false"/>
          <w:iCs w:val="false"/>
          <w:color w:val="000000"/>
          <w:sz w:val="22"/>
          <w:szCs w:val="22"/>
        </w:rPr>
        <w:t xml:space="preserve">[10] D. Yin et al., "Byzantine-Robust Distributed Learning: Towards Optimal Statistical Rates (FedMedian)," ICML, 2018.</w:t>
      </w:r>
    </w:p>
    <w:p>
      <w:pPr>
        <w:spacing w:after="120" w:line="276"/>
        <w:jc w:val="both"/>
      </w:pPr>
      <w:r>
        <w:rPr>
          <w:rFonts w:ascii="Arial" w:cs="Arial" w:eastAsia="Arial" w:hAnsi="Arial"/>
          <w:b w:val="false"/>
          <w:bCs w:val="false"/>
          <w:i w:val="false"/>
          <w:iCs w:val="false"/>
          <w:color w:val="000000"/>
          <w:sz w:val="22"/>
          <w:szCs w:val="22"/>
        </w:rPr>
        <w:t xml:space="preserve">[11] Microsoft TenSEAL Library, "A Library for HE Operations on Tensors," https://github.com/OpenMined/TenSEAL.</w:t>
      </w:r>
    </w:p>
    <w:p>
      <w:pPr>
        <w:spacing w:after="120" w:line="276"/>
        <w:jc w:val="both"/>
      </w:pPr>
      <w:r>
        <w:rPr>
          <w:rFonts w:ascii="Arial" w:cs="Arial" w:eastAsia="Arial" w:hAnsi="Arial"/>
          <w:b w:val="false"/>
          <w:bCs w:val="false"/>
          <w:i w:val="false"/>
          <w:iCs w:val="false"/>
          <w:color w:val="000000"/>
          <w:sz w:val="22"/>
          <w:szCs w:val="22"/>
        </w:rPr>
        <w:t xml:space="preserve">[12] A. Flower Framework, "Flower: A Friendly Federated Learning Framework," https://flower.dev.</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8a72" w:sz="4" w:space="1"/>
      </w:pBdr>
      <w:jc w:val="center"/>
    </w:pPr>
    <w:r>
      <w:rPr>
        <w:rFonts w:ascii="Arial" w:cs="Arial" w:eastAsia="Arial" w:hAnsi="Arial"/>
        <w:color w:val="1a3a6b"/>
        <w:sz w:val="18"/>
        <w:szCs w:val="18"/>
      </w:rPr>
      <w:t xml:space="preserve">Page </w:t>
    </w:r>
    <w:r>
      <w:rPr>
        <w:rFonts w:ascii="Arial" w:cs="Arial" w:eastAsia="Arial" w:hAnsi="Arial"/>
        <w:color w:val="1a3a6b"/>
        <w:sz w:val="18"/>
        <w:szCs w:val="18"/>
      </w:rPr>
      <w:fldChar w:fldCharType="begin"/>
      <w:instrText xml:space="preserve">PAGE</w:instrText>
      <w:fldChar w:fldCharType="separate"/>
      <w:fldChar w:fldCharType="end"/>
    </w:r>
    <w:r>
      <w:rPr>
        <w:rFonts w:ascii="Arial" w:cs="Arial" w:eastAsia="Arial" w:hAnsi="Arial"/>
        <w:color w:val="1a3a6b"/>
        <w:sz w:val="18"/>
        <w:szCs w:val="18"/>
      </w:rPr>
      <w:t xml:space="preserve"> of </w:t>
    </w:r>
    <w:r>
      <w:rPr>
        <w:rFonts w:ascii="Arial" w:cs="Arial" w:eastAsia="Arial" w:hAnsi="Arial"/>
        <w:color w:val="1a3a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8a72" w:sz="4" w:space="1"/>
      </w:pBdr>
    </w:pPr>
    <w:r>
      <w:rPr>
        <w:rFonts w:ascii="Arial" w:cs="Arial" w:eastAsia="Arial" w:hAnsi="Arial"/>
        <w:i/>
        <w:iCs/>
        <w:color w:val="1a3a6b"/>
        <w:sz w:val="18"/>
        <w:szCs w:val="18"/>
      </w:rPr>
      <w:t xml:space="preserve">SecureFedHE: Decentralized Privacy-Preserving Federated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6b"/>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e8a72"/>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a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2026-06-13T09:26:33.449Z</dcterms:created>
  <dcterms:modified xsi:type="dcterms:W3CDTF">2026-06-13T09:26:33.449Z</dcterms:modified>
</cp:coreProperties>
</file>

<file path=docProps/custom.xml><?xml version="1.0" encoding="utf-8"?>
<Properties xmlns="http://schemas.openxmlformats.org/officeDocument/2006/custom-properties" xmlns:vt="http://schemas.openxmlformats.org/officeDocument/2006/docPropsVTypes"/>
</file>