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C72E85" w:rsidRDefault="00C72E85">
      <w:pPr>
        <w:spacing w:before="2880"/>
        <w:jc w:val="center"/>
      </w:pPr>
    </w:p>
    <w:p w:rsidR="00C72E85" w:rsidRDefault="00B63CA0">
      <w:pPr>
        <w:spacing w:after="80"/>
        <w:jc w:val="center"/>
      </w:pPr>
      <w:r>
        <w:rPr>
          <w:b/>
          <w:bCs/>
          <w:color w:val="1A3C6E"/>
          <w:sz w:val="52"/>
          <w:szCs w:val="52"/>
        </w:rPr>
        <w:t>AMAZON SALES REPORT</w:t>
      </w:r>
    </w:p>
    <w:p w:rsidR="00C72E85" w:rsidRDefault="00B63CA0">
      <w:pPr>
        <w:spacing w:after="120"/>
        <w:jc w:val="center"/>
      </w:pPr>
      <w:r>
        <w:rPr>
          <w:i/>
          <w:iCs/>
          <w:color w:val="2E7BC4"/>
          <w:sz w:val="26"/>
          <w:szCs w:val="26"/>
        </w:rPr>
        <w:t>2025 Annual Business Intelligence &amp; Performance Analysis</w:t>
      </w:r>
    </w:p>
    <w:p w:rsidR="00C72E85" w:rsidRDefault="00C72E85">
      <w:pPr>
        <w:pBdr>
          <w:bottom w:val="single" w:sz="6" w:space="1" w:color="2E7BC4"/>
        </w:pBdr>
        <w:spacing w:after="480"/>
        <w:jc w:val="cente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440" w:type="dxa"/>
          <w:right w:w="1440" w:type="dxa"/>
        </w:tblCellMar>
        <w:tblLook w:val="04A0" w:firstRow="1" w:lastRow="0" w:firstColumn="1" w:lastColumn="0" w:noHBand="0" w:noVBand="1"/>
      </w:tblPr>
      <w:tblGrid>
        <w:gridCol w:w="2340"/>
        <w:gridCol w:w="2340"/>
        <w:gridCol w:w="2340"/>
        <w:gridCol w:w="2340"/>
      </w:tblGrid>
      <w:tr w:rsidR="00C72E85">
        <w:tblPrEx>
          <w:tblCellMar>
            <w:top w:w="0" w:type="dxa"/>
            <w:bottom w:w="0" w:type="dxa"/>
          </w:tblCellMar>
        </w:tblPrEx>
        <w:tc>
          <w:tcPr>
            <w:tcW w:w="2340" w:type="dxa"/>
            <w:tcBorders>
              <w:top w:val="single" w:sz="1" w:space="0" w:color="DDDDDD"/>
              <w:left w:val="single" w:sz="1" w:space="0" w:color="DDDDDD"/>
              <w:bottom w:val="single" w:sz="1" w:space="0" w:color="DDDDDD"/>
              <w:right w:val="single" w:sz="1" w:space="0" w:color="DDDDDD"/>
            </w:tcBorders>
            <w:shd w:val="clear" w:color="auto" w:fill="D6E8F7"/>
            <w:tcMar>
              <w:top w:w="160" w:type="dxa"/>
              <w:left w:w="180" w:type="dxa"/>
              <w:bottom w:w="160" w:type="dxa"/>
              <w:right w:w="180" w:type="dxa"/>
            </w:tcMar>
          </w:tcPr>
          <w:p w:rsidR="00C72E85" w:rsidRDefault="00B63CA0">
            <w:pPr>
              <w:spacing w:after="40"/>
              <w:jc w:val="center"/>
            </w:pPr>
            <w:r>
              <w:rPr>
                <w:b/>
                <w:bCs/>
                <w:color w:val="1A3C6E"/>
                <w:sz w:val="36"/>
                <w:szCs w:val="36"/>
              </w:rPr>
              <w:t>$243,845</w:t>
            </w:r>
          </w:p>
          <w:p w:rsidR="00C72E85" w:rsidRDefault="00B63CA0">
            <w:pPr>
              <w:jc w:val="center"/>
            </w:pPr>
            <w:r>
              <w:rPr>
                <w:color w:val="4A5568"/>
                <w:sz w:val="16"/>
                <w:szCs w:val="16"/>
              </w:rPr>
              <w:t>Total Revenue</w:t>
            </w:r>
          </w:p>
        </w:tc>
        <w:tc>
          <w:tcPr>
            <w:tcW w:w="2340" w:type="dxa"/>
            <w:tcBorders>
              <w:top w:val="single" w:sz="1" w:space="0" w:color="DDDDDD"/>
              <w:left w:val="single" w:sz="1" w:space="0" w:color="DDDDDD"/>
              <w:bottom w:val="single" w:sz="1" w:space="0" w:color="DDDDDD"/>
              <w:right w:val="single" w:sz="1" w:space="0" w:color="DDDDDD"/>
            </w:tcBorders>
            <w:shd w:val="clear" w:color="auto" w:fill="EBF4FB"/>
            <w:tcMar>
              <w:top w:w="160" w:type="dxa"/>
              <w:left w:w="180" w:type="dxa"/>
              <w:bottom w:w="160" w:type="dxa"/>
              <w:right w:w="180" w:type="dxa"/>
            </w:tcMar>
          </w:tcPr>
          <w:p w:rsidR="00C72E85" w:rsidRDefault="00B63CA0">
            <w:pPr>
              <w:spacing w:after="40"/>
              <w:jc w:val="center"/>
            </w:pPr>
            <w:r>
              <w:rPr>
                <w:b/>
                <w:bCs/>
                <w:color w:val="2E7BC4"/>
                <w:sz w:val="36"/>
                <w:szCs w:val="36"/>
              </w:rPr>
              <w:t>250</w:t>
            </w:r>
          </w:p>
          <w:p w:rsidR="00C72E85" w:rsidRDefault="00B63CA0">
            <w:pPr>
              <w:jc w:val="center"/>
            </w:pPr>
            <w:r>
              <w:rPr>
                <w:color w:val="4A5568"/>
                <w:sz w:val="16"/>
                <w:szCs w:val="16"/>
              </w:rPr>
              <w:t>Total Orders</w:t>
            </w:r>
          </w:p>
        </w:tc>
        <w:tc>
          <w:tcPr>
            <w:tcW w:w="2340" w:type="dxa"/>
            <w:tcBorders>
              <w:top w:val="single" w:sz="1" w:space="0" w:color="DDDDDD"/>
              <w:left w:val="single" w:sz="1" w:space="0" w:color="DDDDDD"/>
              <w:bottom w:val="single" w:sz="1" w:space="0" w:color="DDDDDD"/>
              <w:right w:val="single" w:sz="1" w:space="0" w:color="DDDDDD"/>
            </w:tcBorders>
            <w:shd w:val="clear" w:color="auto" w:fill="E8F5EE"/>
            <w:tcMar>
              <w:top w:w="160" w:type="dxa"/>
              <w:left w:w="180" w:type="dxa"/>
              <w:bottom w:w="160" w:type="dxa"/>
              <w:right w:w="180" w:type="dxa"/>
            </w:tcMar>
          </w:tcPr>
          <w:p w:rsidR="00C72E85" w:rsidRDefault="00B63CA0">
            <w:pPr>
              <w:spacing w:after="40"/>
              <w:jc w:val="center"/>
            </w:pPr>
            <w:r>
              <w:rPr>
                <w:b/>
                <w:bCs/>
                <w:color w:val="1E7A4A"/>
                <w:sz w:val="36"/>
                <w:szCs w:val="36"/>
              </w:rPr>
              <w:t>$975</w:t>
            </w:r>
          </w:p>
          <w:p w:rsidR="00C72E85" w:rsidRDefault="00B63CA0">
            <w:pPr>
              <w:jc w:val="center"/>
            </w:pPr>
            <w:r>
              <w:rPr>
                <w:color w:val="4A5568"/>
                <w:sz w:val="16"/>
                <w:szCs w:val="16"/>
              </w:rPr>
              <w:t>Avg Order Value</w:t>
            </w:r>
          </w:p>
        </w:tc>
        <w:tc>
          <w:tcPr>
            <w:tcW w:w="2340" w:type="dxa"/>
            <w:tcBorders>
              <w:top w:val="single" w:sz="1" w:space="0" w:color="DDDDDD"/>
              <w:left w:val="single" w:sz="1" w:space="0" w:color="DDDDDD"/>
              <w:bottom w:val="single" w:sz="1" w:space="0" w:color="DDDDDD"/>
              <w:right w:val="single" w:sz="1" w:space="0" w:color="DDDDDD"/>
            </w:tcBorders>
            <w:shd w:val="clear" w:color="auto" w:fill="FDECEA"/>
            <w:tcMar>
              <w:top w:w="160" w:type="dxa"/>
              <w:left w:w="180" w:type="dxa"/>
              <w:bottom w:w="160" w:type="dxa"/>
              <w:right w:w="180" w:type="dxa"/>
            </w:tcMar>
          </w:tcPr>
          <w:p w:rsidR="00C72E85" w:rsidRDefault="00B63CA0">
            <w:pPr>
              <w:spacing w:after="40"/>
              <w:jc w:val="center"/>
            </w:pPr>
            <w:r>
              <w:rPr>
                <w:b/>
                <w:bCs/>
                <w:color w:val="C0392B"/>
                <w:sz w:val="36"/>
                <w:szCs w:val="36"/>
              </w:rPr>
              <w:t>30.8%</w:t>
            </w:r>
          </w:p>
          <w:p w:rsidR="00C72E85" w:rsidRDefault="00B63CA0">
            <w:pPr>
              <w:jc w:val="center"/>
            </w:pPr>
            <w:r>
              <w:rPr>
                <w:color w:val="4A5568"/>
                <w:sz w:val="16"/>
                <w:szCs w:val="16"/>
              </w:rPr>
              <w:t>Cancellation Rate</w:t>
            </w:r>
          </w:p>
        </w:tc>
      </w:tr>
    </w:tbl>
    <w:p w:rsidR="00C72E85" w:rsidRDefault="00C72E85">
      <w:pPr>
        <w:spacing w:before="480"/>
      </w:pPr>
    </w:p>
    <w:p w:rsidR="00C72E85" w:rsidRDefault="00B63CA0">
      <w:pPr>
        <w:spacing w:after="80"/>
        <w:jc w:val="center"/>
      </w:pPr>
      <w:r>
        <w:rPr>
          <w:color w:val="4A5568"/>
        </w:rPr>
        <w:t>Prepared for: Senior Leadership &amp; Stakeholders</w:t>
      </w:r>
    </w:p>
    <w:p w:rsidR="00C72E85" w:rsidRDefault="00B63CA0">
      <w:pPr>
        <w:spacing w:after="80"/>
        <w:jc w:val="center"/>
      </w:pPr>
      <w:r>
        <w:rPr>
          <w:color w:val="4A5568"/>
        </w:rPr>
        <w:t>Reporting Period: February 2025 - April 2025</w:t>
      </w:r>
    </w:p>
    <w:p w:rsidR="00C72E85" w:rsidRDefault="00B63CA0">
      <w:pPr>
        <w:spacing w:after="80"/>
        <w:jc w:val="center"/>
      </w:pPr>
      <w:r>
        <w:rPr>
          <w:color w:val="4A5568"/>
        </w:rPr>
        <w:t>Data Source: Amazon Sales Dataset 2025</w:t>
      </w:r>
    </w:p>
    <w:p w:rsidR="00C72E85" w:rsidRDefault="00B63CA0">
      <w:pPr>
        <w:spacing w:before="80"/>
        <w:jc w:val="center"/>
      </w:pPr>
      <w:r>
        <w:rPr>
          <w:i/>
          <w:iCs/>
          <w:color w:val="888888"/>
          <w:sz w:val="18"/>
          <w:szCs w:val="18"/>
        </w:rPr>
        <w:t>Prepared by:</w:t>
      </w:r>
      <w:r w:rsidR="00657CD1">
        <w:rPr>
          <w:i/>
          <w:iCs/>
          <w:color w:val="888888"/>
          <w:sz w:val="18"/>
          <w:szCs w:val="18"/>
        </w:rPr>
        <w:t xml:space="preserve"> Varun </w:t>
      </w:r>
      <w:proofErr w:type="gramStart"/>
      <w:r w:rsidR="00657CD1">
        <w:rPr>
          <w:i/>
          <w:iCs/>
          <w:color w:val="888888"/>
          <w:sz w:val="18"/>
          <w:szCs w:val="18"/>
        </w:rPr>
        <w:t>Dhusia</w:t>
      </w:r>
      <w:r>
        <w:rPr>
          <w:i/>
          <w:iCs/>
          <w:color w:val="888888"/>
          <w:sz w:val="18"/>
          <w:szCs w:val="18"/>
        </w:rPr>
        <w:t xml:space="preserve">  |</w:t>
      </w:r>
      <w:proofErr w:type="gramEnd"/>
      <w:r>
        <w:rPr>
          <w:i/>
          <w:iCs/>
          <w:color w:val="888888"/>
          <w:sz w:val="18"/>
          <w:szCs w:val="18"/>
        </w:rPr>
        <w:t xml:space="preserve">  Date: February 2026</w:t>
      </w:r>
    </w:p>
    <w:p w:rsidR="00C72E85" w:rsidRDefault="00B63CA0">
      <w:r>
        <w:br w:type="page"/>
      </w:r>
    </w:p>
    <w:p w:rsidR="00C72E85" w:rsidRDefault="00C72E85">
      <w:pPr>
        <w:sectPr w:rsidR="00C72E85">
          <w:pgSz w:w="12240" w:h="15840"/>
          <w:pgMar w:top="0" w:right="0" w:bottom="0" w:left="0" w:header="708" w:footer="708" w:gutter="0"/>
          <w:cols w:space="720"/>
          <w:docGrid w:linePitch="360"/>
        </w:sectPr>
      </w:pPr>
    </w:p>
    <w:p w:rsidR="00C72E85" w:rsidRDefault="00B63CA0">
      <w:pPr>
        <w:pStyle w:val="Heading1"/>
        <w:pBdr>
          <w:bottom w:val="single" w:sz="4" w:space="6" w:color="2E7BC4"/>
        </w:pBdr>
      </w:pPr>
      <w:r>
        <w:lastRenderedPageBreak/>
        <w:t>1. Executive Summary</w:t>
      </w:r>
    </w:p>
    <w:p w:rsidR="00C72E85" w:rsidRDefault="00B63CA0">
      <w:pPr>
        <w:spacing w:before="80" w:after="80"/>
      </w:pPr>
      <w:r>
        <w:rPr>
          <w:color w:val="4A5568"/>
        </w:rPr>
        <w:t>This report presents a comprehensive analysis of Amazon's sales performance for the period covering February to April 2025. Drawing from 250 transaction records across 10 U.S. cities, 5 product categories, and 5 payment methods, this document provides stak</w:t>
      </w:r>
      <w:r>
        <w:rPr>
          <w:color w:val="4A5568"/>
        </w:rPr>
        <w:t xml:space="preserve">eholders with actionable insights into revenue trends, customer </w:t>
      </w:r>
      <w:proofErr w:type="spellStart"/>
      <w:r>
        <w:rPr>
          <w:color w:val="4A5568"/>
        </w:rPr>
        <w:t>behaviour</w:t>
      </w:r>
      <w:proofErr w:type="spellEnd"/>
      <w:r>
        <w:rPr>
          <w:color w:val="4A5568"/>
        </w:rPr>
        <w:t>, geographic performance, and operational risk areas.</w:t>
      </w:r>
    </w:p>
    <w:p w:rsidR="00C72E85" w:rsidRDefault="00C72E85">
      <w:pPr>
        <w:spacing w:before="80"/>
      </w:pPr>
    </w:p>
    <w:p w:rsidR="00C72E85" w:rsidRDefault="00B63CA0">
      <w:pPr>
        <w:spacing w:before="80" w:after="80"/>
      </w:pPr>
      <w:r>
        <w:rPr>
          <w:color w:val="4A5568"/>
        </w:rPr>
        <w:t>The business generated a total revenue of $243,845 across 250 orders, with an average order value of $975.38. Electronics and Ho</w:t>
      </w:r>
      <w:r>
        <w:rPr>
          <w:color w:val="4A5568"/>
        </w:rPr>
        <w:t>me Appliances together account for 96% of all revenue, establishing them as the two critical pillars of Amazon's current product strategy. However, a cancellation rate of 30.8% represents a significant operational risk that demands immediate strategic atte</w:t>
      </w:r>
      <w:r>
        <w:rPr>
          <w:color w:val="4A5568"/>
        </w:rPr>
        <w:t>ntion.</w:t>
      </w:r>
    </w:p>
    <w:p w:rsidR="00C72E85" w:rsidRDefault="00C72E85">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72"/>
        <w:gridCol w:w="1872"/>
        <w:gridCol w:w="1872"/>
        <w:gridCol w:w="1872"/>
        <w:gridCol w:w="1872"/>
      </w:tblGrid>
      <w:tr w:rsidR="00C72E85">
        <w:tblPrEx>
          <w:tblCellMar>
            <w:top w:w="0" w:type="dxa"/>
            <w:bottom w:w="0" w:type="dxa"/>
          </w:tblCellMar>
        </w:tblPrEx>
        <w:tc>
          <w:tcPr>
            <w:tcW w:w="1872" w:type="dxa"/>
            <w:tcBorders>
              <w:top w:val="single" w:sz="1" w:space="0" w:color="DDDDDD"/>
              <w:left w:val="single" w:sz="1" w:space="0" w:color="DDDDDD"/>
              <w:bottom w:val="single" w:sz="1" w:space="0" w:color="DDDDDD"/>
              <w:right w:val="single" w:sz="1" w:space="0" w:color="DDDDDD"/>
            </w:tcBorders>
            <w:shd w:val="clear" w:color="auto" w:fill="D6E8F7"/>
            <w:tcMar>
              <w:top w:w="150" w:type="dxa"/>
              <w:left w:w="180" w:type="dxa"/>
              <w:bottom w:w="150" w:type="dxa"/>
              <w:right w:w="180" w:type="dxa"/>
            </w:tcMar>
            <w:vAlign w:val="center"/>
          </w:tcPr>
          <w:p w:rsidR="00C72E85" w:rsidRDefault="00B63CA0">
            <w:pPr>
              <w:spacing w:after="40"/>
              <w:jc w:val="center"/>
            </w:pPr>
            <w:r>
              <w:rPr>
                <w:b/>
                <w:bCs/>
                <w:color w:val="1A3C6E"/>
                <w:sz w:val="32"/>
                <w:szCs w:val="32"/>
              </w:rPr>
              <w:t>$243,845</w:t>
            </w:r>
          </w:p>
          <w:p w:rsidR="00C72E85" w:rsidRDefault="00B63CA0">
            <w:pPr>
              <w:spacing w:after="40"/>
              <w:jc w:val="center"/>
            </w:pPr>
            <w:r>
              <w:rPr>
                <w:b/>
                <w:bCs/>
                <w:color w:val="4A5568"/>
                <w:sz w:val="17"/>
                <w:szCs w:val="17"/>
              </w:rPr>
              <w:t>Total Revenue</w:t>
            </w:r>
          </w:p>
          <w:p w:rsidR="00C72E85" w:rsidRDefault="00B63CA0">
            <w:pPr>
              <w:jc w:val="center"/>
            </w:pPr>
            <w:r>
              <w:rPr>
                <w:color w:val="888888"/>
                <w:sz w:val="15"/>
                <w:szCs w:val="15"/>
              </w:rPr>
              <w:t>Feb – Apr 2025</w:t>
            </w:r>
          </w:p>
        </w:tc>
        <w:tc>
          <w:tcPr>
            <w:tcW w:w="1872" w:type="dxa"/>
            <w:tcBorders>
              <w:top w:val="single" w:sz="1" w:space="0" w:color="DDDDDD"/>
              <w:left w:val="single" w:sz="1" w:space="0" w:color="DDDDDD"/>
              <w:bottom w:val="single" w:sz="1" w:space="0" w:color="DDDDDD"/>
              <w:right w:val="single" w:sz="1" w:space="0" w:color="DDDDDD"/>
            </w:tcBorders>
            <w:shd w:val="clear" w:color="auto" w:fill="D6E8F7"/>
            <w:tcMar>
              <w:top w:w="150" w:type="dxa"/>
              <w:left w:w="180" w:type="dxa"/>
              <w:bottom w:w="150" w:type="dxa"/>
              <w:right w:w="180" w:type="dxa"/>
            </w:tcMar>
            <w:vAlign w:val="center"/>
          </w:tcPr>
          <w:p w:rsidR="00C72E85" w:rsidRDefault="00B63CA0">
            <w:pPr>
              <w:spacing w:after="40"/>
              <w:jc w:val="center"/>
            </w:pPr>
            <w:r>
              <w:rPr>
                <w:b/>
                <w:bCs/>
                <w:color w:val="1A3C6E"/>
                <w:sz w:val="32"/>
                <w:szCs w:val="32"/>
              </w:rPr>
              <w:t>250</w:t>
            </w:r>
          </w:p>
          <w:p w:rsidR="00C72E85" w:rsidRDefault="00B63CA0">
            <w:pPr>
              <w:spacing w:after="40"/>
              <w:jc w:val="center"/>
            </w:pPr>
            <w:r>
              <w:rPr>
                <w:b/>
                <w:bCs/>
                <w:color w:val="4A5568"/>
                <w:sz w:val="17"/>
                <w:szCs w:val="17"/>
              </w:rPr>
              <w:t>Total Orders</w:t>
            </w:r>
          </w:p>
          <w:p w:rsidR="00C72E85" w:rsidRDefault="00B63CA0">
            <w:pPr>
              <w:jc w:val="center"/>
            </w:pPr>
            <w:r>
              <w:rPr>
                <w:color w:val="888888"/>
                <w:sz w:val="15"/>
                <w:szCs w:val="15"/>
              </w:rPr>
              <w:t>Across 10 cities</w:t>
            </w:r>
          </w:p>
        </w:tc>
        <w:tc>
          <w:tcPr>
            <w:tcW w:w="1872" w:type="dxa"/>
            <w:tcBorders>
              <w:top w:val="single" w:sz="1" w:space="0" w:color="DDDDDD"/>
              <w:left w:val="single" w:sz="1" w:space="0" w:color="DDDDDD"/>
              <w:bottom w:val="single" w:sz="1" w:space="0" w:color="DDDDDD"/>
              <w:right w:val="single" w:sz="1" w:space="0" w:color="DDDDDD"/>
            </w:tcBorders>
            <w:shd w:val="clear" w:color="auto" w:fill="D6E8F7"/>
            <w:tcMar>
              <w:top w:w="150" w:type="dxa"/>
              <w:left w:w="180" w:type="dxa"/>
              <w:bottom w:w="150" w:type="dxa"/>
              <w:right w:w="180" w:type="dxa"/>
            </w:tcMar>
            <w:vAlign w:val="center"/>
          </w:tcPr>
          <w:p w:rsidR="00C72E85" w:rsidRDefault="00B63CA0">
            <w:pPr>
              <w:spacing w:after="40"/>
              <w:jc w:val="center"/>
            </w:pPr>
            <w:r>
              <w:rPr>
                <w:b/>
                <w:bCs/>
                <w:color w:val="1A3C6E"/>
                <w:sz w:val="32"/>
                <w:szCs w:val="32"/>
              </w:rPr>
              <w:t>$975.38</w:t>
            </w:r>
          </w:p>
          <w:p w:rsidR="00C72E85" w:rsidRDefault="00B63CA0">
            <w:pPr>
              <w:spacing w:after="40"/>
              <w:jc w:val="center"/>
            </w:pPr>
            <w:r>
              <w:rPr>
                <w:b/>
                <w:bCs/>
                <w:color w:val="4A5568"/>
                <w:sz w:val="17"/>
                <w:szCs w:val="17"/>
              </w:rPr>
              <w:t>Avg Order Value</w:t>
            </w:r>
          </w:p>
          <w:p w:rsidR="00C72E85" w:rsidRDefault="00B63CA0">
            <w:pPr>
              <w:jc w:val="center"/>
            </w:pPr>
            <w:r>
              <w:rPr>
                <w:color w:val="888888"/>
                <w:sz w:val="15"/>
                <w:szCs w:val="15"/>
              </w:rPr>
              <w:t>Per transaction</w:t>
            </w:r>
          </w:p>
        </w:tc>
        <w:tc>
          <w:tcPr>
            <w:tcW w:w="1872" w:type="dxa"/>
            <w:tcBorders>
              <w:top w:val="single" w:sz="1" w:space="0" w:color="DDDDDD"/>
              <w:left w:val="single" w:sz="1" w:space="0" w:color="DDDDDD"/>
              <w:bottom w:val="single" w:sz="1" w:space="0" w:color="DDDDDD"/>
              <w:right w:val="single" w:sz="1" w:space="0" w:color="DDDDDD"/>
            </w:tcBorders>
            <w:shd w:val="clear" w:color="auto" w:fill="D6E8F7"/>
            <w:tcMar>
              <w:top w:w="150" w:type="dxa"/>
              <w:left w:w="180" w:type="dxa"/>
              <w:bottom w:w="150" w:type="dxa"/>
              <w:right w:w="180" w:type="dxa"/>
            </w:tcMar>
            <w:vAlign w:val="center"/>
          </w:tcPr>
          <w:p w:rsidR="00C72E85" w:rsidRDefault="00B63CA0">
            <w:pPr>
              <w:spacing w:after="40"/>
              <w:jc w:val="center"/>
            </w:pPr>
            <w:r>
              <w:rPr>
                <w:b/>
                <w:bCs/>
                <w:color w:val="1A3C6E"/>
                <w:sz w:val="32"/>
                <w:szCs w:val="32"/>
              </w:rPr>
              <w:t>35.2%</w:t>
            </w:r>
          </w:p>
          <w:p w:rsidR="00C72E85" w:rsidRDefault="00B63CA0">
            <w:pPr>
              <w:spacing w:after="40"/>
              <w:jc w:val="center"/>
            </w:pPr>
            <w:r>
              <w:rPr>
                <w:b/>
                <w:bCs/>
                <w:color w:val="4A5568"/>
                <w:sz w:val="17"/>
                <w:szCs w:val="17"/>
              </w:rPr>
              <w:t>Completion Rate</w:t>
            </w:r>
          </w:p>
          <w:p w:rsidR="00C72E85" w:rsidRDefault="00B63CA0">
            <w:pPr>
              <w:jc w:val="center"/>
            </w:pPr>
            <w:r>
              <w:rPr>
                <w:color w:val="888888"/>
                <w:sz w:val="15"/>
                <w:szCs w:val="15"/>
              </w:rPr>
              <w:t>88 completed</w:t>
            </w:r>
          </w:p>
        </w:tc>
        <w:tc>
          <w:tcPr>
            <w:tcW w:w="1872" w:type="dxa"/>
            <w:tcBorders>
              <w:top w:val="single" w:sz="1" w:space="0" w:color="DDDDDD"/>
              <w:left w:val="single" w:sz="1" w:space="0" w:color="DDDDDD"/>
              <w:bottom w:val="single" w:sz="1" w:space="0" w:color="DDDDDD"/>
              <w:right w:val="single" w:sz="1" w:space="0" w:color="DDDDDD"/>
            </w:tcBorders>
            <w:shd w:val="clear" w:color="auto" w:fill="D6E8F7"/>
            <w:tcMar>
              <w:top w:w="150" w:type="dxa"/>
              <w:left w:w="180" w:type="dxa"/>
              <w:bottom w:w="150" w:type="dxa"/>
              <w:right w:w="180" w:type="dxa"/>
            </w:tcMar>
            <w:vAlign w:val="center"/>
          </w:tcPr>
          <w:p w:rsidR="00C72E85" w:rsidRDefault="00B63CA0">
            <w:pPr>
              <w:spacing w:after="40"/>
              <w:jc w:val="center"/>
            </w:pPr>
            <w:r>
              <w:rPr>
                <w:b/>
                <w:bCs/>
                <w:color w:val="1A3C6E"/>
                <w:sz w:val="32"/>
                <w:szCs w:val="32"/>
              </w:rPr>
              <w:t>30.8%</w:t>
            </w:r>
          </w:p>
          <w:p w:rsidR="00C72E85" w:rsidRDefault="00B63CA0">
            <w:pPr>
              <w:spacing w:after="40"/>
              <w:jc w:val="center"/>
            </w:pPr>
            <w:r>
              <w:rPr>
                <w:b/>
                <w:bCs/>
                <w:color w:val="4A5568"/>
                <w:sz w:val="17"/>
                <w:szCs w:val="17"/>
              </w:rPr>
              <w:t>Cancellation Rate</w:t>
            </w:r>
          </w:p>
          <w:p w:rsidR="00C72E85" w:rsidRDefault="00B63CA0">
            <w:pPr>
              <w:jc w:val="center"/>
            </w:pPr>
            <w:r>
              <w:rPr>
                <w:color w:val="888888"/>
                <w:sz w:val="15"/>
                <w:szCs w:val="15"/>
              </w:rPr>
              <w:t>Critical risk</w:t>
            </w:r>
          </w:p>
        </w:tc>
      </w:tr>
    </w:tbl>
    <w:p w:rsidR="00C72E85" w:rsidRDefault="00C72E85">
      <w:pPr>
        <w:spacing w:before="200"/>
      </w:pPr>
    </w:p>
    <w:p w:rsidR="00C72E85" w:rsidRDefault="00C72E85">
      <w:pPr>
        <w:pBdr>
          <w:bottom w:val="single" w:sz="2" w:space="1" w:color="E8ECF0"/>
        </w:pBdr>
        <w:spacing w:before="160" w:after="160"/>
      </w:pPr>
    </w:p>
    <w:p w:rsidR="00C72E85" w:rsidRDefault="00B63CA0">
      <w:pPr>
        <w:pStyle w:val="Heading1"/>
        <w:pBdr>
          <w:bottom w:val="single" w:sz="4" w:space="6" w:color="2E7BC4"/>
        </w:pBdr>
      </w:pPr>
      <w:r>
        <w:t>2. Sales Performance by Category</w:t>
      </w:r>
    </w:p>
    <w:p w:rsidR="00C72E85" w:rsidRDefault="00B63CA0">
      <w:pPr>
        <w:spacing w:before="80" w:after="80"/>
      </w:pPr>
      <w:r>
        <w:rPr>
          <w:color w:val="4A5568"/>
        </w:rPr>
        <w:t>Product category analysis reveals a highly concentrated revenue model. Electronics dominates at 53.</w:t>
      </w:r>
      <w:r>
        <w:rPr>
          <w:color w:val="4A5568"/>
        </w:rPr>
        <w:t>1</w:t>
      </w:r>
      <w:r>
        <w:rPr>
          <w:color w:val="4A5568"/>
        </w:rPr>
        <w:t>% of total revenue, followed closely by Home Appliances at 43.0</w:t>
      </w:r>
      <w:r>
        <w:rPr>
          <w:color w:val="4A5568"/>
        </w:rPr>
        <w:t>%. The remaining three categories — Footwear, Clothing, and Books — contribute a combined 3.6</w:t>
      </w:r>
      <w:r>
        <w:rPr>
          <w:color w:val="4A5568"/>
        </w:rPr>
        <w:t>%, indicating significant room for diversification.</w:t>
      </w:r>
    </w:p>
    <w:p w:rsidR="00C72E85" w:rsidRDefault="00657CD1" w:rsidP="00657CD1">
      <w:pPr>
        <w:spacing w:before="80"/>
        <w:jc w:val="center"/>
      </w:pPr>
      <w:r>
        <w:rPr>
          <w:noProof/>
        </w:rPr>
        <w:drawing>
          <wp:inline distT="0" distB="0" distL="0" distR="0">
            <wp:extent cx="5368925" cy="2933700"/>
            <wp:effectExtent l="0" t="0" r="3175"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g1.png"/>
                    <pic:cNvPicPr/>
                  </pic:nvPicPr>
                  <pic:blipFill>
                    <a:blip r:embed="rId7">
                      <a:extLst>
                        <a:ext uri="{28A0092B-C50C-407E-A947-70E740481C1C}">
                          <a14:useLocalDpi xmlns:a14="http://schemas.microsoft.com/office/drawing/2010/main" val="0"/>
                        </a:ext>
                      </a:extLst>
                    </a:blip>
                    <a:stretch>
                      <a:fillRect/>
                    </a:stretch>
                  </pic:blipFill>
                  <pic:spPr>
                    <a:xfrm>
                      <a:off x="0" y="0"/>
                      <a:ext cx="5369694" cy="2934120"/>
                    </a:xfrm>
                    <a:prstGeom prst="rect">
                      <a:avLst/>
                    </a:prstGeom>
                  </pic:spPr>
                </pic:pic>
              </a:graphicData>
            </a:graphic>
          </wp:inline>
        </w:drawing>
      </w:r>
    </w:p>
    <w:p w:rsidR="00C72E85" w:rsidRDefault="00C72E85">
      <w:pPr>
        <w:spacing w:before="120" w:after="60"/>
        <w:jc w:val="center"/>
      </w:pPr>
    </w:p>
    <w:p w:rsidR="00C72E85" w:rsidRDefault="00B63CA0">
      <w:pPr>
        <w:spacing w:after="160"/>
        <w:jc w:val="center"/>
      </w:pPr>
      <w:r>
        <w:rPr>
          <w:i/>
          <w:iCs/>
          <w:color w:val="888888"/>
          <w:sz w:val="16"/>
          <w:szCs w:val="16"/>
        </w:rPr>
        <w:t>Figure 1: Revenue Distribution by Product Category</w:t>
      </w:r>
    </w:p>
    <w:p w:rsidR="00C72E85" w:rsidRDefault="00B63CA0">
      <w:pPr>
        <w:pStyle w:val="Heading2"/>
      </w:pPr>
      <w:r>
        <w:t>Category Revenue Breakdown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600"/>
        <w:gridCol w:w="1500"/>
        <w:gridCol w:w="1800"/>
        <w:gridCol w:w="2260"/>
      </w:tblGrid>
      <w:tr w:rsidR="00C72E85">
        <w:tblPrEx>
          <w:tblCellMar>
            <w:top w:w="0" w:type="dxa"/>
            <w:bottom w:w="0" w:type="dxa"/>
          </w:tblCellMar>
        </w:tblPrEx>
        <w:trPr>
          <w:tblHeader/>
        </w:trPr>
        <w:tc>
          <w:tcPr>
            <w:tcW w:w="2200" w:type="dxa"/>
            <w:tcBorders>
              <w:top w:val="single" w:sz="1" w:space="0" w:color="DDDDDD"/>
              <w:left w:val="single" w:sz="1" w:space="0" w:color="DDDDDD"/>
              <w:bottom w:val="single" w:sz="1" w:space="0" w:color="DDDDDD"/>
              <w:right w:val="single" w:sz="1" w:space="0" w:color="DDDDDD"/>
            </w:tcBorders>
            <w:shd w:val="clear" w:color="auto" w:fill="1A3C6E"/>
            <w:tcMar>
              <w:top w:w="100" w:type="dxa"/>
              <w:left w:w="150" w:type="dxa"/>
              <w:bottom w:w="100" w:type="dxa"/>
              <w:right w:w="150" w:type="dxa"/>
            </w:tcMar>
          </w:tcPr>
          <w:p w:rsidR="00C72E85" w:rsidRDefault="00B63CA0">
            <w:pPr>
              <w:jc w:val="center"/>
            </w:pPr>
            <w:r>
              <w:rPr>
                <w:b/>
                <w:bCs/>
                <w:color w:val="FFFFFF"/>
                <w:sz w:val="18"/>
                <w:szCs w:val="18"/>
              </w:rPr>
              <w:lastRenderedPageBreak/>
              <w:t>Category</w:t>
            </w:r>
          </w:p>
        </w:tc>
        <w:tc>
          <w:tcPr>
            <w:tcW w:w="1600" w:type="dxa"/>
            <w:tcBorders>
              <w:top w:val="single" w:sz="1" w:space="0" w:color="DDDDDD"/>
              <w:left w:val="single" w:sz="1" w:space="0" w:color="DDDDDD"/>
              <w:bottom w:val="single" w:sz="1" w:space="0" w:color="DDDDDD"/>
              <w:right w:val="single" w:sz="1" w:space="0" w:color="DDDDDD"/>
            </w:tcBorders>
            <w:shd w:val="clear" w:color="auto" w:fill="1A3C6E"/>
            <w:tcMar>
              <w:top w:w="100" w:type="dxa"/>
              <w:left w:w="150" w:type="dxa"/>
              <w:bottom w:w="100" w:type="dxa"/>
              <w:right w:w="150" w:type="dxa"/>
            </w:tcMar>
          </w:tcPr>
          <w:p w:rsidR="00C72E85" w:rsidRDefault="00B63CA0">
            <w:pPr>
              <w:jc w:val="center"/>
            </w:pPr>
            <w:r>
              <w:rPr>
                <w:b/>
                <w:bCs/>
                <w:color w:val="FFFFFF"/>
                <w:sz w:val="18"/>
                <w:szCs w:val="18"/>
              </w:rPr>
              <w:t>Total Sales</w:t>
            </w:r>
          </w:p>
        </w:tc>
        <w:tc>
          <w:tcPr>
            <w:tcW w:w="1500" w:type="dxa"/>
            <w:tcBorders>
              <w:top w:val="single" w:sz="1" w:space="0" w:color="DDDDDD"/>
              <w:left w:val="single" w:sz="1" w:space="0" w:color="DDDDDD"/>
              <w:bottom w:val="single" w:sz="1" w:space="0" w:color="DDDDDD"/>
              <w:right w:val="single" w:sz="1" w:space="0" w:color="DDDDDD"/>
            </w:tcBorders>
            <w:shd w:val="clear" w:color="auto" w:fill="1A3C6E"/>
            <w:tcMar>
              <w:top w:w="100" w:type="dxa"/>
              <w:left w:w="150" w:type="dxa"/>
              <w:bottom w:w="100" w:type="dxa"/>
              <w:right w:w="150" w:type="dxa"/>
            </w:tcMar>
          </w:tcPr>
          <w:p w:rsidR="00C72E85" w:rsidRDefault="00B63CA0">
            <w:pPr>
              <w:jc w:val="center"/>
            </w:pPr>
            <w:r>
              <w:rPr>
                <w:b/>
                <w:bCs/>
                <w:color w:val="FFFFFF"/>
                <w:sz w:val="18"/>
                <w:szCs w:val="18"/>
              </w:rPr>
              <w:t>Revenue Share</w:t>
            </w:r>
          </w:p>
        </w:tc>
        <w:tc>
          <w:tcPr>
            <w:tcW w:w="1800" w:type="dxa"/>
            <w:tcBorders>
              <w:top w:val="single" w:sz="1" w:space="0" w:color="DDDDDD"/>
              <w:left w:val="single" w:sz="1" w:space="0" w:color="DDDDDD"/>
              <w:bottom w:val="single" w:sz="1" w:space="0" w:color="DDDDDD"/>
              <w:right w:val="single" w:sz="1" w:space="0" w:color="DDDDDD"/>
            </w:tcBorders>
            <w:shd w:val="clear" w:color="auto" w:fill="1A3C6E"/>
            <w:tcMar>
              <w:top w:w="100" w:type="dxa"/>
              <w:left w:w="150" w:type="dxa"/>
              <w:bottom w:w="100" w:type="dxa"/>
              <w:right w:w="150" w:type="dxa"/>
            </w:tcMar>
          </w:tcPr>
          <w:p w:rsidR="00C72E85" w:rsidRDefault="00B63CA0">
            <w:pPr>
              <w:jc w:val="center"/>
            </w:pPr>
            <w:r>
              <w:rPr>
                <w:b/>
                <w:bCs/>
                <w:color w:val="FFFFFF"/>
                <w:sz w:val="18"/>
                <w:szCs w:val="18"/>
              </w:rPr>
              <w:t>Avg Order Value</w:t>
            </w:r>
          </w:p>
        </w:tc>
        <w:tc>
          <w:tcPr>
            <w:tcW w:w="2260" w:type="dxa"/>
            <w:tcBorders>
              <w:top w:val="single" w:sz="1" w:space="0" w:color="DDDDDD"/>
              <w:left w:val="single" w:sz="1" w:space="0" w:color="DDDDDD"/>
              <w:bottom w:val="single" w:sz="1" w:space="0" w:color="DDDDDD"/>
              <w:right w:val="single" w:sz="1" w:space="0" w:color="DDDDDD"/>
            </w:tcBorders>
            <w:shd w:val="clear" w:color="auto" w:fill="1A3C6E"/>
            <w:tcMar>
              <w:top w:w="100" w:type="dxa"/>
              <w:left w:w="150" w:type="dxa"/>
              <w:bottom w:w="100" w:type="dxa"/>
              <w:right w:w="150" w:type="dxa"/>
            </w:tcMar>
          </w:tcPr>
          <w:p w:rsidR="00C72E85" w:rsidRDefault="00B63CA0">
            <w:pPr>
              <w:jc w:val="center"/>
            </w:pPr>
            <w:r>
              <w:rPr>
                <w:b/>
                <w:bCs/>
                <w:color w:val="FFFFFF"/>
                <w:sz w:val="18"/>
                <w:szCs w:val="18"/>
              </w:rPr>
              <w:t>Strategic Priority</w:t>
            </w:r>
          </w:p>
        </w:tc>
      </w:tr>
      <w:tr w:rsidR="00C72E85">
        <w:tblPrEx>
          <w:tblCellMar>
            <w:top w:w="0" w:type="dxa"/>
            <w:bottom w:w="0" w:type="dxa"/>
          </w:tblCellMar>
        </w:tblPrEx>
        <w:tc>
          <w:tcPr>
            <w:tcW w:w="22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50" w:type="dxa"/>
              <w:bottom w:w="80" w:type="dxa"/>
              <w:right w:w="150" w:type="dxa"/>
            </w:tcMar>
          </w:tcPr>
          <w:p w:rsidR="00C72E85" w:rsidRDefault="00B63CA0">
            <w:r>
              <w:rPr>
                <w:color w:val="4A5568"/>
                <w:sz w:val="18"/>
                <w:szCs w:val="18"/>
              </w:rPr>
              <w:t>Electronics</w:t>
            </w:r>
          </w:p>
        </w:tc>
        <w:tc>
          <w:tcPr>
            <w:tcW w:w="16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50" w:type="dxa"/>
              <w:bottom w:w="80" w:type="dxa"/>
              <w:right w:w="150" w:type="dxa"/>
            </w:tcMar>
          </w:tcPr>
          <w:p w:rsidR="00C72E85" w:rsidRDefault="00B63CA0">
            <w:pPr>
              <w:jc w:val="center"/>
            </w:pPr>
            <w:r>
              <w:rPr>
                <w:color w:val="4A5568"/>
                <w:sz w:val="18"/>
                <w:szCs w:val="18"/>
              </w:rPr>
              <w:t>$129,950</w:t>
            </w:r>
          </w:p>
        </w:tc>
        <w:tc>
          <w:tcPr>
            <w:tcW w:w="15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50" w:type="dxa"/>
              <w:bottom w:w="80" w:type="dxa"/>
              <w:right w:w="150" w:type="dxa"/>
            </w:tcMar>
          </w:tcPr>
          <w:p w:rsidR="00C72E85" w:rsidRDefault="00B63CA0">
            <w:pPr>
              <w:jc w:val="center"/>
            </w:pPr>
            <w:r>
              <w:rPr>
                <w:color w:val="4A5568"/>
                <w:sz w:val="18"/>
                <w:szCs w:val="18"/>
              </w:rPr>
              <w:t>53.1%</w:t>
            </w:r>
          </w:p>
        </w:tc>
        <w:tc>
          <w:tcPr>
            <w:tcW w:w="18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50" w:type="dxa"/>
              <w:bottom w:w="80" w:type="dxa"/>
              <w:right w:w="150" w:type="dxa"/>
            </w:tcMar>
          </w:tcPr>
          <w:p w:rsidR="00C72E85" w:rsidRDefault="00B63CA0">
            <w:pPr>
              <w:jc w:val="center"/>
            </w:pPr>
            <w:r>
              <w:rPr>
                <w:color w:val="4A5568"/>
                <w:sz w:val="18"/>
                <w:szCs w:val="18"/>
              </w:rPr>
              <w:t>$1,101</w:t>
            </w:r>
          </w:p>
        </w:tc>
        <w:tc>
          <w:tcPr>
            <w:tcW w:w="22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50" w:type="dxa"/>
              <w:bottom w:w="80" w:type="dxa"/>
              <w:right w:w="150" w:type="dxa"/>
            </w:tcMar>
          </w:tcPr>
          <w:p w:rsidR="00C72E85" w:rsidRDefault="00B63CA0">
            <w:pPr>
              <w:jc w:val="center"/>
            </w:pPr>
            <w:r>
              <w:rPr>
                <w:color w:val="4A5568"/>
                <w:sz w:val="18"/>
                <w:szCs w:val="18"/>
              </w:rPr>
              <w:t>Core</w:t>
            </w:r>
          </w:p>
        </w:tc>
      </w:tr>
      <w:tr w:rsidR="00C72E85">
        <w:tblPrEx>
          <w:tblCellMar>
            <w:top w:w="0" w:type="dxa"/>
            <w:bottom w:w="0" w:type="dxa"/>
          </w:tblCellMar>
        </w:tblPrEx>
        <w:tc>
          <w:tcPr>
            <w:tcW w:w="2200" w:type="dxa"/>
            <w:tcBorders>
              <w:top w:val="single" w:sz="1" w:space="0" w:color="DDDDDD"/>
              <w:left w:val="single" w:sz="1" w:space="0" w:color="DDDDDD"/>
              <w:bottom w:val="single" w:sz="1" w:space="0" w:color="DDDDDD"/>
              <w:right w:val="single" w:sz="1" w:space="0" w:color="DDDDDD"/>
            </w:tcBorders>
            <w:shd w:val="clear" w:color="auto" w:fill="F5F7FA"/>
            <w:tcMar>
              <w:top w:w="80" w:type="dxa"/>
              <w:left w:w="150" w:type="dxa"/>
              <w:bottom w:w="80" w:type="dxa"/>
              <w:right w:w="150" w:type="dxa"/>
            </w:tcMar>
          </w:tcPr>
          <w:p w:rsidR="00C72E85" w:rsidRDefault="00B63CA0">
            <w:r>
              <w:rPr>
                <w:color w:val="4A5568"/>
                <w:sz w:val="18"/>
                <w:szCs w:val="18"/>
              </w:rPr>
              <w:t>Home Appliances</w:t>
            </w:r>
          </w:p>
        </w:tc>
        <w:tc>
          <w:tcPr>
            <w:tcW w:w="1600" w:type="dxa"/>
            <w:tcBorders>
              <w:top w:val="single" w:sz="1" w:space="0" w:color="DDDDDD"/>
              <w:left w:val="single" w:sz="1" w:space="0" w:color="DDDDDD"/>
              <w:bottom w:val="single" w:sz="1" w:space="0" w:color="DDDDDD"/>
              <w:right w:val="single" w:sz="1" w:space="0" w:color="DDDDDD"/>
            </w:tcBorders>
            <w:shd w:val="clear" w:color="auto" w:fill="F5F7FA"/>
            <w:tcMar>
              <w:top w:w="80" w:type="dxa"/>
              <w:left w:w="150" w:type="dxa"/>
              <w:bottom w:w="80" w:type="dxa"/>
              <w:right w:w="150" w:type="dxa"/>
            </w:tcMar>
          </w:tcPr>
          <w:p w:rsidR="00C72E85" w:rsidRDefault="00B63CA0">
            <w:pPr>
              <w:jc w:val="center"/>
            </w:pPr>
            <w:r>
              <w:rPr>
                <w:color w:val="4A5568"/>
                <w:sz w:val="18"/>
                <w:szCs w:val="18"/>
              </w:rPr>
              <w:t>$105,000</w:t>
            </w:r>
          </w:p>
        </w:tc>
        <w:tc>
          <w:tcPr>
            <w:tcW w:w="1500" w:type="dxa"/>
            <w:tcBorders>
              <w:top w:val="single" w:sz="1" w:space="0" w:color="DDDDDD"/>
              <w:left w:val="single" w:sz="1" w:space="0" w:color="DDDDDD"/>
              <w:bottom w:val="single" w:sz="1" w:space="0" w:color="DDDDDD"/>
              <w:right w:val="single" w:sz="1" w:space="0" w:color="DDDDDD"/>
            </w:tcBorders>
            <w:shd w:val="clear" w:color="auto" w:fill="F5F7FA"/>
            <w:tcMar>
              <w:top w:w="80" w:type="dxa"/>
              <w:left w:w="150" w:type="dxa"/>
              <w:bottom w:w="80" w:type="dxa"/>
              <w:right w:w="150" w:type="dxa"/>
            </w:tcMar>
          </w:tcPr>
          <w:p w:rsidR="00C72E85" w:rsidRDefault="00B63CA0">
            <w:pPr>
              <w:jc w:val="center"/>
            </w:pPr>
            <w:r>
              <w:rPr>
                <w:color w:val="4A5568"/>
                <w:sz w:val="18"/>
                <w:szCs w:val="18"/>
              </w:rPr>
              <w:t>43.0%</w:t>
            </w:r>
          </w:p>
        </w:tc>
        <w:tc>
          <w:tcPr>
            <w:tcW w:w="1800" w:type="dxa"/>
            <w:tcBorders>
              <w:top w:val="single" w:sz="1" w:space="0" w:color="DDDDDD"/>
              <w:left w:val="single" w:sz="1" w:space="0" w:color="DDDDDD"/>
              <w:bottom w:val="single" w:sz="1" w:space="0" w:color="DDDDDD"/>
              <w:right w:val="single" w:sz="1" w:space="0" w:color="DDDDDD"/>
            </w:tcBorders>
            <w:shd w:val="clear" w:color="auto" w:fill="F5F7FA"/>
            <w:tcMar>
              <w:top w:w="80" w:type="dxa"/>
              <w:left w:w="150" w:type="dxa"/>
              <w:bottom w:w="80" w:type="dxa"/>
              <w:right w:w="150" w:type="dxa"/>
            </w:tcMar>
          </w:tcPr>
          <w:p w:rsidR="00C72E85" w:rsidRDefault="00B63CA0">
            <w:pPr>
              <w:jc w:val="center"/>
            </w:pPr>
            <w:r>
              <w:rPr>
                <w:color w:val="4A5568"/>
                <w:sz w:val="18"/>
                <w:szCs w:val="18"/>
              </w:rPr>
              <w:t>$2,625</w:t>
            </w:r>
          </w:p>
        </w:tc>
        <w:tc>
          <w:tcPr>
            <w:tcW w:w="2260" w:type="dxa"/>
            <w:tcBorders>
              <w:top w:val="single" w:sz="1" w:space="0" w:color="DDDDDD"/>
              <w:left w:val="single" w:sz="1" w:space="0" w:color="DDDDDD"/>
              <w:bottom w:val="single" w:sz="1" w:space="0" w:color="DDDDDD"/>
              <w:right w:val="single" w:sz="1" w:space="0" w:color="DDDDDD"/>
            </w:tcBorders>
            <w:shd w:val="clear" w:color="auto" w:fill="F5F7FA"/>
            <w:tcMar>
              <w:top w:w="80" w:type="dxa"/>
              <w:left w:w="150" w:type="dxa"/>
              <w:bottom w:w="80" w:type="dxa"/>
              <w:right w:w="150" w:type="dxa"/>
            </w:tcMar>
          </w:tcPr>
          <w:p w:rsidR="00C72E85" w:rsidRDefault="00B63CA0">
            <w:pPr>
              <w:jc w:val="center"/>
            </w:pPr>
            <w:r>
              <w:rPr>
                <w:color w:val="4A5568"/>
                <w:sz w:val="18"/>
                <w:szCs w:val="18"/>
              </w:rPr>
              <w:t>Core</w:t>
            </w:r>
          </w:p>
        </w:tc>
      </w:tr>
      <w:tr w:rsidR="00C72E85">
        <w:tblPrEx>
          <w:tblCellMar>
            <w:top w:w="0" w:type="dxa"/>
            <w:bottom w:w="0" w:type="dxa"/>
          </w:tblCellMar>
        </w:tblPrEx>
        <w:tc>
          <w:tcPr>
            <w:tcW w:w="22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50" w:type="dxa"/>
              <w:bottom w:w="80" w:type="dxa"/>
              <w:right w:w="150" w:type="dxa"/>
            </w:tcMar>
          </w:tcPr>
          <w:p w:rsidR="00C72E85" w:rsidRDefault="00B63CA0">
            <w:r>
              <w:rPr>
                <w:color w:val="4A5568"/>
                <w:sz w:val="18"/>
                <w:szCs w:val="18"/>
              </w:rPr>
              <w:t>Footwear</w:t>
            </w:r>
          </w:p>
        </w:tc>
        <w:tc>
          <w:tcPr>
            <w:tcW w:w="16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50" w:type="dxa"/>
              <w:bottom w:w="80" w:type="dxa"/>
              <w:right w:w="150" w:type="dxa"/>
            </w:tcMar>
          </w:tcPr>
          <w:p w:rsidR="00C72E85" w:rsidRDefault="00B63CA0">
            <w:pPr>
              <w:jc w:val="center"/>
            </w:pPr>
            <w:r>
              <w:rPr>
                <w:color w:val="4A5568"/>
                <w:sz w:val="18"/>
                <w:szCs w:val="18"/>
              </w:rPr>
              <w:t>$4,320</w:t>
            </w:r>
          </w:p>
        </w:tc>
        <w:tc>
          <w:tcPr>
            <w:tcW w:w="15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50" w:type="dxa"/>
              <w:bottom w:w="80" w:type="dxa"/>
              <w:right w:w="150" w:type="dxa"/>
            </w:tcMar>
          </w:tcPr>
          <w:p w:rsidR="00C72E85" w:rsidRDefault="00B63CA0">
            <w:pPr>
              <w:jc w:val="center"/>
            </w:pPr>
            <w:r>
              <w:rPr>
                <w:color w:val="4A5568"/>
                <w:sz w:val="18"/>
                <w:szCs w:val="18"/>
              </w:rPr>
              <w:t>1.8%</w:t>
            </w:r>
          </w:p>
        </w:tc>
        <w:tc>
          <w:tcPr>
            <w:tcW w:w="18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50" w:type="dxa"/>
              <w:bottom w:w="80" w:type="dxa"/>
              <w:right w:w="150" w:type="dxa"/>
            </w:tcMar>
          </w:tcPr>
          <w:p w:rsidR="00C72E85" w:rsidRDefault="00B63CA0">
            <w:pPr>
              <w:jc w:val="center"/>
            </w:pPr>
            <w:r>
              <w:rPr>
                <w:color w:val="4A5568"/>
                <w:sz w:val="18"/>
                <w:szCs w:val="18"/>
              </w:rPr>
              <w:t>$160</w:t>
            </w:r>
          </w:p>
        </w:tc>
        <w:tc>
          <w:tcPr>
            <w:tcW w:w="22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50" w:type="dxa"/>
              <w:bottom w:w="80" w:type="dxa"/>
              <w:right w:w="150" w:type="dxa"/>
            </w:tcMar>
          </w:tcPr>
          <w:p w:rsidR="00C72E85" w:rsidRDefault="00B63CA0">
            <w:pPr>
              <w:jc w:val="center"/>
            </w:pPr>
            <w:r>
              <w:rPr>
                <w:color w:val="4A5568"/>
                <w:sz w:val="18"/>
                <w:szCs w:val="18"/>
              </w:rPr>
              <w:t>Growth</w:t>
            </w:r>
          </w:p>
        </w:tc>
      </w:tr>
      <w:tr w:rsidR="00C72E85">
        <w:tblPrEx>
          <w:tblCellMar>
            <w:top w:w="0" w:type="dxa"/>
            <w:bottom w:w="0" w:type="dxa"/>
          </w:tblCellMar>
        </w:tblPrEx>
        <w:tc>
          <w:tcPr>
            <w:tcW w:w="2200" w:type="dxa"/>
            <w:tcBorders>
              <w:top w:val="single" w:sz="1" w:space="0" w:color="DDDDDD"/>
              <w:left w:val="single" w:sz="1" w:space="0" w:color="DDDDDD"/>
              <w:bottom w:val="single" w:sz="1" w:space="0" w:color="DDDDDD"/>
              <w:right w:val="single" w:sz="1" w:space="0" w:color="DDDDDD"/>
            </w:tcBorders>
            <w:shd w:val="clear" w:color="auto" w:fill="F5F7FA"/>
            <w:tcMar>
              <w:top w:w="80" w:type="dxa"/>
              <w:left w:w="150" w:type="dxa"/>
              <w:bottom w:w="80" w:type="dxa"/>
              <w:right w:w="150" w:type="dxa"/>
            </w:tcMar>
          </w:tcPr>
          <w:p w:rsidR="00C72E85" w:rsidRDefault="00B63CA0">
            <w:r>
              <w:rPr>
                <w:color w:val="4A5568"/>
                <w:sz w:val="18"/>
                <w:szCs w:val="18"/>
              </w:rPr>
              <w:t>Clothing</w:t>
            </w:r>
          </w:p>
        </w:tc>
        <w:tc>
          <w:tcPr>
            <w:tcW w:w="1600" w:type="dxa"/>
            <w:tcBorders>
              <w:top w:val="single" w:sz="1" w:space="0" w:color="DDDDDD"/>
              <w:left w:val="single" w:sz="1" w:space="0" w:color="DDDDDD"/>
              <w:bottom w:val="single" w:sz="1" w:space="0" w:color="DDDDDD"/>
              <w:right w:val="single" w:sz="1" w:space="0" w:color="DDDDDD"/>
            </w:tcBorders>
            <w:shd w:val="clear" w:color="auto" w:fill="F5F7FA"/>
            <w:tcMar>
              <w:top w:w="80" w:type="dxa"/>
              <w:left w:w="150" w:type="dxa"/>
              <w:bottom w:w="80" w:type="dxa"/>
              <w:right w:w="150" w:type="dxa"/>
            </w:tcMar>
          </w:tcPr>
          <w:p w:rsidR="00C72E85" w:rsidRDefault="00B63CA0">
            <w:pPr>
              <w:jc w:val="center"/>
            </w:pPr>
            <w:r>
              <w:rPr>
                <w:color w:val="4A5568"/>
                <w:sz w:val="18"/>
                <w:szCs w:val="18"/>
              </w:rPr>
              <w:t>$3,540</w:t>
            </w:r>
          </w:p>
        </w:tc>
        <w:tc>
          <w:tcPr>
            <w:tcW w:w="1500" w:type="dxa"/>
            <w:tcBorders>
              <w:top w:val="single" w:sz="1" w:space="0" w:color="DDDDDD"/>
              <w:left w:val="single" w:sz="1" w:space="0" w:color="DDDDDD"/>
              <w:bottom w:val="single" w:sz="1" w:space="0" w:color="DDDDDD"/>
              <w:right w:val="single" w:sz="1" w:space="0" w:color="DDDDDD"/>
            </w:tcBorders>
            <w:shd w:val="clear" w:color="auto" w:fill="F5F7FA"/>
            <w:tcMar>
              <w:top w:w="80" w:type="dxa"/>
              <w:left w:w="150" w:type="dxa"/>
              <w:bottom w:w="80" w:type="dxa"/>
              <w:right w:w="150" w:type="dxa"/>
            </w:tcMar>
          </w:tcPr>
          <w:p w:rsidR="00C72E85" w:rsidRDefault="00B63CA0">
            <w:pPr>
              <w:jc w:val="center"/>
            </w:pPr>
            <w:r>
              <w:rPr>
                <w:color w:val="4A5568"/>
                <w:sz w:val="18"/>
                <w:szCs w:val="18"/>
              </w:rPr>
              <w:t>1.5%</w:t>
            </w:r>
          </w:p>
        </w:tc>
        <w:tc>
          <w:tcPr>
            <w:tcW w:w="1800" w:type="dxa"/>
            <w:tcBorders>
              <w:top w:val="single" w:sz="1" w:space="0" w:color="DDDDDD"/>
              <w:left w:val="single" w:sz="1" w:space="0" w:color="DDDDDD"/>
              <w:bottom w:val="single" w:sz="1" w:space="0" w:color="DDDDDD"/>
              <w:right w:val="single" w:sz="1" w:space="0" w:color="DDDDDD"/>
            </w:tcBorders>
            <w:shd w:val="clear" w:color="auto" w:fill="F5F7FA"/>
            <w:tcMar>
              <w:top w:w="80" w:type="dxa"/>
              <w:left w:w="150" w:type="dxa"/>
              <w:bottom w:w="80" w:type="dxa"/>
              <w:right w:w="150" w:type="dxa"/>
            </w:tcMar>
          </w:tcPr>
          <w:p w:rsidR="00C72E85" w:rsidRDefault="00B63CA0">
            <w:pPr>
              <w:jc w:val="center"/>
            </w:pPr>
            <w:r>
              <w:rPr>
                <w:color w:val="4A5568"/>
                <w:sz w:val="18"/>
                <w:szCs w:val="18"/>
              </w:rPr>
              <w:t>$89</w:t>
            </w:r>
          </w:p>
        </w:tc>
        <w:tc>
          <w:tcPr>
            <w:tcW w:w="2260" w:type="dxa"/>
            <w:tcBorders>
              <w:top w:val="single" w:sz="1" w:space="0" w:color="DDDDDD"/>
              <w:left w:val="single" w:sz="1" w:space="0" w:color="DDDDDD"/>
              <w:bottom w:val="single" w:sz="1" w:space="0" w:color="DDDDDD"/>
              <w:right w:val="single" w:sz="1" w:space="0" w:color="DDDDDD"/>
            </w:tcBorders>
            <w:shd w:val="clear" w:color="auto" w:fill="F5F7FA"/>
            <w:tcMar>
              <w:top w:w="80" w:type="dxa"/>
              <w:left w:w="150" w:type="dxa"/>
              <w:bottom w:w="80" w:type="dxa"/>
              <w:right w:w="150" w:type="dxa"/>
            </w:tcMar>
          </w:tcPr>
          <w:p w:rsidR="00C72E85" w:rsidRDefault="00B63CA0">
            <w:pPr>
              <w:jc w:val="center"/>
            </w:pPr>
            <w:r>
              <w:rPr>
                <w:color w:val="4A5568"/>
                <w:sz w:val="18"/>
                <w:szCs w:val="18"/>
              </w:rPr>
              <w:t>Growth</w:t>
            </w:r>
          </w:p>
        </w:tc>
      </w:tr>
      <w:tr w:rsidR="00C72E85">
        <w:tblPrEx>
          <w:tblCellMar>
            <w:top w:w="0" w:type="dxa"/>
            <w:bottom w:w="0" w:type="dxa"/>
          </w:tblCellMar>
        </w:tblPrEx>
        <w:tc>
          <w:tcPr>
            <w:tcW w:w="22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50" w:type="dxa"/>
              <w:bottom w:w="80" w:type="dxa"/>
              <w:right w:w="150" w:type="dxa"/>
            </w:tcMar>
          </w:tcPr>
          <w:p w:rsidR="00C72E85" w:rsidRDefault="00B63CA0">
            <w:r>
              <w:rPr>
                <w:color w:val="4A5568"/>
                <w:sz w:val="18"/>
                <w:szCs w:val="18"/>
              </w:rPr>
              <w:t>Books</w:t>
            </w:r>
          </w:p>
        </w:tc>
        <w:tc>
          <w:tcPr>
            <w:tcW w:w="16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50" w:type="dxa"/>
              <w:bottom w:w="80" w:type="dxa"/>
              <w:right w:w="150" w:type="dxa"/>
            </w:tcMar>
          </w:tcPr>
          <w:p w:rsidR="00C72E85" w:rsidRDefault="00B63CA0">
            <w:pPr>
              <w:jc w:val="center"/>
            </w:pPr>
            <w:r>
              <w:rPr>
                <w:color w:val="4A5568"/>
                <w:sz w:val="18"/>
                <w:szCs w:val="18"/>
              </w:rPr>
              <w:t>$1,035</w:t>
            </w:r>
          </w:p>
        </w:tc>
        <w:tc>
          <w:tcPr>
            <w:tcW w:w="15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50" w:type="dxa"/>
              <w:bottom w:w="80" w:type="dxa"/>
              <w:right w:w="150" w:type="dxa"/>
            </w:tcMar>
          </w:tcPr>
          <w:p w:rsidR="00C72E85" w:rsidRDefault="00B63CA0">
            <w:pPr>
              <w:jc w:val="center"/>
            </w:pPr>
            <w:r>
              <w:rPr>
                <w:color w:val="4A5568"/>
                <w:sz w:val="18"/>
                <w:szCs w:val="18"/>
              </w:rPr>
              <w:t>0.4%</w:t>
            </w:r>
          </w:p>
        </w:tc>
        <w:tc>
          <w:tcPr>
            <w:tcW w:w="18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50" w:type="dxa"/>
              <w:bottom w:w="80" w:type="dxa"/>
              <w:right w:w="150" w:type="dxa"/>
            </w:tcMar>
          </w:tcPr>
          <w:p w:rsidR="00C72E85" w:rsidRDefault="00B63CA0">
            <w:pPr>
              <w:jc w:val="center"/>
            </w:pPr>
            <w:r>
              <w:rPr>
                <w:color w:val="4A5568"/>
                <w:sz w:val="18"/>
                <w:szCs w:val="18"/>
              </w:rPr>
              <w:t>$41</w:t>
            </w:r>
          </w:p>
        </w:tc>
        <w:tc>
          <w:tcPr>
            <w:tcW w:w="22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50" w:type="dxa"/>
              <w:bottom w:w="80" w:type="dxa"/>
              <w:right w:w="150" w:type="dxa"/>
            </w:tcMar>
          </w:tcPr>
          <w:p w:rsidR="00C72E85" w:rsidRDefault="00B63CA0">
            <w:pPr>
              <w:jc w:val="center"/>
            </w:pPr>
            <w:r>
              <w:rPr>
                <w:color w:val="4A5568"/>
                <w:sz w:val="18"/>
                <w:szCs w:val="18"/>
              </w:rPr>
              <w:t>Emerging</w:t>
            </w:r>
          </w:p>
        </w:tc>
      </w:tr>
    </w:tbl>
    <w:p w:rsidR="00C72E85" w:rsidRDefault="00C72E85">
      <w:pPr>
        <w:spacing w:before="120"/>
      </w:pPr>
    </w:p>
    <w:p w:rsidR="00C72E85" w:rsidRDefault="00B63CA0">
      <w:pPr>
        <w:pStyle w:val="Heading2"/>
      </w:pPr>
      <w:r>
        <w:t>Key Findings</w:t>
      </w:r>
    </w:p>
    <w:p w:rsidR="00C72E85" w:rsidRDefault="00B63CA0">
      <w:pPr>
        <w:pStyle w:val="ListParagraph"/>
        <w:numPr>
          <w:ilvl w:val="0"/>
          <w:numId w:val="2"/>
        </w:numPr>
        <w:spacing w:before="60" w:after="60"/>
      </w:pPr>
      <w:r>
        <w:rPr>
          <w:color w:val="4A5568"/>
        </w:rPr>
        <w:t>Electronics ($129,950) is the undisputed revenue leader, driven by high-ticket items such as smartphones, laptops, and audio devices.</w:t>
      </w:r>
    </w:p>
    <w:p w:rsidR="00C72E85" w:rsidRDefault="00B63CA0">
      <w:pPr>
        <w:pStyle w:val="ListParagraph"/>
        <w:numPr>
          <w:ilvl w:val="0"/>
          <w:numId w:val="2"/>
        </w:numPr>
        <w:spacing w:before="60" w:after="60"/>
      </w:pPr>
      <w:r>
        <w:rPr>
          <w:color w:val="4A5568"/>
        </w:rPr>
        <w:t>Home Appliances ($105,000) commands the highest average order value at $2,625 per transaction — nearly 2.4x the overall average — suggesting premium product positioning.</w:t>
      </w:r>
    </w:p>
    <w:p w:rsidR="00C72E85" w:rsidRDefault="00B63CA0">
      <w:pPr>
        <w:pStyle w:val="ListParagraph"/>
        <w:numPr>
          <w:ilvl w:val="0"/>
          <w:numId w:val="2"/>
        </w:numPr>
        <w:spacing w:before="60" w:after="60"/>
      </w:pPr>
      <w:r>
        <w:rPr>
          <w:color w:val="4A5568"/>
        </w:rPr>
        <w:t>Footwear, Clothing, and Books collectively contribute under $9,000 in revenue. These c</w:t>
      </w:r>
      <w:r>
        <w:rPr>
          <w:color w:val="4A5568"/>
        </w:rPr>
        <w:t>ategories represent untapped growth potential and may benefit from targeted promotional campaigns.</w:t>
      </w:r>
    </w:p>
    <w:p w:rsidR="00C72E85" w:rsidRDefault="00B63CA0">
      <w:pPr>
        <w:pStyle w:val="ListParagraph"/>
        <w:numPr>
          <w:ilvl w:val="0"/>
          <w:numId w:val="2"/>
        </w:numPr>
        <w:spacing w:before="60" w:after="60"/>
      </w:pPr>
      <w:r>
        <w:rPr>
          <w:color w:val="4A5568"/>
        </w:rPr>
        <w:t>The heavy concentration in two categories (96%) poses a business risk — any supply chain or demand disruption in Electronics or Home Appliances could signifi</w:t>
      </w:r>
      <w:r>
        <w:rPr>
          <w:color w:val="4A5568"/>
        </w:rPr>
        <w:t>cantly impact overall performance.</w:t>
      </w:r>
    </w:p>
    <w:p w:rsidR="00C72E85" w:rsidRDefault="00C72E85">
      <w:pPr>
        <w:spacing w:before="120"/>
      </w:pPr>
    </w:p>
    <w:p w:rsidR="00C72E85" w:rsidRDefault="00C72E85">
      <w:pPr>
        <w:pBdr>
          <w:bottom w:val="single" w:sz="2" w:space="1" w:color="E8ECF0"/>
        </w:pBdr>
        <w:spacing w:before="160" w:after="160"/>
      </w:pPr>
    </w:p>
    <w:p w:rsidR="00C72E85" w:rsidRDefault="00B63CA0">
      <w:pPr>
        <w:pStyle w:val="Heading1"/>
        <w:pBdr>
          <w:bottom w:val="single" w:sz="4" w:space="6" w:color="2E7BC4"/>
        </w:pBdr>
      </w:pPr>
      <w:r>
        <w:t>3. Monthly Sales Trend Analysis</w:t>
      </w:r>
    </w:p>
    <w:p w:rsidR="00C72E85" w:rsidRDefault="00B63CA0">
      <w:pPr>
        <w:spacing w:before="80" w:after="80"/>
      </w:pPr>
      <w:r>
        <w:rPr>
          <w:color w:val="4A5568"/>
        </w:rPr>
        <w:t>Temporal analysis of the dataset reveals that the majority of recorded transactions fall within February and March 2025. April's data appears significantly lower, likely reflecting an incomplete month of data capture rather than an actual decline in sales.</w:t>
      </w:r>
    </w:p>
    <w:p w:rsidR="00C72E85" w:rsidRDefault="00C72E85">
      <w:pPr>
        <w:spacing w:before="80"/>
      </w:pPr>
    </w:p>
    <w:p w:rsidR="00C72E85" w:rsidRDefault="0001429E">
      <w:pPr>
        <w:spacing w:before="120" w:after="60"/>
        <w:jc w:val="center"/>
      </w:pPr>
      <w:r>
        <w:rPr>
          <w:noProof/>
        </w:rPr>
        <w:lastRenderedPageBreak/>
        <w:drawing>
          <wp:inline distT="0" distB="0" distL="0" distR="0">
            <wp:extent cx="6172200" cy="398272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g2.png"/>
                    <pic:cNvPicPr/>
                  </pic:nvPicPr>
                  <pic:blipFill>
                    <a:blip r:embed="rId8">
                      <a:extLst>
                        <a:ext uri="{28A0092B-C50C-407E-A947-70E740481C1C}">
                          <a14:useLocalDpi xmlns:a14="http://schemas.microsoft.com/office/drawing/2010/main" val="0"/>
                        </a:ext>
                      </a:extLst>
                    </a:blip>
                    <a:stretch>
                      <a:fillRect/>
                    </a:stretch>
                  </pic:blipFill>
                  <pic:spPr>
                    <a:xfrm>
                      <a:off x="0" y="0"/>
                      <a:ext cx="6172200" cy="3982720"/>
                    </a:xfrm>
                    <a:prstGeom prst="rect">
                      <a:avLst/>
                    </a:prstGeom>
                  </pic:spPr>
                </pic:pic>
              </a:graphicData>
            </a:graphic>
          </wp:inline>
        </w:drawing>
      </w:r>
    </w:p>
    <w:p w:rsidR="00C72E85" w:rsidRDefault="00B63CA0">
      <w:pPr>
        <w:spacing w:after="160"/>
        <w:jc w:val="center"/>
      </w:pPr>
      <w:r>
        <w:rPr>
          <w:i/>
          <w:iCs/>
          <w:color w:val="888888"/>
          <w:sz w:val="16"/>
          <w:szCs w:val="16"/>
        </w:rPr>
        <w:t>Figure 2: Monthly Sales Revenue Trend (Feb - Apr 2025)</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1800"/>
        <w:gridCol w:w="2400"/>
        <w:gridCol w:w="3360"/>
      </w:tblGrid>
      <w:tr w:rsidR="00C72E85">
        <w:tblPrEx>
          <w:tblCellMar>
            <w:top w:w="0" w:type="dxa"/>
            <w:bottom w:w="0" w:type="dxa"/>
          </w:tblCellMar>
        </w:tblPrEx>
        <w:trPr>
          <w:tblHeader/>
        </w:trPr>
        <w:tc>
          <w:tcPr>
            <w:tcW w:w="1800" w:type="dxa"/>
            <w:tcBorders>
              <w:top w:val="single" w:sz="1" w:space="0" w:color="DDDDDD"/>
              <w:left w:val="single" w:sz="1" w:space="0" w:color="DDDDDD"/>
              <w:bottom w:val="single" w:sz="1" w:space="0" w:color="DDDDDD"/>
              <w:right w:val="single" w:sz="1" w:space="0" w:color="DDDDDD"/>
            </w:tcBorders>
            <w:shd w:val="clear" w:color="auto" w:fill="1A3C6E"/>
            <w:tcMar>
              <w:top w:w="100" w:type="dxa"/>
              <w:left w:w="150" w:type="dxa"/>
              <w:bottom w:w="100" w:type="dxa"/>
              <w:right w:w="150" w:type="dxa"/>
            </w:tcMar>
          </w:tcPr>
          <w:p w:rsidR="00C72E85" w:rsidRDefault="00B63CA0">
            <w:pPr>
              <w:jc w:val="center"/>
            </w:pPr>
            <w:r>
              <w:rPr>
                <w:b/>
                <w:bCs/>
                <w:color w:val="FFFFFF"/>
                <w:sz w:val="18"/>
                <w:szCs w:val="18"/>
              </w:rPr>
              <w:t>Month</w:t>
            </w:r>
          </w:p>
        </w:tc>
        <w:tc>
          <w:tcPr>
            <w:tcW w:w="1800" w:type="dxa"/>
            <w:tcBorders>
              <w:top w:val="single" w:sz="1" w:space="0" w:color="DDDDDD"/>
              <w:left w:val="single" w:sz="1" w:space="0" w:color="DDDDDD"/>
              <w:bottom w:val="single" w:sz="1" w:space="0" w:color="DDDDDD"/>
              <w:right w:val="single" w:sz="1" w:space="0" w:color="DDDDDD"/>
            </w:tcBorders>
            <w:shd w:val="clear" w:color="auto" w:fill="1A3C6E"/>
            <w:tcMar>
              <w:top w:w="100" w:type="dxa"/>
              <w:left w:w="150" w:type="dxa"/>
              <w:bottom w:w="100" w:type="dxa"/>
              <w:right w:w="150" w:type="dxa"/>
            </w:tcMar>
          </w:tcPr>
          <w:p w:rsidR="00C72E85" w:rsidRDefault="00B63CA0">
            <w:pPr>
              <w:jc w:val="center"/>
            </w:pPr>
            <w:r>
              <w:rPr>
                <w:b/>
                <w:bCs/>
                <w:color w:val="FFFFFF"/>
                <w:sz w:val="18"/>
                <w:szCs w:val="18"/>
              </w:rPr>
              <w:t>Total Sales</w:t>
            </w:r>
          </w:p>
        </w:tc>
        <w:tc>
          <w:tcPr>
            <w:tcW w:w="2400" w:type="dxa"/>
            <w:tcBorders>
              <w:top w:val="single" w:sz="1" w:space="0" w:color="DDDDDD"/>
              <w:left w:val="single" w:sz="1" w:space="0" w:color="DDDDDD"/>
              <w:bottom w:val="single" w:sz="1" w:space="0" w:color="DDDDDD"/>
              <w:right w:val="single" w:sz="1" w:space="0" w:color="DDDDDD"/>
            </w:tcBorders>
            <w:shd w:val="clear" w:color="auto" w:fill="1A3C6E"/>
            <w:tcMar>
              <w:top w:w="100" w:type="dxa"/>
              <w:left w:w="150" w:type="dxa"/>
              <w:bottom w:w="100" w:type="dxa"/>
              <w:right w:w="150" w:type="dxa"/>
            </w:tcMar>
          </w:tcPr>
          <w:p w:rsidR="00C72E85" w:rsidRDefault="00B63CA0">
            <w:pPr>
              <w:jc w:val="center"/>
            </w:pPr>
            <w:r>
              <w:rPr>
                <w:b/>
                <w:bCs/>
                <w:color w:val="FFFFFF"/>
                <w:sz w:val="18"/>
                <w:szCs w:val="18"/>
              </w:rPr>
              <w:t>Month-over-Month Change</w:t>
            </w:r>
          </w:p>
        </w:tc>
        <w:tc>
          <w:tcPr>
            <w:tcW w:w="3360" w:type="dxa"/>
            <w:tcBorders>
              <w:top w:val="single" w:sz="1" w:space="0" w:color="DDDDDD"/>
              <w:left w:val="single" w:sz="1" w:space="0" w:color="DDDDDD"/>
              <w:bottom w:val="single" w:sz="1" w:space="0" w:color="DDDDDD"/>
              <w:right w:val="single" w:sz="1" w:space="0" w:color="DDDDDD"/>
            </w:tcBorders>
            <w:shd w:val="clear" w:color="auto" w:fill="1A3C6E"/>
            <w:tcMar>
              <w:top w:w="100" w:type="dxa"/>
              <w:left w:w="150" w:type="dxa"/>
              <w:bottom w:w="100" w:type="dxa"/>
              <w:right w:w="150" w:type="dxa"/>
            </w:tcMar>
          </w:tcPr>
          <w:p w:rsidR="00C72E85" w:rsidRDefault="00B63CA0">
            <w:pPr>
              <w:jc w:val="center"/>
            </w:pPr>
            <w:r>
              <w:rPr>
                <w:b/>
                <w:bCs/>
                <w:color w:val="FFFFFF"/>
                <w:sz w:val="18"/>
                <w:szCs w:val="18"/>
              </w:rPr>
              <w:t>Observation</w:t>
            </w:r>
          </w:p>
        </w:tc>
      </w:tr>
      <w:tr w:rsidR="00C72E85">
        <w:tblPrEx>
          <w:tblCellMar>
            <w:top w:w="0" w:type="dxa"/>
            <w:bottom w:w="0" w:type="dxa"/>
          </w:tblCellMar>
        </w:tblPrEx>
        <w:tc>
          <w:tcPr>
            <w:tcW w:w="18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50" w:type="dxa"/>
              <w:bottom w:w="80" w:type="dxa"/>
              <w:right w:w="150" w:type="dxa"/>
            </w:tcMar>
          </w:tcPr>
          <w:p w:rsidR="00C72E85" w:rsidRDefault="0001429E">
            <w:r>
              <w:rPr>
                <w:color w:val="4A5568"/>
                <w:sz w:val="18"/>
                <w:szCs w:val="18"/>
              </w:rPr>
              <w:t xml:space="preserve">March </w:t>
            </w:r>
            <w:r w:rsidR="00B63CA0">
              <w:rPr>
                <w:color w:val="4A5568"/>
                <w:sz w:val="18"/>
                <w:szCs w:val="18"/>
              </w:rPr>
              <w:t>2025</w:t>
            </w:r>
          </w:p>
        </w:tc>
        <w:tc>
          <w:tcPr>
            <w:tcW w:w="18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50" w:type="dxa"/>
              <w:bottom w:w="80" w:type="dxa"/>
              <w:right w:w="150" w:type="dxa"/>
            </w:tcMar>
          </w:tcPr>
          <w:p w:rsidR="00C72E85" w:rsidRDefault="00B63CA0">
            <w:pPr>
              <w:jc w:val="center"/>
            </w:pPr>
            <w:r>
              <w:rPr>
                <w:color w:val="4A5568"/>
                <w:sz w:val="18"/>
                <w:szCs w:val="18"/>
              </w:rPr>
              <w:t>$122,695</w:t>
            </w:r>
          </w:p>
        </w:tc>
        <w:tc>
          <w:tcPr>
            <w:tcW w:w="24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50" w:type="dxa"/>
              <w:bottom w:w="80" w:type="dxa"/>
              <w:right w:w="150" w:type="dxa"/>
            </w:tcMar>
          </w:tcPr>
          <w:p w:rsidR="00C72E85" w:rsidRDefault="00B63CA0">
            <w:pPr>
              <w:jc w:val="center"/>
            </w:pPr>
            <w:r>
              <w:rPr>
                <w:color w:val="4A5568"/>
                <w:sz w:val="18"/>
                <w:szCs w:val="18"/>
              </w:rPr>
              <w:t>—</w:t>
            </w:r>
          </w:p>
        </w:tc>
        <w:tc>
          <w:tcPr>
            <w:tcW w:w="33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50" w:type="dxa"/>
              <w:bottom w:w="80" w:type="dxa"/>
              <w:right w:w="150" w:type="dxa"/>
            </w:tcMar>
          </w:tcPr>
          <w:p w:rsidR="00C72E85" w:rsidRDefault="00B63CA0">
            <w:pPr>
              <w:jc w:val="center"/>
            </w:pPr>
            <w:r>
              <w:rPr>
                <w:color w:val="4A5568"/>
                <w:sz w:val="18"/>
                <w:szCs w:val="18"/>
              </w:rPr>
              <w:t>Highest revenue month</w:t>
            </w:r>
          </w:p>
        </w:tc>
      </w:tr>
      <w:tr w:rsidR="00C72E85">
        <w:tblPrEx>
          <w:tblCellMar>
            <w:top w:w="0" w:type="dxa"/>
            <w:bottom w:w="0" w:type="dxa"/>
          </w:tblCellMar>
        </w:tblPrEx>
        <w:tc>
          <w:tcPr>
            <w:tcW w:w="1800" w:type="dxa"/>
            <w:tcBorders>
              <w:top w:val="single" w:sz="1" w:space="0" w:color="DDDDDD"/>
              <w:left w:val="single" w:sz="1" w:space="0" w:color="DDDDDD"/>
              <w:bottom w:val="single" w:sz="1" w:space="0" w:color="DDDDDD"/>
              <w:right w:val="single" w:sz="1" w:space="0" w:color="DDDDDD"/>
            </w:tcBorders>
            <w:shd w:val="clear" w:color="auto" w:fill="F5F7FA"/>
            <w:tcMar>
              <w:top w:w="80" w:type="dxa"/>
              <w:left w:w="150" w:type="dxa"/>
              <w:bottom w:w="80" w:type="dxa"/>
              <w:right w:w="150" w:type="dxa"/>
            </w:tcMar>
          </w:tcPr>
          <w:p w:rsidR="00C72E85" w:rsidRDefault="0001429E">
            <w:r>
              <w:rPr>
                <w:color w:val="4A5568"/>
                <w:sz w:val="18"/>
                <w:szCs w:val="18"/>
              </w:rPr>
              <w:t xml:space="preserve">February </w:t>
            </w:r>
            <w:r w:rsidR="00B63CA0">
              <w:rPr>
                <w:color w:val="4A5568"/>
                <w:sz w:val="18"/>
                <w:szCs w:val="18"/>
              </w:rPr>
              <w:t>2025</w:t>
            </w:r>
          </w:p>
        </w:tc>
        <w:tc>
          <w:tcPr>
            <w:tcW w:w="1800" w:type="dxa"/>
            <w:tcBorders>
              <w:top w:val="single" w:sz="1" w:space="0" w:color="DDDDDD"/>
              <w:left w:val="single" w:sz="1" w:space="0" w:color="DDDDDD"/>
              <w:bottom w:val="single" w:sz="1" w:space="0" w:color="DDDDDD"/>
              <w:right w:val="single" w:sz="1" w:space="0" w:color="DDDDDD"/>
            </w:tcBorders>
            <w:shd w:val="clear" w:color="auto" w:fill="F5F7FA"/>
            <w:tcMar>
              <w:top w:w="80" w:type="dxa"/>
              <w:left w:w="150" w:type="dxa"/>
              <w:bottom w:w="80" w:type="dxa"/>
              <w:right w:w="150" w:type="dxa"/>
            </w:tcMar>
          </w:tcPr>
          <w:p w:rsidR="00C72E85" w:rsidRDefault="00B63CA0">
            <w:pPr>
              <w:jc w:val="center"/>
            </w:pPr>
            <w:r>
              <w:rPr>
                <w:color w:val="4A5568"/>
                <w:sz w:val="18"/>
                <w:szCs w:val="18"/>
              </w:rPr>
              <w:t>$117,730</w:t>
            </w:r>
          </w:p>
        </w:tc>
        <w:tc>
          <w:tcPr>
            <w:tcW w:w="2400" w:type="dxa"/>
            <w:tcBorders>
              <w:top w:val="single" w:sz="1" w:space="0" w:color="DDDDDD"/>
              <w:left w:val="single" w:sz="1" w:space="0" w:color="DDDDDD"/>
              <w:bottom w:val="single" w:sz="1" w:space="0" w:color="DDDDDD"/>
              <w:right w:val="single" w:sz="1" w:space="0" w:color="DDDDDD"/>
            </w:tcBorders>
            <w:shd w:val="clear" w:color="auto" w:fill="F5F7FA"/>
            <w:tcMar>
              <w:top w:w="80" w:type="dxa"/>
              <w:left w:w="150" w:type="dxa"/>
              <w:bottom w:w="80" w:type="dxa"/>
              <w:right w:w="150" w:type="dxa"/>
            </w:tcMar>
          </w:tcPr>
          <w:p w:rsidR="00C72E85" w:rsidRDefault="00B63CA0">
            <w:pPr>
              <w:jc w:val="center"/>
            </w:pPr>
            <w:r>
              <w:rPr>
                <w:color w:val="4A5568"/>
                <w:sz w:val="18"/>
                <w:szCs w:val="18"/>
              </w:rPr>
              <w:t>-4.0%</w:t>
            </w:r>
          </w:p>
        </w:tc>
        <w:tc>
          <w:tcPr>
            <w:tcW w:w="3360" w:type="dxa"/>
            <w:tcBorders>
              <w:top w:val="single" w:sz="1" w:space="0" w:color="DDDDDD"/>
              <w:left w:val="single" w:sz="1" w:space="0" w:color="DDDDDD"/>
              <w:bottom w:val="single" w:sz="1" w:space="0" w:color="DDDDDD"/>
              <w:right w:val="single" w:sz="1" w:space="0" w:color="DDDDDD"/>
            </w:tcBorders>
            <w:shd w:val="clear" w:color="auto" w:fill="F5F7FA"/>
            <w:tcMar>
              <w:top w:w="80" w:type="dxa"/>
              <w:left w:w="150" w:type="dxa"/>
              <w:bottom w:w="80" w:type="dxa"/>
              <w:right w:w="150" w:type="dxa"/>
            </w:tcMar>
          </w:tcPr>
          <w:p w:rsidR="00C72E85" w:rsidRDefault="00B63CA0">
            <w:pPr>
              <w:jc w:val="center"/>
            </w:pPr>
            <w:r>
              <w:rPr>
                <w:color w:val="4A5568"/>
                <w:sz w:val="18"/>
                <w:szCs w:val="18"/>
              </w:rPr>
              <w:t>Slight dip, still strong</w:t>
            </w:r>
          </w:p>
        </w:tc>
      </w:tr>
      <w:tr w:rsidR="00C72E85">
        <w:tblPrEx>
          <w:tblCellMar>
            <w:top w:w="0" w:type="dxa"/>
            <w:bottom w:w="0" w:type="dxa"/>
          </w:tblCellMar>
        </w:tblPrEx>
        <w:tc>
          <w:tcPr>
            <w:tcW w:w="18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50" w:type="dxa"/>
              <w:bottom w:w="80" w:type="dxa"/>
              <w:right w:w="150" w:type="dxa"/>
            </w:tcMar>
          </w:tcPr>
          <w:p w:rsidR="00C72E85" w:rsidRDefault="00B63CA0">
            <w:r>
              <w:rPr>
                <w:color w:val="4A5568"/>
                <w:sz w:val="18"/>
                <w:szCs w:val="18"/>
              </w:rPr>
              <w:t>April 2025</w:t>
            </w:r>
          </w:p>
        </w:tc>
        <w:tc>
          <w:tcPr>
            <w:tcW w:w="18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50" w:type="dxa"/>
              <w:bottom w:w="80" w:type="dxa"/>
              <w:right w:w="150" w:type="dxa"/>
            </w:tcMar>
          </w:tcPr>
          <w:p w:rsidR="00C72E85" w:rsidRDefault="00B63CA0">
            <w:pPr>
              <w:jc w:val="center"/>
            </w:pPr>
            <w:r>
              <w:rPr>
                <w:color w:val="4A5568"/>
                <w:sz w:val="18"/>
                <w:szCs w:val="18"/>
              </w:rPr>
              <w:t>$3,420</w:t>
            </w:r>
          </w:p>
        </w:tc>
        <w:tc>
          <w:tcPr>
            <w:tcW w:w="24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50" w:type="dxa"/>
              <w:bottom w:w="80" w:type="dxa"/>
              <w:right w:w="150" w:type="dxa"/>
            </w:tcMar>
          </w:tcPr>
          <w:p w:rsidR="00C72E85" w:rsidRDefault="00B63CA0">
            <w:pPr>
              <w:jc w:val="center"/>
            </w:pPr>
            <w:r>
              <w:rPr>
                <w:color w:val="4A5568"/>
                <w:sz w:val="18"/>
                <w:szCs w:val="18"/>
              </w:rPr>
              <w:t>-97.1%*</w:t>
            </w:r>
          </w:p>
        </w:tc>
        <w:tc>
          <w:tcPr>
            <w:tcW w:w="33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50" w:type="dxa"/>
              <w:bottom w:w="80" w:type="dxa"/>
              <w:right w:w="150" w:type="dxa"/>
            </w:tcMar>
          </w:tcPr>
          <w:p w:rsidR="00C72E85" w:rsidRDefault="00B63CA0">
            <w:pPr>
              <w:jc w:val="center"/>
            </w:pPr>
            <w:r>
              <w:rPr>
                <w:color w:val="4A5568"/>
                <w:sz w:val="18"/>
                <w:szCs w:val="18"/>
              </w:rPr>
              <w:t>*Incomplete data</w:t>
            </w:r>
          </w:p>
        </w:tc>
      </w:tr>
    </w:tbl>
    <w:p w:rsidR="00C72E85" w:rsidRDefault="00C72E85">
      <w:pPr>
        <w:spacing w:before="100"/>
      </w:pPr>
    </w:p>
    <w:p w:rsidR="00C72E85" w:rsidRDefault="00B63CA0">
      <w:pPr>
        <w:spacing w:before="80" w:after="80"/>
      </w:pPr>
      <w:r>
        <w:rPr>
          <w:i/>
          <w:iCs/>
          <w:color w:val="888888"/>
        </w:rPr>
        <w:t>Note: April 2025 figures reflect only partial data (first few days) and should not be interpreted as a performance decline. A full monthly comparison should be re-evaluated once complete April data is available.</w:t>
      </w:r>
    </w:p>
    <w:p w:rsidR="00C72E85" w:rsidRDefault="00C72E85">
      <w:pPr>
        <w:spacing w:before="120"/>
      </w:pPr>
    </w:p>
    <w:p w:rsidR="00C72E85" w:rsidRDefault="00B63CA0">
      <w:pPr>
        <w:pStyle w:val="Heading2"/>
      </w:pPr>
      <w:r>
        <w:t>Key Findings</w:t>
      </w:r>
    </w:p>
    <w:p w:rsidR="00C72E85" w:rsidRDefault="0001429E">
      <w:pPr>
        <w:pStyle w:val="ListParagraph"/>
        <w:numPr>
          <w:ilvl w:val="0"/>
          <w:numId w:val="2"/>
        </w:numPr>
        <w:spacing w:before="60" w:after="60"/>
      </w:pPr>
      <w:r>
        <w:rPr>
          <w:color w:val="4A5568"/>
        </w:rPr>
        <w:t xml:space="preserve">March </w:t>
      </w:r>
      <w:r w:rsidR="00B63CA0">
        <w:rPr>
          <w:color w:val="4A5568"/>
        </w:rPr>
        <w:t xml:space="preserve">2025 was the strongest month with $122,695 in revenue, outperforming </w:t>
      </w:r>
      <w:r>
        <w:rPr>
          <w:color w:val="4A5568"/>
        </w:rPr>
        <w:t>February</w:t>
      </w:r>
      <w:r w:rsidR="00B63CA0">
        <w:rPr>
          <w:color w:val="4A5568"/>
        </w:rPr>
        <w:t xml:space="preserve"> by $4,965.</w:t>
      </w:r>
    </w:p>
    <w:p w:rsidR="00C72E85" w:rsidRDefault="00B63CA0">
      <w:pPr>
        <w:pStyle w:val="ListParagraph"/>
        <w:numPr>
          <w:ilvl w:val="0"/>
          <w:numId w:val="2"/>
        </w:numPr>
        <w:spacing w:before="60" w:after="60"/>
      </w:pPr>
      <w:r>
        <w:rPr>
          <w:color w:val="4A5568"/>
        </w:rPr>
        <w:t>The month-over-month change</w:t>
      </w:r>
      <w:r>
        <w:rPr>
          <w:color w:val="4A5568"/>
        </w:rPr>
        <w:t xml:space="preserve"> from</w:t>
      </w:r>
      <w:r w:rsidR="004B364E">
        <w:rPr>
          <w:color w:val="4A5568"/>
        </w:rPr>
        <w:t xml:space="preserve"> March</w:t>
      </w:r>
      <w:r>
        <w:rPr>
          <w:color w:val="4A5568"/>
        </w:rPr>
        <w:t xml:space="preserve"> to</w:t>
      </w:r>
      <w:r w:rsidR="004B364E">
        <w:rPr>
          <w:color w:val="4A5568"/>
        </w:rPr>
        <w:t xml:space="preserve"> February</w:t>
      </w:r>
      <w:r>
        <w:rPr>
          <w:color w:val="4A5568"/>
        </w:rPr>
        <w:t xml:space="preserve"> shows a modest 4% dip — within normal seasonal variation and not a cause for concern.</w:t>
      </w:r>
    </w:p>
    <w:p w:rsidR="00C72E85" w:rsidRDefault="00B63CA0">
      <w:pPr>
        <w:pStyle w:val="ListParagraph"/>
        <w:numPr>
          <w:ilvl w:val="0"/>
          <w:numId w:val="2"/>
        </w:numPr>
        <w:spacing w:before="60" w:after="60"/>
      </w:pPr>
      <w:r>
        <w:rPr>
          <w:color w:val="4A5568"/>
        </w:rPr>
        <w:t>A full Q1 2025 projectio</w:t>
      </w:r>
      <w:r>
        <w:rPr>
          <w:color w:val="4A5568"/>
        </w:rPr>
        <w:t>n, if March trends hold, would estimate quarterly revenue of approximately $240,000 — closely aligned with the recorded total.</w:t>
      </w:r>
    </w:p>
    <w:p w:rsidR="00C72E85" w:rsidRDefault="00C72E85">
      <w:pPr>
        <w:spacing w:before="120"/>
      </w:pPr>
    </w:p>
    <w:p w:rsidR="00C72E85" w:rsidRDefault="00C72E85">
      <w:pPr>
        <w:pBdr>
          <w:bottom w:val="single" w:sz="2" w:space="1" w:color="E8ECF0"/>
        </w:pBdr>
        <w:spacing w:before="160" w:after="160"/>
      </w:pPr>
    </w:p>
    <w:p w:rsidR="00C72E85" w:rsidRDefault="00B63CA0">
      <w:pPr>
        <w:pStyle w:val="Heading1"/>
        <w:pBdr>
          <w:bottom w:val="single" w:sz="4" w:space="6" w:color="2E7BC4"/>
        </w:pBdr>
      </w:pPr>
      <w:r>
        <w:t>4. Payment Method Analysis</w:t>
      </w:r>
    </w:p>
    <w:p w:rsidR="00C72E85" w:rsidRDefault="00B63CA0">
      <w:pPr>
        <w:spacing w:before="80" w:after="80"/>
      </w:pPr>
      <w:r>
        <w:rPr>
          <w:color w:val="4A5568"/>
        </w:rPr>
        <w:lastRenderedPageBreak/>
        <w:t xml:space="preserve">Understanding payment preferences is essential for </w:t>
      </w:r>
      <w:proofErr w:type="spellStart"/>
      <w:r>
        <w:rPr>
          <w:color w:val="4A5568"/>
        </w:rPr>
        <w:t>optimising</w:t>
      </w:r>
      <w:proofErr w:type="spellEnd"/>
      <w:r>
        <w:rPr>
          <w:color w:val="4A5568"/>
        </w:rPr>
        <w:t xml:space="preserve"> checkout experiences, reducing friction, and targeting high-value customers. The analysis reveals that PayPal leads in adoption, while Debit Card users represent the lowest average spend per tra</w:t>
      </w:r>
      <w:r>
        <w:rPr>
          <w:color w:val="4A5568"/>
        </w:rPr>
        <w:t>nsaction.</w:t>
      </w:r>
    </w:p>
    <w:p w:rsidR="00C72E85" w:rsidRDefault="00C72E85">
      <w:pPr>
        <w:spacing w:before="80"/>
      </w:pPr>
    </w:p>
    <w:p w:rsidR="00C72E85" w:rsidRDefault="00D20CA7">
      <w:pPr>
        <w:spacing w:before="120" w:after="60"/>
        <w:jc w:val="center"/>
      </w:pPr>
      <w:r>
        <w:rPr>
          <w:noProof/>
        </w:rPr>
        <w:drawing>
          <wp:inline distT="0" distB="0" distL="0" distR="0">
            <wp:extent cx="6172200" cy="333375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g3.png"/>
                    <pic:cNvPicPr/>
                  </pic:nvPicPr>
                  <pic:blipFill>
                    <a:blip r:embed="rId9">
                      <a:extLst>
                        <a:ext uri="{28A0092B-C50C-407E-A947-70E740481C1C}">
                          <a14:useLocalDpi xmlns:a14="http://schemas.microsoft.com/office/drawing/2010/main" val="0"/>
                        </a:ext>
                      </a:extLst>
                    </a:blip>
                    <a:stretch>
                      <a:fillRect/>
                    </a:stretch>
                  </pic:blipFill>
                  <pic:spPr>
                    <a:xfrm>
                      <a:off x="0" y="0"/>
                      <a:ext cx="6172200" cy="3333750"/>
                    </a:xfrm>
                    <a:prstGeom prst="rect">
                      <a:avLst/>
                    </a:prstGeom>
                  </pic:spPr>
                </pic:pic>
              </a:graphicData>
            </a:graphic>
          </wp:inline>
        </w:drawing>
      </w:r>
    </w:p>
    <w:p w:rsidR="00C72E85" w:rsidRDefault="00B63CA0">
      <w:pPr>
        <w:spacing w:after="160"/>
        <w:jc w:val="center"/>
      </w:pPr>
      <w:r>
        <w:rPr>
          <w:i/>
          <w:iCs/>
          <w:color w:val="888888"/>
          <w:sz w:val="16"/>
          <w:szCs w:val="16"/>
        </w:rPr>
        <w:t>Figure 3: Order Volume by Payment Method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1200"/>
        <w:gridCol w:w="1400"/>
        <w:gridCol w:w="1800"/>
        <w:gridCol w:w="2960"/>
      </w:tblGrid>
      <w:tr w:rsidR="00C72E85">
        <w:tblPrEx>
          <w:tblCellMar>
            <w:top w:w="0" w:type="dxa"/>
            <w:bottom w:w="0" w:type="dxa"/>
          </w:tblCellMar>
        </w:tblPrEx>
        <w:trPr>
          <w:tblHeader/>
        </w:trPr>
        <w:tc>
          <w:tcPr>
            <w:tcW w:w="2000" w:type="dxa"/>
            <w:tcBorders>
              <w:top w:val="single" w:sz="1" w:space="0" w:color="DDDDDD"/>
              <w:left w:val="single" w:sz="1" w:space="0" w:color="DDDDDD"/>
              <w:bottom w:val="single" w:sz="1" w:space="0" w:color="DDDDDD"/>
              <w:right w:val="single" w:sz="1" w:space="0" w:color="DDDDDD"/>
            </w:tcBorders>
            <w:shd w:val="clear" w:color="auto" w:fill="1A3C6E"/>
            <w:tcMar>
              <w:top w:w="100" w:type="dxa"/>
              <w:left w:w="150" w:type="dxa"/>
              <w:bottom w:w="100" w:type="dxa"/>
              <w:right w:w="150" w:type="dxa"/>
            </w:tcMar>
          </w:tcPr>
          <w:p w:rsidR="00C72E85" w:rsidRDefault="00B63CA0">
            <w:pPr>
              <w:jc w:val="center"/>
            </w:pPr>
            <w:r>
              <w:rPr>
                <w:b/>
                <w:bCs/>
                <w:color w:val="FFFFFF"/>
                <w:sz w:val="18"/>
                <w:szCs w:val="18"/>
              </w:rPr>
              <w:t>Payment Method</w:t>
            </w:r>
          </w:p>
        </w:tc>
        <w:tc>
          <w:tcPr>
            <w:tcW w:w="1200" w:type="dxa"/>
            <w:tcBorders>
              <w:top w:val="single" w:sz="1" w:space="0" w:color="DDDDDD"/>
              <w:left w:val="single" w:sz="1" w:space="0" w:color="DDDDDD"/>
              <w:bottom w:val="single" w:sz="1" w:space="0" w:color="DDDDDD"/>
              <w:right w:val="single" w:sz="1" w:space="0" w:color="DDDDDD"/>
            </w:tcBorders>
            <w:shd w:val="clear" w:color="auto" w:fill="1A3C6E"/>
            <w:tcMar>
              <w:top w:w="100" w:type="dxa"/>
              <w:left w:w="150" w:type="dxa"/>
              <w:bottom w:w="100" w:type="dxa"/>
              <w:right w:w="150" w:type="dxa"/>
            </w:tcMar>
          </w:tcPr>
          <w:p w:rsidR="00C72E85" w:rsidRDefault="00B63CA0">
            <w:pPr>
              <w:jc w:val="center"/>
            </w:pPr>
            <w:r>
              <w:rPr>
                <w:b/>
                <w:bCs/>
                <w:color w:val="FFFFFF"/>
                <w:sz w:val="18"/>
                <w:szCs w:val="18"/>
              </w:rPr>
              <w:t>Orders</w:t>
            </w:r>
          </w:p>
        </w:tc>
        <w:tc>
          <w:tcPr>
            <w:tcW w:w="1400" w:type="dxa"/>
            <w:tcBorders>
              <w:top w:val="single" w:sz="1" w:space="0" w:color="DDDDDD"/>
              <w:left w:val="single" w:sz="1" w:space="0" w:color="DDDDDD"/>
              <w:bottom w:val="single" w:sz="1" w:space="0" w:color="DDDDDD"/>
              <w:right w:val="single" w:sz="1" w:space="0" w:color="DDDDDD"/>
            </w:tcBorders>
            <w:shd w:val="clear" w:color="auto" w:fill="1A3C6E"/>
            <w:tcMar>
              <w:top w:w="100" w:type="dxa"/>
              <w:left w:w="150" w:type="dxa"/>
              <w:bottom w:w="100" w:type="dxa"/>
              <w:right w:w="150" w:type="dxa"/>
            </w:tcMar>
          </w:tcPr>
          <w:p w:rsidR="00C72E85" w:rsidRDefault="00B63CA0">
            <w:pPr>
              <w:jc w:val="center"/>
            </w:pPr>
            <w:r>
              <w:rPr>
                <w:b/>
                <w:bCs/>
                <w:color w:val="FFFFFF"/>
                <w:sz w:val="18"/>
                <w:szCs w:val="18"/>
              </w:rPr>
              <w:t>Order Share</w:t>
            </w:r>
          </w:p>
        </w:tc>
        <w:tc>
          <w:tcPr>
            <w:tcW w:w="1800" w:type="dxa"/>
            <w:tcBorders>
              <w:top w:val="single" w:sz="1" w:space="0" w:color="DDDDDD"/>
              <w:left w:val="single" w:sz="1" w:space="0" w:color="DDDDDD"/>
              <w:bottom w:val="single" w:sz="1" w:space="0" w:color="DDDDDD"/>
              <w:right w:val="single" w:sz="1" w:space="0" w:color="DDDDDD"/>
            </w:tcBorders>
            <w:shd w:val="clear" w:color="auto" w:fill="1A3C6E"/>
            <w:tcMar>
              <w:top w:w="100" w:type="dxa"/>
              <w:left w:w="150" w:type="dxa"/>
              <w:bottom w:w="100" w:type="dxa"/>
              <w:right w:w="150" w:type="dxa"/>
            </w:tcMar>
          </w:tcPr>
          <w:p w:rsidR="00C72E85" w:rsidRDefault="00B63CA0">
            <w:pPr>
              <w:jc w:val="center"/>
            </w:pPr>
            <w:r>
              <w:rPr>
                <w:b/>
                <w:bCs/>
                <w:color w:val="FFFFFF"/>
                <w:sz w:val="18"/>
                <w:szCs w:val="18"/>
              </w:rPr>
              <w:t>Avg Order Value</w:t>
            </w:r>
          </w:p>
        </w:tc>
        <w:tc>
          <w:tcPr>
            <w:tcW w:w="2960" w:type="dxa"/>
            <w:tcBorders>
              <w:top w:val="single" w:sz="1" w:space="0" w:color="DDDDDD"/>
              <w:left w:val="single" w:sz="1" w:space="0" w:color="DDDDDD"/>
              <w:bottom w:val="single" w:sz="1" w:space="0" w:color="DDDDDD"/>
              <w:right w:val="single" w:sz="1" w:space="0" w:color="DDDDDD"/>
            </w:tcBorders>
            <w:shd w:val="clear" w:color="auto" w:fill="1A3C6E"/>
            <w:tcMar>
              <w:top w:w="100" w:type="dxa"/>
              <w:left w:w="150" w:type="dxa"/>
              <w:bottom w:w="100" w:type="dxa"/>
              <w:right w:w="150" w:type="dxa"/>
            </w:tcMar>
          </w:tcPr>
          <w:p w:rsidR="00C72E85" w:rsidRDefault="00B63CA0">
            <w:pPr>
              <w:jc w:val="center"/>
            </w:pPr>
            <w:r>
              <w:rPr>
                <w:b/>
                <w:bCs/>
                <w:color w:val="FFFFFF"/>
                <w:sz w:val="18"/>
                <w:szCs w:val="18"/>
              </w:rPr>
              <w:t>Customer Profile</w:t>
            </w:r>
          </w:p>
        </w:tc>
      </w:tr>
      <w:tr w:rsidR="00C72E85">
        <w:tblPrEx>
          <w:tblCellMar>
            <w:top w:w="0" w:type="dxa"/>
            <w:bottom w:w="0" w:type="dxa"/>
          </w:tblCellMar>
        </w:tblPrEx>
        <w:tc>
          <w:tcPr>
            <w:tcW w:w="20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50" w:type="dxa"/>
              <w:bottom w:w="80" w:type="dxa"/>
              <w:right w:w="150" w:type="dxa"/>
            </w:tcMar>
          </w:tcPr>
          <w:p w:rsidR="00C72E85" w:rsidRDefault="00B63CA0">
            <w:r>
              <w:rPr>
                <w:color w:val="4A5568"/>
                <w:sz w:val="18"/>
                <w:szCs w:val="18"/>
              </w:rPr>
              <w:t>PayPal</w:t>
            </w:r>
          </w:p>
        </w:tc>
        <w:tc>
          <w:tcPr>
            <w:tcW w:w="12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50" w:type="dxa"/>
              <w:bottom w:w="80" w:type="dxa"/>
              <w:right w:w="150" w:type="dxa"/>
            </w:tcMar>
          </w:tcPr>
          <w:p w:rsidR="00C72E85" w:rsidRDefault="00B63CA0">
            <w:pPr>
              <w:jc w:val="center"/>
            </w:pPr>
            <w:r>
              <w:rPr>
                <w:color w:val="4A5568"/>
                <w:sz w:val="18"/>
                <w:szCs w:val="18"/>
              </w:rPr>
              <w:t>60</w:t>
            </w:r>
          </w:p>
        </w:tc>
        <w:tc>
          <w:tcPr>
            <w:tcW w:w="14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50" w:type="dxa"/>
              <w:bottom w:w="80" w:type="dxa"/>
              <w:right w:w="150" w:type="dxa"/>
            </w:tcMar>
          </w:tcPr>
          <w:p w:rsidR="00C72E85" w:rsidRDefault="00B63CA0">
            <w:pPr>
              <w:jc w:val="center"/>
            </w:pPr>
            <w:r>
              <w:rPr>
                <w:color w:val="4A5568"/>
                <w:sz w:val="18"/>
                <w:szCs w:val="18"/>
              </w:rPr>
              <w:t>24.0%</w:t>
            </w:r>
          </w:p>
        </w:tc>
        <w:tc>
          <w:tcPr>
            <w:tcW w:w="18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50" w:type="dxa"/>
              <w:bottom w:w="80" w:type="dxa"/>
              <w:right w:w="150" w:type="dxa"/>
            </w:tcMar>
          </w:tcPr>
          <w:p w:rsidR="00C72E85" w:rsidRDefault="00B63CA0">
            <w:pPr>
              <w:jc w:val="center"/>
            </w:pPr>
            <w:r>
              <w:rPr>
                <w:color w:val="4A5568"/>
                <w:sz w:val="18"/>
                <w:szCs w:val="18"/>
              </w:rPr>
              <w:t>$1,161</w:t>
            </w:r>
          </w:p>
        </w:tc>
        <w:tc>
          <w:tcPr>
            <w:tcW w:w="29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50" w:type="dxa"/>
              <w:bottom w:w="80" w:type="dxa"/>
              <w:right w:w="150" w:type="dxa"/>
            </w:tcMar>
          </w:tcPr>
          <w:p w:rsidR="00C72E85" w:rsidRDefault="00B63CA0">
            <w:pPr>
              <w:jc w:val="center"/>
            </w:pPr>
            <w:r>
              <w:rPr>
                <w:color w:val="4A5568"/>
                <w:sz w:val="18"/>
                <w:szCs w:val="18"/>
              </w:rPr>
              <w:t>High value, digital-native</w:t>
            </w:r>
          </w:p>
        </w:tc>
      </w:tr>
      <w:tr w:rsidR="00C72E85">
        <w:tblPrEx>
          <w:tblCellMar>
            <w:top w:w="0" w:type="dxa"/>
            <w:bottom w:w="0" w:type="dxa"/>
          </w:tblCellMar>
        </w:tblPrEx>
        <w:tc>
          <w:tcPr>
            <w:tcW w:w="2000" w:type="dxa"/>
            <w:tcBorders>
              <w:top w:val="single" w:sz="1" w:space="0" w:color="DDDDDD"/>
              <w:left w:val="single" w:sz="1" w:space="0" w:color="DDDDDD"/>
              <w:bottom w:val="single" w:sz="1" w:space="0" w:color="DDDDDD"/>
              <w:right w:val="single" w:sz="1" w:space="0" w:color="DDDDDD"/>
            </w:tcBorders>
            <w:shd w:val="clear" w:color="auto" w:fill="F5F7FA"/>
            <w:tcMar>
              <w:top w:w="80" w:type="dxa"/>
              <w:left w:w="150" w:type="dxa"/>
              <w:bottom w:w="80" w:type="dxa"/>
              <w:right w:w="150" w:type="dxa"/>
            </w:tcMar>
          </w:tcPr>
          <w:p w:rsidR="00C72E85" w:rsidRDefault="00B63CA0">
            <w:r>
              <w:rPr>
                <w:color w:val="4A5568"/>
                <w:sz w:val="18"/>
                <w:szCs w:val="18"/>
              </w:rPr>
              <w:t>Credit Card</w:t>
            </w:r>
          </w:p>
        </w:tc>
        <w:tc>
          <w:tcPr>
            <w:tcW w:w="1200" w:type="dxa"/>
            <w:tcBorders>
              <w:top w:val="single" w:sz="1" w:space="0" w:color="DDDDDD"/>
              <w:left w:val="single" w:sz="1" w:space="0" w:color="DDDDDD"/>
              <w:bottom w:val="single" w:sz="1" w:space="0" w:color="DDDDDD"/>
              <w:right w:val="single" w:sz="1" w:space="0" w:color="DDDDDD"/>
            </w:tcBorders>
            <w:shd w:val="clear" w:color="auto" w:fill="F5F7FA"/>
            <w:tcMar>
              <w:top w:w="80" w:type="dxa"/>
              <w:left w:w="150" w:type="dxa"/>
              <w:bottom w:w="80" w:type="dxa"/>
              <w:right w:w="150" w:type="dxa"/>
            </w:tcMar>
          </w:tcPr>
          <w:p w:rsidR="00C72E85" w:rsidRDefault="00B63CA0">
            <w:pPr>
              <w:jc w:val="center"/>
            </w:pPr>
            <w:r>
              <w:rPr>
                <w:color w:val="4A5568"/>
                <w:sz w:val="18"/>
                <w:szCs w:val="18"/>
              </w:rPr>
              <w:t>54</w:t>
            </w:r>
          </w:p>
        </w:tc>
        <w:tc>
          <w:tcPr>
            <w:tcW w:w="1400" w:type="dxa"/>
            <w:tcBorders>
              <w:top w:val="single" w:sz="1" w:space="0" w:color="DDDDDD"/>
              <w:left w:val="single" w:sz="1" w:space="0" w:color="DDDDDD"/>
              <w:bottom w:val="single" w:sz="1" w:space="0" w:color="DDDDDD"/>
              <w:right w:val="single" w:sz="1" w:space="0" w:color="DDDDDD"/>
            </w:tcBorders>
            <w:shd w:val="clear" w:color="auto" w:fill="F5F7FA"/>
            <w:tcMar>
              <w:top w:w="80" w:type="dxa"/>
              <w:left w:w="150" w:type="dxa"/>
              <w:bottom w:w="80" w:type="dxa"/>
              <w:right w:w="150" w:type="dxa"/>
            </w:tcMar>
          </w:tcPr>
          <w:p w:rsidR="00C72E85" w:rsidRDefault="00B63CA0">
            <w:pPr>
              <w:jc w:val="center"/>
            </w:pPr>
            <w:r>
              <w:rPr>
                <w:color w:val="4A5568"/>
                <w:sz w:val="18"/>
                <w:szCs w:val="18"/>
              </w:rPr>
              <w:t>21.6%</w:t>
            </w:r>
          </w:p>
        </w:tc>
        <w:tc>
          <w:tcPr>
            <w:tcW w:w="1800" w:type="dxa"/>
            <w:tcBorders>
              <w:top w:val="single" w:sz="1" w:space="0" w:color="DDDDDD"/>
              <w:left w:val="single" w:sz="1" w:space="0" w:color="DDDDDD"/>
              <w:bottom w:val="single" w:sz="1" w:space="0" w:color="DDDDDD"/>
              <w:right w:val="single" w:sz="1" w:space="0" w:color="DDDDDD"/>
            </w:tcBorders>
            <w:shd w:val="clear" w:color="auto" w:fill="F5F7FA"/>
            <w:tcMar>
              <w:top w:w="80" w:type="dxa"/>
              <w:left w:w="150" w:type="dxa"/>
              <w:bottom w:w="80" w:type="dxa"/>
              <w:right w:w="150" w:type="dxa"/>
            </w:tcMar>
          </w:tcPr>
          <w:p w:rsidR="00C72E85" w:rsidRDefault="00B63CA0">
            <w:pPr>
              <w:jc w:val="center"/>
            </w:pPr>
            <w:r>
              <w:rPr>
                <w:color w:val="4A5568"/>
                <w:sz w:val="18"/>
                <w:szCs w:val="18"/>
              </w:rPr>
              <w:t>$1,141</w:t>
            </w:r>
          </w:p>
        </w:tc>
        <w:tc>
          <w:tcPr>
            <w:tcW w:w="2960" w:type="dxa"/>
            <w:tcBorders>
              <w:top w:val="single" w:sz="1" w:space="0" w:color="DDDDDD"/>
              <w:left w:val="single" w:sz="1" w:space="0" w:color="DDDDDD"/>
              <w:bottom w:val="single" w:sz="1" w:space="0" w:color="DDDDDD"/>
              <w:right w:val="single" w:sz="1" w:space="0" w:color="DDDDDD"/>
            </w:tcBorders>
            <w:shd w:val="clear" w:color="auto" w:fill="F5F7FA"/>
            <w:tcMar>
              <w:top w:w="80" w:type="dxa"/>
              <w:left w:w="150" w:type="dxa"/>
              <w:bottom w:w="80" w:type="dxa"/>
              <w:right w:w="150" w:type="dxa"/>
            </w:tcMar>
          </w:tcPr>
          <w:p w:rsidR="00C72E85" w:rsidRDefault="00B63CA0">
            <w:pPr>
              <w:jc w:val="center"/>
            </w:pPr>
            <w:r>
              <w:rPr>
                <w:color w:val="4A5568"/>
                <w:sz w:val="18"/>
                <w:szCs w:val="18"/>
              </w:rPr>
              <w:t>Premium spender</w:t>
            </w:r>
          </w:p>
        </w:tc>
      </w:tr>
      <w:tr w:rsidR="00C72E85">
        <w:tblPrEx>
          <w:tblCellMar>
            <w:top w:w="0" w:type="dxa"/>
            <w:bottom w:w="0" w:type="dxa"/>
          </w:tblCellMar>
        </w:tblPrEx>
        <w:tc>
          <w:tcPr>
            <w:tcW w:w="20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50" w:type="dxa"/>
              <w:bottom w:w="80" w:type="dxa"/>
              <w:right w:w="150" w:type="dxa"/>
            </w:tcMar>
          </w:tcPr>
          <w:p w:rsidR="00C72E85" w:rsidRDefault="00B63CA0">
            <w:r>
              <w:rPr>
                <w:color w:val="4A5568"/>
                <w:sz w:val="18"/>
                <w:szCs w:val="18"/>
              </w:rPr>
              <w:t>Debit Card</w:t>
            </w:r>
          </w:p>
        </w:tc>
        <w:tc>
          <w:tcPr>
            <w:tcW w:w="12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50" w:type="dxa"/>
              <w:bottom w:w="80" w:type="dxa"/>
              <w:right w:w="150" w:type="dxa"/>
            </w:tcMar>
          </w:tcPr>
          <w:p w:rsidR="00C72E85" w:rsidRDefault="00B63CA0">
            <w:pPr>
              <w:jc w:val="center"/>
            </w:pPr>
            <w:r>
              <w:rPr>
                <w:color w:val="4A5568"/>
                <w:sz w:val="18"/>
                <w:szCs w:val="18"/>
              </w:rPr>
              <w:t>53</w:t>
            </w:r>
          </w:p>
        </w:tc>
        <w:tc>
          <w:tcPr>
            <w:tcW w:w="14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50" w:type="dxa"/>
              <w:bottom w:w="80" w:type="dxa"/>
              <w:right w:w="150" w:type="dxa"/>
            </w:tcMar>
          </w:tcPr>
          <w:p w:rsidR="00C72E85" w:rsidRDefault="00B63CA0">
            <w:pPr>
              <w:jc w:val="center"/>
            </w:pPr>
            <w:r>
              <w:rPr>
                <w:color w:val="4A5568"/>
                <w:sz w:val="18"/>
                <w:szCs w:val="18"/>
              </w:rPr>
              <w:t>21.2%</w:t>
            </w:r>
          </w:p>
        </w:tc>
        <w:tc>
          <w:tcPr>
            <w:tcW w:w="18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50" w:type="dxa"/>
              <w:bottom w:w="80" w:type="dxa"/>
              <w:right w:w="150" w:type="dxa"/>
            </w:tcMar>
          </w:tcPr>
          <w:p w:rsidR="00C72E85" w:rsidRDefault="00B63CA0">
            <w:pPr>
              <w:jc w:val="center"/>
            </w:pPr>
            <w:r>
              <w:rPr>
                <w:color w:val="4A5568"/>
                <w:sz w:val="18"/>
                <w:szCs w:val="18"/>
              </w:rPr>
              <w:t>$602</w:t>
            </w:r>
          </w:p>
        </w:tc>
        <w:tc>
          <w:tcPr>
            <w:tcW w:w="29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50" w:type="dxa"/>
              <w:bottom w:w="80" w:type="dxa"/>
              <w:right w:w="150" w:type="dxa"/>
            </w:tcMar>
          </w:tcPr>
          <w:p w:rsidR="00C72E85" w:rsidRDefault="00B63CA0">
            <w:pPr>
              <w:jc w:val="center"/>
            </w:pPr>
            <w:r>
              <w:rPr>
                <w:color w:val="4A5568"/>
                <w:sz w:val="18"/>
                <w:szCs w:val="18"/>
              </w:rPr>
              <w:t>Budget-conscious</w:t>
            </w:r>
          </w:p>
        </w:tc>
      </w:tr>
      <w:tr w:rsidR="00C72E85">
        <w:tblPrEx>
          <w:tblCellMar>
            <w:top w:w="0" w:type="dxa"/>
            <w:bottom w:w="0" w:type="dxa"/>
          </w:tblCellMar>
        </w:tblPrEx>
        <w:tc>
          <w:tcPr>
            <w:tcW w:w="2000" w:type="dxa"/>
            <w:tcBorders>
              <w:top w:val="single" w:sz="1" w:space="0" w:color="DDDDDD"/>
              <w:left w:val="single" w:sz="1" w:space="0" w:color="DDDDDD"/>
              <w:bottom w:val="single" w:sz="1" w:space="0" w:color="DDDDDD"/>
              <w:right w:val="single" w:sz="1" w:space="0" w:color="DDDDDD"/>
            </w:tcBorders>
            <w:shd w:val="clear" w:color="auto" w:fill="F5F7FA"/>
            <w:tcMar>
              <w:top w:w="80" w:type="dxa"/>
              <w:left w:w="150" w:type="dxa"/>
              <w:bottom w:w="80" w:type="dxa"/>
              <w:right w:w="150" w:type="dxa"/>
            </w:tcMar>
          </w:tcPr>
          <w:p w:rsidR="00C72E85" w:rsidRDefault="00B63CA0">
            <w:r>
              <w:rPr>
                <w:color w:val="4A5568"/>
                <w:sz w:val="18"/>
                <w:szCs w:val="18"/>
              </w:rPr>
              <w:t>Gift Card</w:t>
            </w:r>
          </w:p>
        </w:tc>
        <w:tc>
          <w:tcPr>
            <w:tcW w:w="1200" w:type="dxa"/>
            <w:tcBorders>
              <w:top w:val="single" w:sz="1" w:space="0" w:color="DDDDDD"/>
              <w:left w:val="single" w:sz="1" w:space="0" w:color="DDDDDD"/>
              <w:bottom w:val="single" w:sz="1" w:space="0" w:color="DDDDDD"/>
              <w:right w:val="single" w:sz="1" w:space="0" w:color="DDDDDD"/>
            </w:tcBorders>
            <w:shd w:val="clear" w:color="auto" w:fill="F5F7FA"/>
            <w:tcMar>
              <w:top w:w="80" w:type="dxa"/>
              <w:left w:w="150" w:type="dxa"/>
              <w:bottom w:w="80" w:type="dxa"/>
              <w:right w:w="150" w:type="dxa"/>
            </w:tcMar>
          </w:tcPr>
          <w:p w:rsidR="00C72E85" w:rsidRDefault="00B63CA0">
            <w:pPr>
              <w:jc w:val="center"/>
            </w:pPr>
            <w:r>
              <w:rPr>
                <w:color w:val="4A5568"/>
                <w:sz w:val="18"/>
                <w:szCs w:val="18"/>
              </w:rPr>
              <w:t>42</w:t>
            </w:r>
          </w:p>
        </w:tc>
        <w:tc>
          <w:tcPr>
            <w:tcW w:w="1400" w:type="dxa"/>
            <w:tcBorders>
              <w:top w:val="single" w:sz="1" w:space="0" w:color="DDDDDD"/>
              <w:left w:val="single" w:sz="1" w:space="0" w:color="DDDDDD"/>
              <w:bottom w:val="single" w:sz="1" w:space="0" w:color="DDDDDD"/>
              <w:right w:val="single" w:sz="1" w:space="0" w:color="DDDDDD"/>
            </w:tcBorders>
            <w:shd w:val="clear" w:color="auto" w:fill="F5F7FA"/>
            <w:tcMar>
              <w:top w:w="80" w:type="dxa"/>
              <w:left w:w="150" w:type="dxa"/>
              <w:bottom w:w="80" w:type="dxa"/>
              <w:right w:w="150" w:type="dxa"/>
            </w:tcMar>
          </w:tcPr>
          <w:p w:rsidR="00C72E85" w:rsidRDefault="00B63CA0">
            <w:pPr>
              <w:jc w:val="center"/>
            </w:pPr>
            <w:r>
              <w:rPr>
                <w:color w:val="4A5568"/>
                <w:sz w:val="18"/>
                <w:szCs w:val="18"/>
              </w:rPr>
              <w:t>16.8%</w:t>
            </w:r>
          </w:p>
        </w:tc>
        <w:tc>
          <w:tcPr>
            <w:tcW w:w="1800" w:type="dxa"/>
            <w:tcBorders>
              <w:top w:val="single" w:sz="1" w:space="0" w:color="DDDDDD"/>
              <w:left w:val="single" w:sz="1" w:space="0" w:color="DDDDDD"/>
              <w:bottom w:val="single" w:sz="1" w:space="0" w:color="DDDDDD"/>
              <w:right w:val="single" w:sz="1" w:space="0" w:color="DDDDDD"/>
            </w:tcBorders>
            <w:shd w:val="clear" w:color="auto" w:fill="F5F7FA"/>
            <w:tcMar>
              <w:top w:w="80" w:type="dxa"/>
              <w:left w:w="150" w:type="dxa"/>
              <w:bottom w:w="80" w:type="dxa"/>
              <w:right w:w="150" w:type="dxa"/>
            </w:tcMar>
          </w:tcPr>
          <w:p w:rsidR="00C72E85" w:rsidRDefault="00B63CA0">
            <w:pPr>
              <w:jc w:val="center"/>
            </w:pPr>
            <w:r>
              <w:rPr>
                <w:color w:val="4A5568"/>
                <w:sz w:val="18"/>
                <w:szCs w:val="18"/>
              </w:rPr>
              <w:t>$1,142</w:t>
            </w:r>
          </w:p>
        </w:tc>
        <w:tc>
          <w:tcPr>
            <w:tcW w:w="2960" w:type="dxa"/>
            <w:tcBorders>
              <w:top w:val="single" w:sz="1" w:space="0" w:color="DDDDDD"/>
              <w:left w:val="single" w:sz="1" w:space="0" w:color="DDDDDD"/>
              <w:bottom w:val="single" w:sz="1" w:space="0" w:color="DDDDDD"/>
              <w:right w:val="single" w:sz="1" w:space="0" w:color="DDDDDD"/>
            </w:tcBorders>
            <w:shd w:val="clear" w:color="auto" w:fill="F5F7FA"/>
            <w:tcMar>
              <w:top w:w="80" w:type="dxa"/>
              <w:left w:w="150" w:type="dxa"/>
              <w:bottom w:w="80" w:type="dxa"/>
              <w:right w:w="150" w:type="dxa"/>
            </w:tcMar>
          </w:tcPr>
          <w:p w:rsidR="00C72E85" w:rsidRDefault="00B63CA0">
            <w:pPr>
              <w:jc w:val="center"/>
            </w:pPr>
            <w:r>
              <w:rPr>
                <w:color w:val="4A5568"/>
                <w:sz w:val="18"/>
                <w:szCs w:val="18"/>
              </w:rPr>
              <w:t>Gifting, premium items</w:t>
            </w:r>
          </w:p>
        </w:tc>
      </w:tr>
      <w:tr w:rsidR="00C72E85">
        <w:tblPrEx>
          <w:tblCellMar>
            <w:top w:w="0" w:type="dxa"/>
            <w:bottom w:w="0" w:type="dxa"/>
          </w:tblCellMar>
        </w:tblPrEx>
        <w:tc>
          <w:tcPr>
            <w:tcW w:w="20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50" w:type="dxa"/>
              <w:bottom w:w="80" w:type="dxa"/>
              <w:right w:w="150" w:type="dxa"/>
            </w:tcMar>
          </w:tcPr>
          <w:p w:rsidR="00C72E85" w:rsidRDefault="00B63CA0">
            <w:r>
              <w:rPr>
                <w:color w:val="4A5568"/>
                <w:sz w:val="18"/>
                <w:szCs w:val="18"/>
              </w:rPr>
              <w:t>Amazon Pay</w:t>
            </w:r>
          </w:p>
        </w:tc>
        <w:tc>
          <w:tcPr>
            <w:tcW w:w="12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50" w:type="dxa"/>
              <w:bottom w:w="80" w:type="dxa"/>
              <w:right w:w="150" w:type="dxa"/>
            </w:tcMar>
          </w:tcPr>
          <w:p w:rsidR="00C72E85" w:rsidRDefault="00B63CA0">
            <w:pPr>
              <w:jc w:val="center"/>
            </w:pPr>
            <w:r>
              <w:rPr>
                <w:color w:val="4A5568"/>
                <w:sz w:val="18"/>
                <w:szCs w:val="18"/>
              </w:rPr>
              <w:t>41</w:t>
            </w:r>
          </w:p>
        </w:tc>
        <w:tc>
          <w:tcPr>
            <w:tcW w:w="14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50" w:type="dxa"/>
              <w:bottom w:w="80" w:type="dxa"/>
              <w:right w:w="150" w:type="dxa"/>
            </w:tcMar>
          </w:tcPr>
          <w:p w:rsidR="00C72E85" w:rsidRDefault="00B63CA0">
            <w:pPr>
              <w:jc w:val="center"/>
            </w:pPr>
            <w:r>
              <w:rPr>
                <w:color w:val="4A5568"/>
                <w:sz w:val="18"/>
                <w:szCs w:val="18"/>
              </w:rPr>
              <w:t>16.4%</w:t>
            </w:r>
          </w:p>
        </w:tc>
        <w:tc>
          <w:tcPr>
            <w:tcW w:w="18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50" w:type="dxa"/>
              <w:bottom w:w="80" w:type="dxa"/>
              <w:right w:w="150" w:type="dxa"/>
            </w:tcMar>
          </w:tcPr>
          <w:p w:rsidR="00C72E85" w:rsidRDefault="00B63CA0">
            <w:pPr>
              <w:jc w:val="center"/>
            </w:pPr>
            <w:r>
              <w:rPr>
                <w:color w:val="4A5568"/>
                <w:sz w:val="18"/>
                <w:szCs w:val="18"/>
              </w:rPr>
              <w:t>$799</w:t>
            </w:r>
          </w:p>
        </w:tc>
        <w:tc>
          <w:tcPr>
            <w:tcW w:w="29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50" w:type="dxa"/>
              <w:bottom w:w="80" w:type="dxa"/>
              <w:right w:w="150" w:type="dxa"/>
            </w:tcMar>
          </w:tcPr>
          <w:p w:rsidR="00C72E85" w:rsidRDefault="00B63CA0">
            <w:pPr>
              <w:jc w:val="center"/>
            </w:pPr>
            <w:r>
              <w:rPr>
                <w:color w:val="4A5568"/>
                <w:sz w:val="18"/>
                <w:szCs w:val="18"/>
              </w:rPr>
              <w:t>Ecosystem-loyal</w:t>
            </w:r>
          </w:p>
        </w:tc>
      </w:tr>
    </w:tbl>
    <w:p w:rsidR="00C72E85" w:rsidRDefault="00C72E85">
      <w:pPr>
        <w:spacing w:before="120"/>
      </w:pPr>
    </w:p>
    <w:p w:rsidR="00C72E85" w:rsidRDefault="00B63CA0">
      <w:pPr>
        <w:pStyle w:val="Heading2"/>
      </w:pPr>
      <w:r>
        <w:t>Key Findings</w:t>
      </w:r>
    </w:p>
    <w:p w:rsidR="00C72E85" w:rsidRDefault="00B63CA0">
      <w:pPr>
        <w:pStyle w:val="ListParagraph"/>
        <w:numPr>
          <w:ilvl w:val="0"/>
          <w:numId w:val="2"/>
        </w:numPr>
        <w:spacing w:before="60" w:after="60"/>
      </w:pPr>
      <w:r>
        <w:rPr>
          <w:color w:val="4A5568"/>
        </w:rPr>
        <w:t>PayPal is the most preferred payment method with 60 orders (24%), and also commands the highest average order value of $1,161.</w:t>
      </w:r>
    </w:p>
    <w:p w:rsidR="00C72E85" w:rsidRDefault="00B63CA0">
      <w:pPr>
        <w:pStyle w:val="ListParagraph"/>
        <w:numPr>
          <w:ilvl w:val="0"/>
          <w:numId w:val="2"/>
        </w:numPr>
        <w:spacing w:before="60" w:after="60"/>
      </w:pPr>
      <w:r>
        <w:rPr>
          <w:color w:val="4A5568"/>
        </w:rPr>
        <w:t>Credit Card and Gift Card buyers spend approximately the same per order (~$1,141), suggesting these users target similar premium product segments.</w:t>
      </w:r>
    </w:p>
    <w:p w:rsidR="00C72E85" w:rsidRDefault="00B63CA0">
      <w:pPr>
        <w:pStyle w:val="ListParagraph"/>
        <w:numPr>
          <w:ilvl w:val="0"/>
          <w:numId w:val="2"/>
        </w:numPr>
        <w:spacing w:before="60" w:after="60"/>
      </w:pPr>
      <w:r>
        <w:rPr>
          <w:color w:val="4A5568"/>
        </w:rPr>
        <w:t>Debit Card users average only $602 per order — 38% below the overall average — indicating they prefer lower-p</w:t>
      </w:r>
      <w:r>
        <w:rPr>
          <w:color w:val="4A5568"/>
        </w:rPr>
        <w:t>riced items. Targeted promotions for this group could increase basket size.</w:t>
      </w:r>
    </w:p>
    <w:p w:rsidR="00C72E85" w:rsidRDefault="00B63CA0">
      <w:pPr>
        <w:pStyle w:val="ListParagraph"/>
        <w:numPr>
          <w:ilvl w:val="0"/>
          <w:numId w:val="2"/>
        </w:numPr>
        <w:spacing w:before="60" w:after="60"/>
      </w:pPr>
      <w:r>
        <w:rPr>
          <w:color w:val="4A5568"/>
        </w:rPr>
        <w:t>Amazon Pay, despite being a native platform solution, ranks last in adoption (41 orders). A push to increase Amazon Pay usage could strengthen ecosystem lock-in and reduce processi</w:t>
      </w:r>
      <w:r>
        <w:rPr>
          <w:color w:val="4A5568"/>
        </w:rPr>
        <w:t>ng fees.</w:t>
      </w:r>
    </w:p>
    <w:p w:rsidR="00C72E85" w:rsidRDefault="00C72E85">
      <w:pPr>
        <w:spacing w:before="120"/>
      </w:pPr>
    </w:p>
    <w:p w:rsidR="00C72E85" w:rsidRDefault="00C72E85">
      <w:pPr>
        <w:pBdr>
          <w:bottom w:val="single" w:sz="2" w:space="1" w:color="E8ECF0"/>
        </w:pBdr>
        <w:spacing w:before="160" w:after="160"/>
      </w:pPr>
    </w:p>
    <w:p w:rsidR="00C72E85" w:rsidRDefault="00B63CA0">
      <w:pPr>
        <w:pStyle w:val="Heading1"/>
        <w:pBdr>
          <w:bottom w:val="single" w:sz="4" w:space="6" w:color="2E7BC4"/>
        </w:pBdr>
      </w:pPr>
      <w:r>
        <w:t>5. Geographic Sales Analysis</w:t>
      </w:r>
    </w:p>
    <w:p w:rsidR="00C72E85" w:rsidRDefault="00B63CA0">
      <w:pPr>
        <w:spacing w:before="80" w:after="80"/>
      </w:pPr>
      <w:r>
        <w:rPr>
          <w:color w:val="4A5568"/>
        </w:rPr>
        <w:lastRenderedPageBreak/>
        <w:t>Sales data spans 10 U.S. cities. The top 5 locations account for the lion's share of revenue, with Miami emerging as the highest-grossing city. Notably, Seattle buyers spend the most per order despite placing fewer orders — a hallmark of a high-value, low-</w:t>
      </w:r>
      <w:r>
        <w:rPr>
          <w:color w:val="4A5568"/>
        </w:rPr>
        <w:t>frequency customer base.</w:t>
      </w:r>
    </w:p>
    <w:p w:rsidR="00C72E85" w:rsidRDefault="00C72E85">
      <w:pPr>
        <w:spacing w:before="80"/>
      </w:pPr>
    </w:p>
    <w:p w:rsidR="00C72E85" w:rsidRDefault="00D20CA7">
      <w:pPr>
        <w:spacing w:before="120" w:after="60"/>
        <w:jc w:val="center"/>
      </w:pPr>
      <w:r>
        <w:rPr>
          <w:noProof/>
        </w:rPr>
        <w:drawing>
          <wp:inline distT="0" distB="0" distL="0" distR="0">
            <wp:extent cx="6172200" cy="4285615"/>
            <wp:effectExtent l="0" t="0" r="0" b="63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g4.png"/>
                    <pic:cNvPicPr/>
                  </pic:nvPicPr>
                  <pic:blipFill>
                    <a:blip r:embed="rId10">
                      <a:extLst>
                        <a:ext uri="{28A0092B-C50C-407E-A947-70E740481C1C}">
                          <a14:useLocalDpi xmlns:a14="http://schemas.microsoft.com/office/drawing/2010/main" val="0"/>
                        </a:ext>
                      </a:extLst>
                    </a:blip>
                    <a:stretch>
                      <a:fillRect/>
                    </a:stretch>
                  </pic:blipFill>
                  <pic:spPr>
                    <a:xfrm>
                      <a:off x="0" y="0"/>
                      <a:ext cx="6172200" cy="4285615"/>
                    </a:xfrm>
                    <a:prstGeom prst="rect">
                      <a:avLst/>
                    </a:prstGeom>
                  </pic:spPr>
                </pic:pic>
              </a:graphicData>
            </a:graphic>
          </wp:inline>
        </w:drawing>
      </w:r>
    </w:p>
    <w:p w:rsidR="00C72E85" w:rsidRDefault="00B63CA0">
      <w:pPr>
        <w:spacing w:after="160"/>
        <w:jc w:val="center"/>
      </w:pPr>
      <w:r>
        <w:rPr>
          <w:i/>
          <w:iCs/>
          <w:color w:val="888888"/>
          <w:sz w:val="16"/>
          <w:szCs w:val="16"/>
        </w:rPr>
        <w:t>Figure 4: Top 5 Cities by Total Sales Revenue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1500"/>
        <w:gridCol w:w="1600"/>
        <w:gridCol w:w="1200"/>
        <w:gridCol w:w="1800"/>
        <w:gridCol w:w="2460"/>
      </w:tblGrid>
      <w:tr w:rsidR="00C72E85">
        <w:tblPrEx>
          <w:tblCellMar>
            <w:top w:w="0" w:type="dxa"/>
            <w:bottom w:w="0" w:type="dxa"/>
          </w:tblCellMar>
        </w:tblPrEx>
        <w:trPr>
          <w:tblHeader/>
        </w:trPr>
        <w:tc>
          <w:tcPr>
            <w:tcW w:w="800" w:type="dxa"/>
            <w:tcBorders>
              <w:top w:val="single" w:sz="1" w:space="0" w:color="DDDDDD"/>
              <w:left w:val="single" w:sz="1" w:space="0" w:color="DDDDDD"/>
              <w:bottom w:val="single" w:sz="1" w:space="0" w:color="DDDDDD"/>
              <w:right w:val="single" w:sz="1" w:space="0" w:color="DDDDDD"/>
            </w:tcBorders>
            <w:shd w:val="clear" w:color="auto" w:fill="1A3C6E"/>
            <w:tcMar>
              <w:top w:w="100" w:type="dxa"/>
              <w:left w:w="150" w:type="dxa"/>
              <w:bottom w:w="100" w:type="dxa"/>
              <w:right w:w="150" w:type="dxa"/>
            </w:tcMar>
          </w:tcPr>
          <w:p w:rsidR="00C72E85" w:rsidRDefault="00B63CA0">
            <w:pPr>
              <w:jc w:val="center"/>
            </w:pPr>
            <w:r>
              <w:rPr>
                <w:b/>
                <w:bCs/>
                <w:color w:val="FFFFFF"/>
                <w:sz w:val="18"/>
                <w:szCs w:val="18"/>
              </w:rPr>
              <w:t>Rank</w:t>
            </w:r>
          </w:p>
        </w:tc>
        <w:tc>
          <w:tcPr>
            <w:tcW w:w="1500" w:type="dxa"/>
            <w:tcBorders>
              <w:top w:val="single" w:sz="1" w:space="0" w:color="DDDDDD"/>
              <w:left w:val="single" w:sz="1" w:space="0" w:color="DDDDDD"/>
              <w:bottom w:val="single" w:sz="1" w:space="0" w:color="DDDDDD"/>
              <w:right w:val="single" w:sz="1" w:space="0" w:color="DDDDDD"/>
            </w:tcBorders>
            <w:shd w:val="clear" w:color="auto" w:fill="1A3C6E"/>
            <w:tcMar>
              <w:top w:w="100" w:type="dxa"/>
              <w:left w:w="150" w:type="dxa"/>
              <w:bottom w:w="100" w:type="dxa"/>
              <w:right w:w="150" w:type="dxa"/>
            </w:tcMar>
          </w:tcPr>
          <w:p w:rsidR="00C72E85" w:rsidRDefault="00B63CA0">
            <w:pPr>
              <w:jc w:val="center"/>
            </w:pPr>
            <w:r>
              <w:rPr>
                <w:b/>
                <w:bCs/>
                <w:color w:val="FFFFFF"/>
                <w:sz w:val="18"/>
                <w:szCs w:val="18"/>
              </w:rPr>
              <w:t>City</w:t>
            </w:r>
          </w:p>
        </w:tc>
        <w:tc>
          <w:tcPr>
            <w:tcW w:w="1600" w:type="dxa"/>
            <w:tcBorders>
              <w:top w:val="single" w:sz="1" w:space="0" w:color="DDDDDD"/>
              <w:left w:val="single" w:sz="1" w:space="0" w:color="DDDDDD"/>
              <w:bottom w:val="single" w:sz="1" w:space="0" w:color="DDDDDD"/>
              <w:right w:val="single" w:sz="1" w:space="0" w:color="DDDDDD"/>
            </w:tcBorders>
            <w:shd w:val="clear" w:color="auto" w:fill="1A3C6E"/>
            <w:tcMar>
              <w:top w:w="100" w:type="dxa"/>
              <w:left w:w="150" w:type="dxa"/>
              <w:bottom w:w="100" w:type="dxa"/>
              <w:right w:w="150" w:type="dxa"/>
            </w:tcMar>
          </w:tcPr>
          <w:p w:rsidR="00C72E85" w:rsidRDefault="00B63CA0">
            <w:pPr>
              <w:jc w:val="center"/>
            </w:pPr>
            <w:r>
              <w:rPr>
                <w:b/>
                <w:bCs/>
                <w:color w:val="FFFFFF"/>
                <w:sz w:val="18"/>
                <w:szCs w:val="18"/>
              </w:rPr>
              <w:t>Total Sales</w:t>
            </w:r>
          </w:p>
        </w:tc>
        <w:tc>
          <w:tcPr>
            <w:tcW w:w="1200" w:type="dxa"/>
            <w:tcBorders>
              <w:top w:val="single" w:sz="1" w:space="0" w:color="DDDDDD"/>
              <w:left w:val="single" w:sz="1" w:space="0" w:color="DDDDDD"/>
              <w:bottom w:val="single" w:sz="1" w:space="0" w:color="DDDDDD"/>
              <w:right w:val="single" w:sz="1" w:space="0" w:color="DDDDDD"/>
            </w:tcBorders>
            <w:shd w:val="clear" w:color="auto" w:fill="1A3C6E"/>
            <w:tcMar>
              <w:top w:w="100" w:type="dxa"/>
              <w:left w:w="150" w:type="dxa"/>
              <w:bottom w:w="100" w:type="dxa"/>
              <w:right w:w="150" w:type="dxa"/>
            </w:tcMar>
          </w:tcPr>
          <w:p w:rsidR="00C72E85" w:rsidRDefault="00B63CA0">
            <w:pPr>
              <w:jc w:val="center"/>
            </w:pPr>
            <w:r>
              <w:rPr>
                <w:b/>
                <w:bCs/>
                <w:color w:val="FFFFFF"/>
                <w:sz w:val="18"/>
                <w:szCs w:val="18"/>
              </w:rPr>
              <w:t>Orders</w:t>
            </w:r>
          </w:p>
        </w:tc>
        <w:tc>
          <w:tcPr>
            <w:tcW w:w="1800" w:type="dxa"/>
            <w:tcBorders>
              <w:top w:val="single" w:sz="1" w:space="0" w:color="DDDDDD"/>
              <w:left w:val="single" w:sz="1" w:space="0" w:color="DDDDDD"/>
              <w:bottom w:val="single" w:sz="1" w:space="0" w:color="DDDDDD"/>
              <w:right w:val="single" w:sz="1" w:space="0" w:color="DDDDDD"/>
            </w:tcBorders>
            <w:shd w:val="clear" w:color="auto" w:fill="1A3C6E"/>
            <w:tcMar>
              <w:top w:w="100" w:type="dxa"/>
              <w:left w:w="150" w:type="dxa"/>
              <w:bottom w:w="100" w:type="dxa"/>
              <w:right w:w="150" w:type="dxa"/>
            </w:tcMar>
          </w:tcPr>
          <w:p w:rsidR="00C72E85" w:rsidRDefault="00B63CA0">
            <w:pPr>
              <w:jc w:val="center"/>
            </w:pPr>
            <w:r>
              <w:rPr>
                <w:b/>
                <w:bCs/>
                <w:color w:val="FFFFFF"/>
                <w:sz w:val="18"/>
                <w:szCs w:val="18"/>
              </w:rPr>
              <w:t>Avg Order Value</w:t>
            </w:r>
          </w:p>
        </w:tc>
        <w:tc>
          <w:tcPr>
            <w:tcW w:w="2460" w:type="dxa"/>
            <w:tcBorders>
              <w:top w:val="single" w:sz="1" w:space="0" w:color="DDDDDD"/>
              <w:left w:val="single" w:sz="1" w:space="0" w:color="DDDDDD"/>
              <w:bottom w:val="single" w:sz="1" w:space="0" w:color="DDDDDD"/>
              <w:right w:val="single" w:sz="1" w:space="0" w:color="DDDDDD"/>
            </w:tcBorders>
            <w:shd w:val="clear" w:color="auto" w:fill="1A3C6E"/>
            <w:tcMar>
              <w:top w:w="100" w:type="dxa"/>
              <w:left w:w="150" w:type="dxa"/>
              <w:bottom w:w="100" w:type="dxa"/>
              <w:right w:w="150" w:type="dxa"/>
            </w:tcMar>
          </w:tcPr>
          <w:p w:rsidR="00C72E85" w:rsidRDefault="00B63CA0">
            <w:pPr>
              <w:jc w:val="center"/>
            </w:pPr>
            <w:r>
              <w:rPr>
                <w:b/>
                <w:bCs/>
                <w:color w:val="FFFFFF"/>
                <w:sz w:val="18"/>
                <w:szCs w:val="18"/>
              </w:rPr>
              <w:t>Market Type</w:t>
            </w:r>
          </w:p>
        </w:tc>
      </w:tr>
      <w:tr w:rsidR="00C72E85">
        <w:tblPrEx>
          <w:tblCellMar>
            <w:top w:w="0" w:type="dxa"/>
            <w:bottom w:w="0" w:type="dxa"/>
          </w:tblCellMar>
        </w:tblPrEx>
        <w:tc>
          <w:tcPr>
            <w:tcW w:w="8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50" w:type="dxa"/>
              <w:bottom w:w="80" w:type="dxa"/>
              <w:right w:w="150" w:type="dxa"/>
            </w:tcMar>
          </w:tcPr>
          <w:p w:rsidR="00C72E85" w:rsidRDefault="00B63CA0">
            <w:r>
              <w:rPr>
                <w:color w:val="4A5568"/>
                <w:sz w:val="18"/>
                <w:szCs w:val="18"/>
              </w:rPr>
              <w:t>1</w:t>
            </w:r>
          </w:p>
        </w:tc>
        <w:tc>
          <w:tcPr>
            <w:tcW w:w="15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50" w:type="dxa"/>
              <w:bottom w:w="80" w:type="dxa"/>
              <w:right w:w="150" w:type="dxa"/>
            </w:tcMar>
          </w:tcPr>
          <w:p w:rsidR="00C72E85" w:rsidRDefault="00B63CA0">
            <w:pPr>
              <w:jc w:val="center"/>
            </w:pPr>
            <w:r>
              <w:rPr>
                <w:color w:val="4A5568"/>
                <w:sz w:val="18"/>
                <w:szCs w:val="18"/>
              </w:rPr>
              <w:t>Miami</w:t>
            </w:r>
          </w:p>
        </w:tc>
        <w:tc>
          <w:tcPr>
            <w:tcW w:w="16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50" w:type="dxa"/>
              <w:bottom w:w="80" w:type="dxa"/>
              <w:right w:w="150" w:type="dxa"/>
            </w:tcMar>
          </w:tcPr>
          <w:p w:rsidR="00C72E85" w:rsidRDefault="00B63CA0">
            <w:pPr>
              <w:jc w:val="center"/>
            </w:pPr>
            <w:r>
              <w:rPr>
                <w:color w:val="4A5568"/>
                <w:sz w:val="18"/>
                <w:szCs w:val="18"/>
              </w:rPr>
              <w:t>$31,700</w:t>
            </w:r>
          </w:p>
        </w:tc>
        <w:tc>
          <w:tcPr>
            <w:tcW w:w="12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50" w:type="dxa"/>
              <w:bottom w:w="80" w:type="dxa"/>
              <w:right w:w="150" w:type="dxa"/>
            </w:tcMar>
          </w:tcPr>
          <w:p w:rsidR="00C72E85" w:rsidRDefault="00B63CA0">
            <w:pPr>
              <w:jc w:val="center"/>
            </w:pPr>
            <w:r>
              <w:rPr>
                <w:color w:val="4A5568"/>
                <w:sz w:val="18"/>
                <w:szCs w:val="18"/>
              </w:rPr>
              <w:t>31</w:t>
            </w:r>
          </w:p>
        </w:tc>
        <w:tc>
          <w:tcPr>
            <w:tcW w:w="18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50" w:type="dxa"/>
              <w:bottom w:w="80" w:type="dxa"/>
              <w:right w:w="150" w:type="dxa"/>
            </w:tcMar>
          </w:tcPr>
          <w:p w:rsidR="00C72E85" w:rsidRDefault="00B63CA0">
            <w:pPr>
              <w:jc w:val="center"/>
            </w:pPr>
            <w:r>
              <w:rPr>
                <w:color w:val="4A5568"/>
                <w:sz w:val="18"/>
                <w:szCs w:val="18"/>
              </w:rPr>
              <w:t>$1,023</w:t>
            </w:r>
          </w:p>
        </w:tc>
        <w:tc>
          <w:tcPr>
            <w:tcW w:w="24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50" w:type="dxa"/>
              <w:bottom w:w="80" w:type="dxa"/>
              <w:right w:w="150" w:type="dxa"/>
            </w:tcMar>
          </w:tcPr>
          <w:p w:rsidR="00C72E85" w:rsidRDefault="00B63CA0">
            <w:pPr>
              <w:jc w:val="center"/>
            </w:pPr>
            <w:r>
              <w:rPr>
                <w:color w:val="4A5568"/>
                <w:sz w:val="18"/>
                <w:szCs w:val="18"/>
              </w:rPr>
              <w:t>High volume + value</w:t>
            </w:r>
          </w:p>
        </w:tc>
      </w:tr>
      <w:tr w:rsidR="00C72E85">
        <w:tblPrEx>
          <w:tblCellMar>
            <w:top w:w="0" w:type="dxa"/>
            <w:bottom w:w="0" w:type="dxa"/>
          </w:tblCellMar>
        </w:tblPrEx>
        <w:tc>
          <w:tcPr>
            <w:tcW w:w="800" w:type="dxa"/>
            <w:tcBorders>
              <w:top w:val="single" w:sz="1" w:space="0" w:color="DDDDDD"/>
              <w:left w:val="single" w:sz="1" w:space="0" w:color="DDDDDD"/>
              <w:bottom w:val="single" w:sz="1" w:space="0" w:color="DDDDDD"/>
              <w:right w:val="single" w:sz="1" w:space="0" w:color="DDDDDD"/>
            </w:tcBorders>
            <w:shd w:val="clear" w:color="auto" w:fill="F5F7FA"/>
            <w:tcMar>
              <w:top w:w="80" w:type="dxa"/>
              <w:left w:w="150" w:type="dxa"/>
              <w:bottom w:w="80" w:type="dxa"/>
              <w:right w:w="150" w:type="dxa"/>
            </w:tcMar>
          </w:tcPr>
          <w:p w:rsidR="00C72E85" w:rsidRDefault="00B63CA0">
            <w:r>
              <w:rPr>
                <w:color w:val="4A5568"/>
                <w:sz w:val="18"/>
                <w:szCs w:val="18"/>
              </w:rPr>
              <w:t>2</w:t>
            </w:r>
          </w:p>
        </w:tc>
        <w:tc>
          <w:tcPr>
            <w:tcW w:w="1500" w:type="dxa"/>
            <w:tcBorders>
              <w:top w:val="single" w:sz="1" w:space="0" w:color="DDDDDD"/>
              <w:left w:val="single" w:sz="1" w:space="0" w:color="DDDDDD"/>
              <w:bottom w:val="single" w:sz="1" w:space="0" w:color="DDDDDD"/>
              <w:right w:val="single" w:sz="1" w:space="0" w:color="DDDDDD"/>
            </w:tcBorders>
            <w:shd w:val="clear" w:color="auto" w:fill="F5F7FA"/>
            <w:tcMar>
              <w:top w:w="80" w:type="dxa"/>
              <w:left w:w="150" w:type="dxa"/>
              <w:bottom w:w="80" w:type="dxa"/>
              <w:right w:w="150" w:type="dxa"/>
            </w:tcMar>
          </w:tcPr>
          <w:p w:rsidR="00C72E85" w:rsidRDefault="00B63CA0">
            <w:pPr>
              <w:jc w:val="center"/>
            </w:pPr>
            <w:r>
              <w:rPr>
                <w:color w:val="4A5568"/>
                <w:sz w:val="18"/>
                <w:szCs w:val="18"/>
              </w:rPr>
              <w:t>Denver</w:t>
            </w:r>
          </w:p>
        </w:tc>
        <w:tc>
          <w:tcPr>
            <w:tcW w:w="1600" w:type="dxa"/>
            <w:tcBorders>
              <w:top w:val="single" w:sz="1" w:space="0" w:color="DDDDDD"/>
              <w:left w:val="single" w:sz="1" w:space="0" w:color="DDDDDD"/>
              <w:bottom w:val="single" w:sz="1" w:space="0" w:color="DDDDDD"/>
              <w:right w:val="single" w:sz="1" w:space="0" w:color="DDDDDD"/>
            </w:tcBorders>
            <w:shd w:val="clear" w:color="auto" w:fill="F5F7FA"/>
            <w:tcMar>
              <w:top w:w="80" w:type="dxa"/>
              <w:left w:w="150" w:type="dxa"/>
              <w:bottom w:w="80" w:type="dxa"/>
              <w:right w:w="150" w:type="dxa"/>
            </w:tcMar>
          </w:tcPr>
          <w:p w:rsidR="00C72E85" w:rsidRDefault="00B63CA0">
            <w:pPr>
              <w:jc w:val="center"/>
            </w:pPr>
            <w:r>
              <w:rPr>
                <w:color w:val="4A5568"/>
                <w:sz w:val="18"/>
                <w:szCs w:val="18"/>
              </w:rPr>
              <w:t>$29,785</w:t>
            </w:r>
          </w:p>
        </w:tc>
        <w:tc>
          <w:tcPr>
            <w:tcW w:w="1200" w:type="dxa"/>
            <w:tcBorders>
              <w:top w:val="single" w:sz="1" w:space="0" w:color="DDDDDD"/>
              <w:left w:val="single" w:sz="1" w:space="0" w:color="DDDDDD"/>
              <w:bottom w:val="single" w:sz="1" w:space="0" w:color="DDDDDD"/>
              <w:right w:val="single" w:sz="1" w:space="0" w:color="DDDDDD"/>
            </w:tcBorders>
            <w:shd w:val="clear" w:color="auto" w:fill="F5F7FA"/>
            <w:tcMar>
              <w:top w:w="80" w:type="dxa"/>
              <w:left w:w="150" w:type="dxa"/>
              <w:bottom w:w="80" w:type="dxa"/>
              <w:right w:w="150" w:type="dxa"/>
            </w:tcMar>
          </w:tcPr>
          <w:p w:rsidR="00C72E85" w:rsidRDefault="00B63CA0">
            <w:pPr>
              <w:jc w:val="center"/>
            </w:pPr>
            <w:r>
              <w:rPr>
                <w:color w:val="4A5568"/>
                <w:sz w:val="18"/>
                <w:szCs w:val="18"/>
              </w:rPr>
              <w:t>26</w:t>
            </w:r>
          </w:p>
        </w:tc>
        <w:tc>
          <w:tcPr>
            <w:tcW w:w="1800" w:type="dxa"/>
            <w:tcBorders>
              <w:top w:val="single" w:sz="1" w:space="0" w:color="DDDDDD"/>
              <w:left w:val="single" w:sz="1" w:space="0" w:color="DDDDDD"/>
              <w:bottom w:val="single" w:sz="1" w:space="0" w:color="DDDDDD"/>
              <w:right w:val="single" w:sz="1" w:space="0" w:color="DDDDDD"/>
            </w:tcBorders>
            <w:shd w:val="clear" w:color="auto" w:fill="F5F7FA"/>
            <w:tcMar>
              <w:top w:w="80" w:type="dxa"/>
              <w:left w:w="150" w:type="dxa"/>
              <w:bottom w:w="80" w:type="dxa"/>
              <w:right w:w="150" w:type="dxa"/>
            </w:tcMar>
          </w:tcPr>
          <w:p w:rsidR="00C72E85" w:rsidRDefault="00B63CA0">
            <w:pPr>
              <w:jc w:val="center"/>
            </w:pPr>
            <w:r>
              <w:rPr>
                <w:color w:val="4A5568"/>
                <w:sz w:val="18"/>
                <w:szCs w:val="18"/>
              </w:rPr>
              <w:t>$1,145</w:t>
            </w:r>
          </w:p>
        </w:tc>
        <w:tc>
          <w:tcPr>
            <w:tcW w:w="2460" w:type="dxa"/>
            <w:tcBorders>
              <w:top w:val="single" w:sz="1" w:space="0" w:color="DDDDDD"/>
              <w:left w:val="single" w:sz="1" w:space="0" w:color="DDDDDD"/>
              <w:bottom w:val="single" w:sz="1" w:space="0" w:color="DDDDDD"/>
              <w:right w:val="single" w:sz="1" w:space="0" w:color="DDDDDD"/>
            </w:tcBorders>
            <w:shd w:val="clear" w:color="auto" w:fill="F5F7FA"/>
            <w:tcMar>
              <w:top w:w="80" w:type="dxa"/>
              <w:left w:w="150" w:type="dxa"/>
              <w:bottom w:w="80" w:type="dxa"/>
              <w:right w:w="150" w:type="dxa"/>
            </w:tcMar>
          </w:tcPr>
          <w:p w:rsidR="00C72E85" w:rsidRDefault="00B63CA0">
            <w:pPr>
              <w:jc w:val="center"/>
            </w:pPr>
            <w:r>
              <w:rPr>
                <w:color w:val="4A5568"/>
                <w:sz w:val="18"/>
                <w:szCs w:val="18"/>
              </w:rPr>
              <w:t>High value</w:t>
            </w:r>
          </w:p>
        </w:tc>
      </w:tr>
      <w:tr w:rsidR="00C72E85">
        <w:tblPrEx>
          <w:tblCellMar>
            <w:top w:w="0" w:type="dxa"/>
            <w:bottom w:w="0" w:type="dxa"/>
          </w:tblCellMar>
        </w:tblPrEx>
        <w:tc>
          <w:tcPr>
            <w:tcW w:w="8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50" w:type="dxa"/>
              <w:bottom w:w="80" w:type="dxa"/>
              <w:right w:w="150" w:type="dxa"/>
            </w:tcMar>
          </w:tcPr>
          <w:p w:rsidR="00C72E85" w:rsidRDefault="00B63CA0">
            <w:r>
              <w:rPr>
                <w:color w:val="4A5568"/>
                <w:sz w:val="18"/>
                <w:szCs w:val="18"/>
              </w:rPr>
              <w:t>3</w:t>
            </w:r>
          </w:p>
        </w:tc>
        <w:tc>
          <w:tcPr>
            <w:tcW w:w="15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50" w:type="dxa"/>
              <w:bottom w:w="80" w:type="dxa"/>
              <w:right w:w="150" w:type="dxa"/>
            </w:tcMar>
          </w:tcPr>
          <w:p w:rsidR="00C72E85" w:rsidRDefault="00B63CA0">
            <w:pPr>
              <w:jc w:val="center"/>
            </w:pPr>
            <w:r>
              <w:rPr>
                <w:color w:val="4A5568"/>
                <w:sz w:val="18"/>
                <w:szCs w:val="18"/>
              </w:rPr>
              <w:t>Houston</w:t>
            </w:r>
          </w:p>
        </w:tc>
        <w:tc>
          <w:tcPr>
            <w:tcW w:w="16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50" w:type="dxa"/>
              <w:bottom w:w="80" w:type="dxa"/>
              <w:right w:w="150" w:type="dxa"/>
            </w:tcMar>
          </w:tcPr>
          <w:p w:rsidR="00C72E85" w:rsidRDefault="00B63CA0">
            <w:pPr>
              <w:jc w:val="center"/>
            </w:pPr>
            <w:r>
              <w:rPr>
                <w:color w:val="4A5568"/>
                <w:sz w:val="18"/>
                <w:szCs w:val="18"/>
              </w:rPr>
              <w:t>$28,390</w:t>
            </w:r>
          </w:p>
        </w:tc>
        <w:tc>
          <w:tcPr>
            <w:tcW w:w="12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50" w:type="dxa"/>
              <w:bottom w:w="80" w:type="dxa"/>
              <w:right w:w="150" w:type="dxa"/>
            </w:tcMar>
          </w:tcPr>
          <w:p w:rsidR="00C72E85" w:rsidRDefault="00B63CA0">
            <w:pPr>
              <w:jc w:val="center"/>
            </w:pPr>
            <w:r>
              <w:rPr>
                <w:color w:val="4A5568"/>
                <w:sz w:val="18"/>
                <w:szCs w:val="18"/>
              </w:rPr>
              <w:t>32</w:t>
            </w:r>
          </w:p>
        </w:tc>
        <w:tc>
          <w:tcPr>
            <w:tcW w:w="18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50" w:type="dxa"/>
              <w:bottom w:w="80" w:type="dxa"/>
              <w:right w:w="150" w:type="dxa"/>
            </w:tcMar>
          </w:tcPr>
          <w:p w:rsidR="00C72E85" w:rsidRDefault="00B63CA0">
            <w:pPr>
              <w:jc w:val="center"/>
            </w:pPr>
            <w:r>
              <w:rPr>
                <w:color w:val="4A5568"/>
                <w:sz w:val="18"/>
                <w:szCs w:val="18"/>
              </w:rPr>
              <w:t>$887</w:t>
            </w:r>
          </w:p>
        </w:tc>
        <w:tc>
          <w:tcPr>
            <w:tcW w:w="24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50" w:type="dxa"/>
              <w:bottom w:w="80" w:type="dxa"/>
              <w:right w:w="150" w:type="dxa"/>
            </w:tcMar>
          </w:tcPr>
          <w:p w:rsidR="00C72E85" w:rsidRDefault="00B63CA0">
            <w:pPr>
              <w:jc w:val="center"/>
            </w:pPr>
            <w:r>
              <w:rPr>
                <w:color w:val="4A5568"/>
                <w:sz w:val="18"/>
                <w:szCs w:val="18"/>
              </w:rPr>
              <w:t>High volume</w:t>
            </w:r>
          </w:p>
        </w:tc>
      </w:tr>
      <w:tr w:rsidR="00C72E85">
        <w:tblPrEx>
          <w:tblCellMar>
            <w:top w:w="0" w:type="dxa"/>
            <w:bottom w:w="0" w:type="dxa"/>
          </w:tblCellMar>
        </w:tblPrEx>
        <w:tc>
          <w:tcPr>
            <w:tcW w:w="800" w:type="dxa"/>
            <w:tcBorders>
              <w:top w:val="single" w:sz="1" w:space="0" w:color="DDDDDD"/>
              <w:left w:val="single" w:sz="1" w:space="0" w:color="DDDDDD"/>
              <w:bottom w:val="single" w:sz="1" w:space="0" w:color="DDDDDD"/>
              <w:right w:val="single" w:sz="1" w:space="0" w:color="DDDDDD"/>
            </w:tcBorders>
            <w:shd w:val="clear" w:color="auto" w:fill="F5F7FA"/>
            <w:tcMar>
              <w:top w:w="80" w:type="dxa"/>
              <w:left w:w="150" w:type="dxa"/>
              <w:bottom w:w="80" w:type="dxa"/>
              <w:right w:w="150" w:type="dxa"/>
            </w:tcMar>
          </w:tcPr>
          <w:p w:rsidR="00C72E85" w:rsidRDefault="00B63CA0">
            <w:r>
              <w:rPr>
                <w:color w:val="4A5568"/>
                <w:sz w:val="18"/>
                <w:szCs w:val="18"/>
              </w:rPr>
              <w:t>4</w:t>
            </w:r>
          </w:p>
        </w:tc>
        <w:tc>
          <w:tcPr>
            <w:tcW w:w="1500" w:type="dxa"/>
            <w:tcBorders>
              <w:top w:val="single" w:sz="1" w:space="0" w:color="DDDDDD"/>
              <w:left w:val="single" w:sz="1" w:space="0" w:color="DDDDDD"/>
              <w:bottom w:val="single" w:sz="1" w:space="0" w:color="DDDDDD"/>
              <w:right w:val="single" w:sz="1" w:space="0" w:color="DDDDDD"/>
            </w:tcBorders>
            <w:shd w:val="clear" w:color="auto" w:fill="F5F7FA"/>
            <w:tcMar>
              <w:top w:w="80" w:type="dxa"/>
              <w:left w:w="150" w:type="dxa"/>
              <w:bottom w:w="80" w:type="dxa"/>
              <w:right w:w="150" w:type="dxa"/>
            </w:tcMar>
          </w:tcPr>
          <w:p w:rsidR="00C72E85" w:rsidRDefault="00B63CA0">
            <w:pPr>
              <w:jc w:val="center"/>
            </w:pPr>
            <w:r>
              <w:rPr>
                <w:color w:val="4A5568"/>
                <w:sz w:val="18"/>
                <w:szCs w:val="18"/>
              </w:rPr>
              <w:t>Dallas</w:t>
            </w:r>
          </w:p>
        </w:tc>
        <w:tc>
          <w:tcPr>
            <w:tcW w:w="1600" w:type="dxa"/>
            <w:tcBorders>
              <w:top w:val="single" w:sz="1" w:space="0" w:color="DDDDDD"/>
              <w:left w:val="single" w:sz="1" w:space="0" w:color="DDDDDD"/>
              <w:bottom w:val="single" w:sz="1" w:space="0" w:color="DDDDDD"/>
              <w:right w:val="single" w:sz="1" w:space="0" w:color="DDDDDD"/>
            </w:tcBorders>
            <w:shd w:val="clear" w:color="auto" w:fill="F5F7FA"/>
            <w:tcMar>
              <w:top w:w="80" w:type="dxa"/>
              <w:left w:w="150" w:type="dxa"/>
              <w:bottom w:w="80" w:type="dxa"/>
              <w:right w:w="150" w:type="dxa"/>
            </w:tcMar>
          </w:tcPr>
          <w:p w:rsidR="00C72E85" w:rsidRDefault="00B63CA0">
            <w:pPr>
              <w:jc w:val="center"/>
            </w:pPr>
            <w:r>
              <w:rPr>
                <w:color w:val="4A5568"/>
                <w:sz w:val="18"/>
                <w:szCs w:val="18"/>
              </w:rPr>
              <w:t>$27,145</w:t>
            </w:r>
          </w:p>
        </w:tc>
        <w:tc>
          <w:tcPr>
            <w:tcW w:w="1200" w:type="dxa"/>
            <w:tcBorders>
              <w:top w:val="single" w:sz="1" w:space="0" w:color="DDDDDD"/>
              <w:left w:val="single" w:sz="1" w:space="0" w:color="DDDDDD"/>
              <w:bottom w:val="single" w:sz="1" w:space="0" w:color="DDDDDD"/>
              <w:right w:val="single" w:sz="1" w:space="0" w:color="DDDDDD"/>
            </w:tcBorders>
            <w:shd w:val="clear" w:color="auto" w:fill="F5F7FA"/>
            <w:tcMar>
              <w:top w:w="80" w:type="dxa"/>
              <w:left w:w="150" w:type="dxa"/>
              <w:bottom w:w="80" w:type="dxa"/>
              <w:right w:w="150" w:type="dxa"/>
            </w:tcMar>
          </w:tcPr>
          <w:p w:rsidR="00C72E85" w:rsidRDefault="00B63CA0">
            <w:pPr>
              <w:jc w:val="center"/>
            </w:pPr>
            <w:r>
              <w:rPr>
                <w:color w:val="4A5568"/>
                <w:sz w:val="18"/>
                <w:szCs w:val="18"/>
              </w:rPr>
              <w:t>29</w:t>
            </w:r>
          </w:p>
        </w:tc>
        <w:tc>
          <w:tcPr>
            <w:tcW w:w="1800" w:type="dxa"/>
            <w:tcBorders>
              <w:top w:val="single" w:sz="1" w:space="0" w:color="DDDDDD"/>
              <w:left w:val="single" w:sz="1" w:space="0" w:color="DDDDDD"/>
              <w:bottom w:val="single" w:sz="1" w:space="0" w:color="DDDDDD"/>
              <w:right w:val="single" w:sz="1" w:space="0" w:color="DDDDDD"/>
            </w:tcBorders>
            <w:shd w:val="clear" w:color="auto" w:fill="F5F7FA"/>
            <w:tcMar>
              <w:top w:w="80" w:type="dxa"/>
              <w:left w:w="150" w:type="dxa"/>
              <w:bottom w:w="80" w:type="dxa"/>
              <w:right w:w="150" w:type="dxa"/>
            </w:tcMar>
          </w:tcPr>
          <w:p w:rsidR="00C72E85" w:rsidRDefault="00B63CA0">
            <w:pPr>
              <w:jc w:val="center"/>
            </w:pPr>
            <w:r>
              <w:rPr>
                <w:color w:val="4A5568"/>
                <w:sz w:val="18"/>
                <w:szCs w:val="18"/>
              </w:rPr>
              <w:t>$936</w:t>
            </w:r>
          </w:p>
        </w:tc>
        <w:tc>
          <w:tcPr>
            <w:tcW w:w="2460" w:type="dxa"/>
            <w:tcBorders>
              <w:top w:val="single" w:sz="1" w:space="0" w:color="DDDDDD"/>
              <w:left w:val="single" w:sz="1" w:space="0" w:color="DDDDDD"/>
              <w:bottom w:val="single" w:sz="1" w:space="0" w:color="DDDDDD"/>
              <w:right w:val="single" w:sz="1" w:space="0" w:color="DDDDDD"/>
            </w:tcBorders>
            <w:shd w:val="clear" w:color="auto" w:fill="F5F7FA"/>
            <w:tcMar>
              <w:top w:w="80" w:type="dxa"/>
              <w:left w:w="150" w:type="dxa"/>
              <w:bottom w:w="80" w:type="dxa"/>
              <w:right w:w="150" w:type="dxa"/>
            </w:tcMar>
          </w:tcPr>
          <w:p w:rsidR="00C72E85" w:rsidRDefault="00B63CA0">
            <w:pPr>
              <w:jc w:val="center"/>
            </w:pPr>
            <w:r>
              <w:rPr>
                <w:color w:val="4A5568"/>
                <w:sz w:val="18"/>
                <w:szCs w:val="18"/>
              </w:rPr>
              <w:t>Balanced</w:t>
            </w:r>
          </w:p>
        </w:tc>
      </w:tr>
      <w:tr w:rsidR="00C72E85">
        <w:tblPrEx>
          <w:tblCellMar>
            <w:top w:w="0" w:type="dxa"/>
            <w:bottom w:w="0" w:type="dxa"/>
          </w:tblCellMar>
        </w:tblPrEx>
        <w:tc>
          <w:tcPr>
            <w:tcW w:w="8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50" w:type="dxa"/>
              <w:bottom w:w="80" w:type="dxa"/>
              <w:right w:w="150" w:type="dxa"/>
            </w:tcMar>
          </w:tcPr>
          <w:p w:rsidR="00C72E85" w:rsidRDefault="00B63CA0">
            <w:r>
              <w:rPr>
                <w:color w:val="4A5568"/>
                <w:sz w:val="18"/>
                <w:szCs w:val="18"/>
              </w:rPr>
              <w:t>5</w:t>
            </w:r>
          </w:p>
        </w:tc>
        <w:tc>
          <w:tcPr>
            <w:tcW w:w="15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50" w:type="dxa"/>
              <w:bottom w:w="80" w:type="dxa"/>
              <w:right w:w="150" w:type="dxa"/>
            </w:tcMar>
          </w:tcPr>
          <w:p w:rsidR="00C72E85" w:rsidRDefault="00B63CA0">
            <w:pPr>
              <w:jc w:val="center"/>
            </w:pPr>
            <w:r>
              <w:rPr>
                <w:color w:val="4A5568"/>
                <w:sz w:val="18"/>
                <w:szCs w:val="18"/>
              </w:rPr>
              <w:t>Seattle</w:t>
            </w:r>
          </w:p>
        </w:tc>
        <w:tc>
          <w:tcPr>
            <w:tcW w:w="16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50" w:type="dxa"/>
              <w:bottom w:w="80" w:type="dxa"/>
              <w:right w:w="150" w:type="dxa"/>
            </w:tcMar>
          </w:tcPr>
          <w:p w:rsidR="00C72E85" w:rsidRDefault="00B63CA0">
            <w:pPr>
              <w:jc w:val="center"/>
            </w:pPr>
            <w:r>
              <w:rPr>
                <w:color w:val="4A5568"/>
                <w:sz w:val="18"/>
                <w:szCs w:val="18"/>
              </w:rPr>
              <w:t>$26,890</w:t>
            </w:r>
          </w:p>
        </w:tc>
        <w:tc>
          <w:tcPr>
            <w:tcW w:w="12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50" w:type="dxa"/>
              <w:bottom w:w="80" w:type="dxa"/>
              <w:right w:w="150" w:type="dxa"/>
            </w:tcMar>
          </w:tcPr>
          <w:p w:rsidR="00C72E85" w:rsidRDefault="00B63CA0">
            <w:pPr>
              <w:jc w:val="center"/>
            </w:pPr>
            <w:r>
              <w:rPr>
                <w:color w:val="4A5568"/>
                <w:sz w:val="18"/>
                <w:szCs w:val="18"/>
              </w:rPr>
              <w:t>22</w:t>
            </w:r>
          </w:p>
        </w:tc>
        <w:tc>
          <w:tcPr>
            <w:tcW w:w="18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50" w:type="dxa"/>
              <w:bottom w:w="80" w:type="dxa"/>
              <w:right w:w="150" w:type="dxa"/>
            </w:tcMar>
          </w:tcPr>
          <w:p w:rsidR="00C72E85" w:rsidRDefault="00B63CA0">
            <w:pPr>
              <w:jc w:val="center"/>
            </w:pPr>
            <w:r>
              <w:rPr>
                <w:color w:val="4A5568"/>
                <w:sz w:val="18"/>
                <w:szCs w:val="18"/>
              </w:rPr>
              <w:t>$1,222</w:t>
            </w:r>
          </w:p>
        </w:tc>
        <w:tc>
          <w:tcPr>
            <w:tcW w:w="24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50" w:type="dxa"/>
              <w:bottom w:w="80" w:type="dxa"/>
              <w:right w:w="150" w:type="dxa"/>
            </w:tcMar>
          </w:tcPr>
          <w:p w:rsidR="00C72E85" w:rsidRDefault="00B63CA0">
            <w:pPr>
              <w:jc w:val="center"/>
            </w:pPr>
            <w:r>
              <w:rPr>
                <w:color w:val="4A5568"/>
                <w:sz w:val="18"/>
                <w:szCs w:val="18"/>
              </w:rPr>
              <w:t>Premium, low volume</w:t>
            </w:r>
          </w:p>
        </w:tc>
      </w:tr>
    </w:tbl>
    <w:p w:rsidR="00C72E85" w:rsidRDefault="00C72E85">
      <w:pPr>
        <w:spacing w:before="120"/>
      </w:pPr>
    </w:p>
    <w:p w:rsidR="00C72E85" w:rsidRDefault="00B63CA0">
      <w:pPr>
        <w:pStyle w:val="Heading2"/>
      </w:pPr>
      <w:r>
        <w:t>Key Findings</w:t>
      </w:r>
    </w:p>
    <w:p w:rsidR="00C72E85" w:rsidRDefault="00B63CA0">
      <w:pPr>
        <w:pStyle w:val="ListParagraph"/>
        <w:numPr>
          <w:ilvl w:val="0"/>
          <w:numId w:val="2"/>
        </w:numPr>
        <w:spacing w:before="60" w:after="60"/>
      </w:pPr>
      <w:r>
        <w:rPr>
          <w:color w:val="4A5568"/>
        </w:rPr>
        <w:t>Miami leads overall revenue at $31,700, balancing a solid order count (31) with above-average spend per order ($1,023).</w:t>
      </w:r>
    </w:p>
    <w:p w:rsidR="00C72E85" w:rsidRDefault="00B63CA0">
      <w:pPr>
        <w:pStyle w:val="ListParagraph"/>
        <w:numPr>
          <w:ilvl w:val="0"/>
          <w:numId w:val="2"/>
        </w:numPr>
        <w:spacing w:before="60" w:after="60"/>
      </w:pPr>
      <w:r>
        <w:rPr>
          <w:color w:val="4A5568"/>
        </w:rPr>
        <w:t>Seattle has the highest average order value ($1,222) despite the fewest orders among the top 5, suggesting a premium customer segment ideal for high-margin product targeting.</w:t>
      </w:r>
    </w:p>
    <w:p w:rsidR="00C72E85" w:rsidRDefault="00B63CA0">
      <w:pPr>
        <w:pStyle w:val="ListParagraph"/>
        <w:numPr>
          <w:ilvl w:val="0"/>
          <w:numId w:val="2"/>
        </w:numPr>
        <w:spacing w:before="60" w:after="60"/>
      </w:pPr>
      <w:r>
        <w:rPr>
          <w:color w:val="4A5568"/>
        </w:rPr>
        <w:t>Houston leads in order volume (32 orders) but lags in average order value ($887),</w:t>
      </w:r>
      <w:r>
        <w:rPr>
          <w:color w:val="4A5568"/>
        </w:rPr>
        <w:t xml:space="preserve"> indicating frequent purchases of mid-range products.</w:t>
      </w:r>
    </w:p>
    <w:p w:rsidR="00C72E85" w:rsidRDefault="00B63CA0">
      <w:pPr>
        <w:pStyle w:val="ListParagraph"/>
        <w:numPr>
          <w:ilvl w:val="0"/>
          <w:numId w:val="2"/>
        </w:numPr>
        <w:spacing w:before="60" w:after="60"/>
      </w:pPr>
      <w:r>
        <w:rPr>
          <w:color w:val="4A5568"/>
        </w:rPr>
        <w:t>The top 5 cities are within a narrow $5K revenue band ($26,890 – $31,700), reflecting relatively uniform demand across major U.S. metros.</w:t>
      </w:r>
    </w:p>
    <w:p w:rsidR="00C72E85" w:rsidRDefault="00B63CA0">
      <w:pPr>
        <w:pStyle w:val="ListParagraph"/>
        <w:numPr>
          <w:ilvl w:val="0"/>
          <w:numId w:val="2"/>
        </w:numPr>
        <w:spacing w:before="60" w:after="60"/>
      </w:pPr>
      <w:r>
        <w:rPr>
          <w:color w:val="4A5568"/>
        </w:rPr>
        <w:lastRenderedPageBreak/>
        <w:t>Cities outside the top 5 (Chicago, New York, Los Angeles, Boston</w:t>
      </w:r>
      <w:r>
        <w:rPr>
          <w:color w:val="4A5568"/>
        </w:rPr>
        <w:t xml:space="preserve">, San Francisco) represent a combined revenue opportunity of approximately $100,000 — worth exploring through </w:t>
      </w:r>
      <w:proofErr w:type="spellStart"/>
      <w:r>
        <w:rPr>
          <w:color w:val="4A5568"/>
        </w:rPr>
        <w:t>localised</w:t>
      </w:r>
      <w:proofErr w:type="spellEnd"/>
      <w:r>
        <w:rPr>
          <w:color w:val="4A5568"/>
        </w:rPr>
        <w:t xml:space="preserve"> marketing strategies.</w:t>
      </w:r>
    </w:p>
    <w:p w:rsidR="00C72E85" w:rsidRDefault="00C72E85">
      <w:pPr>
        <w:spacing w:before="120"/>
      </w:pPr>
    </w:p>
    <w:p w:rsidR="00C72E85" w:rsidRDefault="00C72E85">
      <w:pPr>
        <w:pBdr>
          <w:bottom w:val="single" w:sz="2" w:space="1" w:color="E8ECF0"/>
        </w:pBdr>
        <w:spacing w:before="160" w:after="160"/>
      </w:pPr>
    </w:p>
    <w:p w:rsidR="00C72E85" w:rsidRDefault="00B63CA0">
      <w:pPr>
        <w:pStyle w:val="Heading1"/>
        <w:pBdr>
          <w:bottom w:val="single" w:sz="4" w:space="6" w:color="2E7BC4"/>
        </w:pBdr>
      </w:pPr>
      <w:r>
        <w:t>6. Order Status &amp; Fulfilment Analysis</w:t>
      </w:r>
    </w:p>
    <w:p w:rsidR="00C72E85" w:rsidRDefault="00B63CA0">
      <w:pPr>
        <w:spacing w:before="80" w:after="80"/>
      </w:pPr>
      <w:r>
        <w:rPr>
          <w:color w:val="4A5568"/>
        </w:rPr>
        <w:t xml:space="preserve">Order fulfilment efficiency is a critical operational metric. The current dataset reveals a concerning pattern — fewer than 35% of orders have been completed, with nearly equal proportions remaining pending or cancelled. </w:t>
      </w:r>
      <w:proofErr w:type="gramStart"/>
      <w:r>
        <w:rPr>
          <w:color w:val="4A5568"/>
        </w:rPr>
        <w:t>This signals</w:t>
      </w:r>
      <w:proofErr w:type="gramEnd"/>
      <w:r>
        <w:rPr>
          <w:color w:val="4A5568"/>
        </w:rPr>
        <w:t xml:space="preserve"> systemic issues in ord</w:t>
      </w:r>
      <w:r>
        <w:rPr>
          <w:color w:val="4A5568"/>
        </w:rPr>
        <w:t>er fulfilment and customer satisfaction.</w:t>
      </w:r>
    </w:p>
    <w:p w:rsidR="00C72E85" w:rsidRDefault="00C72E85">
      <w:pPr>
        <w:spacing w:before="80"/>
      </w:pPr>
    </w:p>
    <w:p w:rsidR="00C72E85" w:rsidRDefault="00B63CA0">
      <w:pPr>
        <w:spacing w:before="120" w:after="60"/>
        <w:jc w:val="center"/>
      </w:pPr>
      <w:r>
        <w:rPr>
          <w:noProof/>
        </w:rPr>
        <w:drawing>
          <wp:inline distT="0" distB="0" distL="0" distR="0">
            <wp:extent cx="6667500" cy="375285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6667500" cy="3752850"/>
                    </a:xfrm>
                    <a:prstGeom prst="rect">
                      <a:avLst/>
                    </a:prstGeom>
                  </pic:spPr>
                </pic:pic>
              </a:graphicData>
            </a:graphic>
          </wp:inline>
        </w:drawing>
      </w:r>
    </w:p>
    <w:p w:rsidR="00C72E85" w:rsidRDefault="00B63CA0">
      <w:pPr>
        <w:spacing w:after="160"/>
        <w:jc w:val="center"/>
      </w:pPr>
      <w:r>
        <w:rPr>
          <w:i/>
          <w:iCs/>
          <w:color w:val="888888"/>
          <w:sz w:val="16"/>
          <w:szCs w:val="16"/>
        </w:rPr>
        <w:t>Figure 5: Order Status Distribution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1200"/>
        <w:gridCol w:w="1400"/>
        <w:gridCol w:w="2000"/>
        <w:gridCol w:w="2960"/>
      </w:tblGrid>
      <w:tr w:rsidR="00C72E85">
        <w:tblPrEx>
          <w:tblCellMar>
            <w:top w:w="0" w:type="dxa"/>
            <w:bottom w:w="0" w:type="dxa"/>
          </w:tblCellMar>
        </w:tblPrEx>
        <w:trPr>
          <w:tblHeader/>
        </w:trPr>
        <w:tc>
          <w:tcPr>
            <w:tcW w:w="1800" w:type="dxa"/>
            <w:tcBorders>
              <w:top w:val="single" w:sz="1" w:space="0" w:color="DDDDDD"/>
              <w:left w:val="single" w:sz="1" w:space="0" w:color="DDDDDD"/>
              <w:bottom w:val="single" w:sz="1" w:space="0" w:color="DDDDDD"/>
              <w:right w:val="single" w:sz="1" w:space="0" w:color="DDDDDD"/>
            </w:tcBorders>
            <w:shd w:val="clear" w:color="auto" w:fill="1A3C6E"/>
            <w:tcMar>
              <w:top w:w="100" w:type="dxa"/>
              <w:left w:w="150" w:type="dxa"/>
              <w:bottom w:w="100" w:type="dxa"/>
              <w:right w:w="150" w:type="dxa"/>
            </w:tcMar>
          </w:tcPr>
          <w:p w:rsidR="00C72E85" w:rsidRDefault="00B63CA0">
            <w:pPr>
              <w:jc w:val="center"/>
            </w:pPr>
            <w:r>
              <w:rPr>
                <w:b/>
                <w:bCs/>
                <w:color w:val="FFFFFF"/>
                <w:sz w:val="18"/>
                <w:szCs w:val="18"/>
              </w:rPr>
              <w:t>Order Status</w:t>
            </w:r>
          </w:p>
        </w:tc>
        <w:tc>
          <w:tcPr>
            <w:tcW w:w="1200" w:type="dxa"/>
            <w:tcBorders>
              <w:top w:val="single" w:sz="1" w:space="0" w:color="DDDDDD"/>
              <w:left w:val="single" w:sz="1" w:space="0" w:color="DDDDDD"/>
              <w:bottom w:val="single" w:sz="1" w:space="0" w:color="DDDDDD"/>
              <w:right w:val="single" w:sz="1" w:space="0" w:color="DDDDDD"/>
            </w:tcBorders>
            <w:shd w:val="clear" w:color="auto" w:fill="1A3C6E"/>
            <w:tcMar>
              <w:top w:w="100" w:type="dxa"/>
              <w:left w:w="150" w:type="dxa"/>
              <w:bottom w:w="100" w:type="dxa"/>
              <w:right w:w="150" w:type="dxa"/>
            </w:tcMar>
          </w:tcPr>
          <w:p w:rsidR="00C72E85" w:rsidRDefault="00B63CA0">
            <w:pPr>
              <w:jc w:val="center"/>
            </w:pPr>
            <w:r>
              <w:rPr>
                <w:b/>
                <w:bCs/>
                <w:color w:val="FFFFFF"/>
                <w:sz w:val="18"/>
                <w:szCs w:val="18"/>
              </w:rPr>
              <w:t>Count</w:t>
            </w:r>
          </w:p>
        </w:tc>
        <w:tc>
          <w:tcPr>
            <w:tcW w:w="1400" w:type="dxa"/>
            <w:tcBorders>
              <w:top w:val="single" w:sz="1" w:space="0" w:color="DDDDDD"/>
              <w:left w:val="single" w:sz="1" w:space="0" w:color="DDDDDD"/>
              <w:bottom w:val="single" w:sz="1" w:space="0" w:color="DDDDDD"/>
              <w:right w:val="single" w:sz="1" w:space="0" w:color="DDDDDD"/>
            </w:tcBorders>
            <w:shd w:val="clear" w:color="auto" w:fill="1A3C6E"/>
            <w:tcMar>
              <w:top w:w="100" w:type="dxa"/>
              <w:left w:w="150" w:type="dxa"/>
              <w:bottom w:w="100" w:type="dxa"/>
              <w:right w:w="150" w:type="dxa"/>
            </w:tcMar>
          </w:tcPr>
          <w:p w:rsidR="00C72E85" w:rsidRDefault="00B63CA0">
            <w:pPr>
              <w:jc w:val="center"/>
            </w:pPr>
            <w:r>
              <w:rPr>
                <w:b/>
                <w:bCs/>
                <w:color w:val="FFFFFF"/>
                <w:sz w:val="18"/>
                <w:szCs w:val="18"/>
              </w:rPr>
              <w:t>Percentage</w:t>
            </w:r>
          </w:p>
        </w:tc>
        <w:tc>
          <w:tcPr>
            <w:tcW w:w="2000" w:type="dxa"/>
            <w:tcBorders>
              <w:top w:val="single" w:sz="1" w:space="0" w:color="DDDDDD"/>
              <w:left w:val="single" w:sz="1" w:space="0" w:color="DDDDDD"/>
              <w:bottom w:val="single" w:sz="1" w:space="0" w:color="DDDDDD"/>
              <w:right w:val="single" w:sz="1" w:space="0" w:color="DDDDDD"/>
            </w:tcBorders>
            <w:shd w:val="clear" w:color="auto" w:fill="1A3C6E"/>
            <w:tcMar>
              <w:top w:w="100" w:type="dxa"/>
              <w:left w:w="150" w:type="dxa"/>
              <w:bottom w:w="100" w:type="dxa"/>
              <w:right w:w="150" w:type="dxa"/>
            </w:tcMar>
          </w:tcPr>
          <w:p w:rsidR="00C72E85" w:rsidRDefault="00B63CA0">
            <w:pPr>
              <w:jc w:val="center"/>
            </w:pPr>
            <w:r>
              <w:rPr>
                <w:b/>
                <w:bCs/>
                <w:color w:val="FFFFFF"/>
                <w:sz w:val="18"/>
                <w:szCs w:val="18"/>
              </w:rPr>
              <w:t>Revenue Impact</w:t>
            </w:r>
          </w:p>
        </w:tc>
        <w:tc>
          <w:tcPr>
            <w:tcW w:w="2960" w:type="dxa"/>
            <w:tcBorders>
              <w:top w:val="single" w:sz="1" w:space="0" w:color="DDDDDD"/>
              <w:left w:val="single" w:sz="1" w:space="0" w:color="DDDDDD"/>
              <w:bottom w:val="single" w:sz="1" w:space="0" w:color="DDDDDD"/>
              <w:right w:val="single" w:sz="1" w:space="0" w:color="DDDDDD"/>
            </w:tcBorders>
            <w:shd w:val="clear" w:color="auto" w:fill="1A3C6E"/>
            <w:tcMar>
              <w:top w:w="100" w:type="dxa"/>
              <w:left w:w="150" w:type="dxa"/>
              <w:bottom w:w="100" w:type="dxa"/>
              <w:right w:w="150" w:type="dxa"/>
            </w:tcMar>
          </w:tcPr>
          <w:p w:rsidR="00C72E85" w:rsidRDefault="00B63CA0">
            <w:pPr>
              <w:jc w:val="center"/>
            </w:pPr>
            <w:r>
              <w:rPr>
                <w:b/>
                <w:bCs/>
                <w:color w:val="FFFFFF"/>
                <w:sz w:val="18"/>
                <w:szCs w:val="18"/>
              </w:rPr>
              <w:t>Action Required</w:t>
            </w:r>
          </w:p>
        </w:tc>
      </w:tr>
      <w:tr w:rsidR="00C72E85">
        <w:tblPrEx>
          <w:tblCellMar>
            <w:top w:w="0" w:type="dxa"/>
            <w:bottom w:w="0" w:type="dxa"/>
          </w:tblCellMar>
        </w:tblPrEx>
        <w:tc>
          <w:tcPr>
            <w:tcW w:w="18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50" w:type="dxa"/>
              <w:bottom w:w="80" w:type="dxa"/>
              <w:right w:w="150" w:type="dxa"/>
            </w:tcMar>
          </w:tcPr>
          <w:p w:rsidR="00C72E85" w:rsidRDefault="00B63CA0">
            <w:r>
              <w:rPr>
                <w:color w:val="4A5568"/>
                <w:sz w:val="18"/>
                <w:szCs w:val="18"/>
              </w:rPr>
              <w:t>Completed</w:t>
            </w:r>
          </w:p>
        </w:tc>
        <w:tc>
          <w:tcPr>
            <w:tcW w:w="12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50" w:type="dxa"/>
              <w:bottom w:w="80" w:type="dxa"/>
              <w:right w:w="150" w:type="dxa"/>
            </w:tcMar>
          </w:tcPr>
          <w:p w:rsidR="00C72E85" w:rsidRDefault="00B63CA0">
            <w:pPr>
              <w:jc w:val="center"/>
            </w:pPr>
            <w:r>
              <w:rPr>
                <w:color w:val="4A5568"/>
                <w:sz w:val="18"/>
                <w:szCs w:val="18"/>
              </w:rPr>
              <w:t>88</w:t>
            </w:r>
          </w:p>
        </w:tc>
        <w:tc>
          <w:tcPr>
            <w:tcW w:w="14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50" w:type="dxa"/>
              <w:bottom w:w="80" w:type="dxa"/>
              <w:right w:w="150" w:type="dxa"/>
            </w:tcMar>
          </w:tcPr>
          <w:p w:rsidR="00C72E85" w:rsidRDefault="00B63CA0">
            <w:pPr>
              <w:jc w:val="center"/>
            </w:pPr>
            <w:r>
              <w:rPr>
                <w:color w:val="4A5568"/>
                <w:sz w:val="18"/>
                <w:szCs w:val="18"/>
              </w:rPr>
              <w:t>35.2%</w:t>
            </w:r>
          </w:p>
        </w:tc>
        <w:tc>
          <w:tcPr>
            <w:tcW w:w="20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50" w:type="dxa"/>
              <w:bottom w:w="80" w:type="dxa"/>
              <w:right w:w="150" w:type="dxa"/>
            </w:tcMar>
          </w:tcPr>
          <w:p w:rsidR="00C72E85" w:rsidRDefault="00B63CA0">
            <w:pPr>
              <w:jc w:val="center"/>
            </w:pPr>
            <w:r>
              <w:rPr>
                <w:color w:val="4A5568"/>
                <w:sz w:val="18"/>
                <w:szCs w:val="18"/>
              </w:rPr>
              <w:t>$85,800 est.</w:t>
            </w:r>
          </w:p>
        </w:tc>
        <w:tc>
          <w:tcPr>
            <w:tcW w:w="29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50" w:type="dxa"/>
              <w:bottom w:w="80" w:type="dxa"/>
              <w:right w:w="150" w:type="dxa"/>
            </w:tcMar>
          </w:tcPr>
          <w:p w:rsidR="00C72E85" w:rsidRDefault="00B63CA0">
            <w:pPr>
              <w:jc w:val="center"/>
            </w:pPr>
            <w:r>
              <w:rPr>
                <w:color w:val="4A5568"/>
                <w:sz w:val="18"/>
                <w:szCs w:val="18"/>
              </w:rPr>
              <w:t>Maintain &amp; scale</w:t>
            </w:r>
          </w:p>
        </w:tc>
      </w:tr>
      <w:tr w:rsidR="00C72E85">
        <w:tblPrEx>
          <w:tblCellMar>
            <w:top w:w="0" w:type="dxa"/>
            <w:bottom w:w="0" w:type="dxa"/>
          </w:tblCellMar>
        </w:tblPrEx>
        <w:tc>
          <w:tcPr>
            <w:tcW w:w="1800" w:type="dxa"/>
            <w:tcBorders>
              <w:top w:val="single" w:sz="1" w:space="0" w:color="DDDDDD"/>
              <w:left w:val="single" w:sz="1" w:space="0" w:color="DDDDDD"/>
              <w:bottom w:val="single" w:sz="1" w:space="0" w:color="DDDDDD"/>
              <w:right w:val="single" w:sz="1" w:space="0" w:color="DDDDDD"/>
            </w:tcBorders>
            <w:shd w:val="clear" w:color="auto" w:fill="F5F7FA"/>
            <w:tcMar>
              <w:top w:w="80" w:type="dxa"/>
              <w:left w:w="150" w:type="dxa"/>
              <w:bottom w:w="80" w:type="dxa"/>
              <w:right w:w="150" w:type="dxa"/>
            </w:tcMar>
          </w:tcPr>
          <w:p w:rsidR="00C72E85" w:rsidRDefault="00B63CA0">
            <w:r>
              <w:rPr>
                <w:color w:val="4A5568"/>
                <w:sz w:val="18"/>
                <w:szCs w:val="18"/>
              </w:rPr>
              <w:t>Pending</w:t>
            </w:r>
          </w:p>
        </w:tc>
        <w:tc>
          <w:tcPr>
            <w:tcW w:w="1200" w:type="dxa"/>
            <w:tcBorders>
              <w:top w:val="single" w:sz="1" w:space="0" w:color="DDDDDD"/>
              <w:left w:val="single" w:sz="1" w:space="0" w:color="DDDDDD"/>
              <w:bottom w:val="single" w:sz="1" w:space="0" w:color="DDDDDD"/>
              <w:right w:val="single" w:sz="1" w:space="0" w:color="DDDDDD"/>
            </w:tcBorders>
            <w:shd w:val="clear" w:color="auto" w:fill="F5F7FA"/>
            <w:tcMar>
              <w:top w:w="80" w:type="dxa"/>
              <w:left w:w="150" w:type="dxa"/>
              <w:bottom w:w="80" w:type="dxa"/>
              <w:right w:w="150" w:type="dxa"/>
            </w:tcMar>
          </w:tcPr>
          <w:p w:rsidR="00C72E85" w:rsidRDefault="00B63CA0">
            <w:pPr>
              <w:jc w:val="center"/>
            </w:pPr>
            <w:r>
              <w:rPr>
                <w:color w:val="4A5568"/>
                <w:sz w:val="18"/>
                <w:szCs w:val="18"/>
              </w:rPr>
              <w:t>85</w:t>
            </w:r>
          </w:p>
        </w:tc>
        <w:tc>
          <w:tcPr>
            <w:tcW w:w="1400" w:type="dxa"/>
            <w:tcBorders>
              <w:top w:val="single" w:sz="1" w:space="0" w:color="DDDDDD"/>
              <w:left w:val="single" w:sz="1" w:space="0" w:color="DDDDDD"/>
              <w:bottom w:val="single" w:sz="1" w:space="0" w:color="DDDDDD"/>
              <w:right w:val="single" w:sz="1" w:space="0" w:color="DDDDDD"/>
            </w:tcBorders>
            <w:shd w:val="clear" w:color="auto" w:fill="F5F7FA"/>
            <w:tcMar>
              <w:top w:w="80" w:type="dxa"/>
              <w:left w:w="150" w:type="dxa"/>
              <w:bottom w:w="80" w:type="dxa"/>
              <w:right w:w="150" w:type="dxa"/>
            </w:tcMar>
          </w:tcPr>
          <w:p w:rsidR="00C72E85" w:rsidRDefault="00B63CA0">
            <w:pPr>
              <w:jc w:val="center"/>
            </w:pPr>
            <w:r>
              <w:rPr>
                <w:color w:val="4A5568"/>
                <w:sz w:val="18"/>
                <w:szCs w:val="18"/>
              </w:rPr>
              <w:t>34.0%</w:t>
            </w:r>
          </w:p>
        </w:tc>
        <w:tc>
          <w:tcPr>
            <w:tcW w:w="2000" w:type="dxa"/>
            <w:tcBorders>
              <w:top w:val="single" w:sz="1" w:space="0" w:color="DDDDDD"/>
              <w:left w:val="single" w:sz="1" w:space="0" w:color="DDDDDD"/>
              <w:bottom w:val="single" w:sz="1" w:space="0" w:color="DDDDDD"/>
              <w:right w:val="single" w:sz="1" w:space="0" w:color="DDDDDD"/>
            </w:tcBorders>
            <w:shd w:val="clear" w:color="auto" w:fill="F5F7FA"/>
            <w:tcMar>
              <w:top w:w="80" w:type="dxa"/>
              <w:left w:w="150" w:type="dxa"/>
              <w:bottom w:w="80" w:type="dxa"/>
              <w:right w:w="150" w:type="dxa"/>
            </w:tcMar>
          </w:tcPr>
          <w:p w:rsidR="00C72E85" w:rsidRDefault="00B63CA0">
            <w:pPr>
              <w:jc w:val="center"/>
            </w:pPr>
            <w:r>
              <w:rPr>
                <w:color w:val="4A5568"/>
                <w:sz w:val="18"/>
                <w:szCs w:val="18"/>
              </w:rPr>
              <w:t>$82,900 est.</w:t>
            </w:r>
          </w:p>
        </w:tc>
        <w:tc>
          <w:tcPr>
            <w:tcW w:w="2960" w:type="dxa"/>
            <w:tcBorders>
              <w:top w:val="single" w:sz="1" w:space="0" w:color="DDDDDD"/>
              <w:left w:val="single" w:sz="1" w:space="0" w:color="DDDDDD"/>
              <w:bottom w:val="single" w:sz="1" w:space="0" w:color="DDDDDD"/>
              <w:right w:val="single" w:sz="1" w:space="0" w:color="DDDDDD"/>
            </w:tcBorders>
            <w:shd w:val="clear" w:color="auto" w:fill="F5F7FA"/>
            <w:tcMar>
              <w:top w:w="80" w:type="dxa"/>
              <w:left w:w="150" w:type="dxa"/>
              <w:bottom w:w="80" w:type="dxa"/>
              <w:right w:w="150" w:type="dxa"/>
            </w:tcMar>
          </w:tcPr>
          <w:p w:rsidR="00C72E85" w:rsidRDefault="00B63CA0">
            <w:pPr>
              <w:jc w:val="center"/>
            </w:pPr>
            <w:r>
              <w:rPr>
                <w:color w:val="4A5568"/>
                <w:sz w:val="18"/>
                <w:szCs w:val="18"/>
              </w:rPr>
              <w:t>Expedite processing</w:t>
            </w:r>
          </w:p>
        </w:tc>
      </w:tr>
      <w:tr w:rsidR="00C72E85">
        <w:tblPrEx>
          <w:tblCellMar>
            <w:top w:w="0" w:type="dxa"/>
            <w:bottom w:w="0" w:type="dxa"/>
          </w:tblCellMar>
        </w:tblPrEx>
        <w:tc>
          <w:tcPr>
            <w:tcW w:w="18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50" w:type="dxa"/>
              <w:bottom w:w="80" w:type="dxa"/>
              <w:right w:w="150" w:type="dxa"/>
            </w:tcMar>
          </w:tcPr>
          <w:p w:rsidR="00C72E85" w:rsidRDefault="00B63CA0">
            <w:r>
              <w:rPr>
                <w:color w:val="4A5568"/>
                <w:sz w:val="18"/>
                <w:szCs w:val="18"/>
              </w:rPr>
              <w:t>Cancelled</w:t>
            </w:r>
          </w:p>
        </w:tc>
        <w:tc>
          <w:tcPr>
            <w:tcW w:w="12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50" w:type="dxa"/>
              <w:bottom w:w="80" w:type="dxa"/>
              <w:right w:w="150" w:type="dxa"/>
            </w:tcMar>
          </w:tcPr>
          <w:p w:rsidR="00C72E85" w:rsidRDefault="00B63CA0">
            <w:pPr>
              <w:jc w:val="center"/>
            </w:pPr>
            <w:r>
              <w:rPr>
                <w:color w:val="4A5568"/>
                <w:sz w:val="18"/>
                <w:szCs w:val="18"/>
              </w:rPr>
              <w:t>77</w:t>
            </w:r>
          </w:p>
        </w:tc>
        <w:tc>
          <w:tcPr>
            <w:tcW w:w="14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50" w:type="dxa"/>
              <w:bottom w:w="80" w:type="dxa"/>
              <w:right w:w="150" w:type="dxa"/>
            </w:tcMar>
          </w:tcPr>
          <w:p w:rsidR="00C72E85" w:rsidRDefault="00B63CA0">
            <w:pPr>
              <w:jc w:val="center"/>
            </w:pPr>
            <w:r>
              <w:rPr>
                <w:color w:val="4A5568"/>
                <w:sz w:val="18"/>
                <w:szCs w:val="18"/>
              </w:rPr>
              <w:t>30.8%</w:t>
            </w:r>
          </w:p>
        </w:tc>
        <w:tc>
          <w:tcPr>
            <w:tcW w:w="20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50" w:type="dxa"/>
              <w:bottom w:w="80" w:type="dxa"/>
              <w:right w:w="150" w:type="dxa"/>
            </w:tcMar>
          </w:tcPr>
          <w:p w:rsidR="00C72E85" w:rsidRDefault="00B63CA0">
            <w:pPr>
              <w:jc w:val="center"/>
            </w:pPr>
            <w:r>
              <w:rPr>
                <w:color w:val="4A5568"/>
                <w:sz w:val="18"/>
                <w:szCs w:val="18"/>
              </w:rPr>
              <w:t>$75,100 lost</w:t>
            </w:r>
          </w:p>
        </w:tc>
        <w:tc>
          <w:tcPr>
            <w:tcW w:w="29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50" w:type="dxa"/>
              <w:bottom w:w="80" w:type="dxa"/>
              <w:right w:w="150" w:type="dxa"/>
            </w:tcMar>
          </w:tcPr>
          <w:p w:rsidR="00C72E85" w:rsidRDefault="00B63CA0">
            <w:pPr>
              <w:jc w:val="center"/>
            </w:pPr>
            <w:r>
              <w:rPr>
                <w:color w:val="4A5568"/>
                <w:sz w:val="18"/>
                <w:szCs w:val="18"/>
              </w:rPr>
              <w:t>Urgent intervention</w:t>
            </w:r>
          </w:p>
        </w:tc>
      </w:tr>
    </w:tbl>
    <w:p w:rsidR="00C72E85" w:rsidRDefault="00C72E85">
      <w:pPr>
        <w:spacing w:before="120"/>
      </w:pPr>
    </w:p>
    <w:p w:rsidR="00C72E85" w:rsidRDefault="00B63CA0">
      <w:pPr>
        <w:pStyle w:val="Heading2"/>
      </w:pPr>
      <w:r>
        <w:t>Key Findings</w:t>
      </w:r>
    </w:p>
    <w:p w:rsidR="00C72E85" w:rsidRDefault="00B63CA0">
      <w:pPr>
        <w:pStyle w:val="ListParagraph"/>
        <w:numPr>
          <w:ilvl w:val="0"/>
          <w:numId w:val="2"/>
        </w:numPr>
        <w:spacing w:before="60" w:after="60"/>
      </w:pPr>
      <w:r>
        <w:rPr>
          <w:color w:val="4A5568"/>
        </w:rPr>
        <w:t>A 30.8% cancellation rate is critically high by industry standards. The e-commerce benchmark is typically 5-8%. This represents an estimated $75,100 in lost revenue.</w:t>
      </w:r>
    </w:p>
    <w:p w:rsidR="00C72E85" w:rsidRDefault="00B63CA0">
      <w:pPr>
        <w:pStyle w:val="ListParagraph"/>
        <w:numPr>
          <w:ilvl w:val="0"/>
          <w:numId w:val="2"/>
        </w:numPr>
        <w:spacing w:before="60" w:after="60"/>
      </w:pPr>
      <w:r>
        <w:rPr>
          <w:color w:val="4A5568"/>
        </w:rPr>
        <w:t>34.0% of orders remain pending — a significant backlog that risks converting into additional cancellations if not resolved promptly.</w:t>
      </w:r>
    </w:p>
    <w:p w:rsidR="00C72E85" w:rsidRDefault="00B63CA0">
      <w:pPr>
        <w:pStyle w:val="ListParagraph"/>
        <w:numPr>
          <w:ilvl w:val="0"/>
          <w:numId w:val="2"/>
        </w:numPr>
        <w:spacing w:before="60" w:after="60"/>
      </w:pPr>
      <w:r>
        <w:rPr>
          <w:color w:val="4A5568"/>
        </w:rPr>
        <w:lastRenderedPageBreak/>
        <w:t>Only 35.2% of orders have been fully completed and fulfilled — this completion rate must be dramatically improved to sustai</w:t>
      </w:r>
      <w:r>
        <w:rPr>
          <w:color w:val="4A5568"/>
        </w:rPr>
        <w:t>n customer trust and lifetime value.</w:t>
      </w:r>
    </w:p>
    <w:p w:rsidR="00C72E85" w:rsidRDefault="00B63CA0">
      <w:pPr>
        <w:pStyle w:val="ListParagraph"/>
        <w:numPr>
          <w:ilvl w:val="0"/>
          <w:numId w:val="2"/>
        </w:numPr>
        <w:spacing w:before="60" w:after="60"/>
      </w:pPr>
      <w:r>
        <w:rPr>
          <w:color w:val="4A5568"/>
        </w:rPr>
        <w:t>Combined, cancelled and pending orders represent 64.8% of all transactions, suggesting systemic issues in inventory management, payment processing, or logistics.</w:t>
      </w:r>
    </w:p>
    <w:p w:rsidR="00C72E85" w:rsidRDefault="00C72E85">
      <w:pPr>
        <w:spacing w:before="120"/>
      </w:pPr>
    </w:p>
    <w:p w:rsidR="00C72E85" w:rsidRDefault="00C72E85">
      <w:pPr>
        <w:pBdr>
          <w:bottom w:val="single" w:sz="2" w:space="1" w:color="E8ECF0"/>
        </w:pBdr>
        <w:spacing w:before="160" w:after="160"/>
      </w:pPr>
    </w:p>
    <w:p w:rsidR="00C72E85" w:rsidRDefault="00B63CA0">
      <w:pPr>
        <w:pStyle w:val="Heading1"/>
        <w:pBdr>
          <w:bottom w:val="single" w:sz="4" w:space="6" w:color="2E7BC4"/>
        </w:pBdr>
      </w:pPr>
      <w:r>
        <w:t>7. Strategic Recommendations</w:t>
      </w:r>
    </w:p>
    <w:p w:rsidR="00C72E85" w:rsidRDefault="00B63CA0">
      <w:pPr>
        <w:pStyle w:val="Heading2"/>
      </w:pPr>
      <w:proofErr w:type="gramStart"/>
      <w:r>
        <w:t>7.1  Reduce</w:t>
      </w:r>
      <w:proofErr w:type="gramEnd"/>
      <w:r>
        <w:t xml:space="preserve"> Cancellation Rate — HIGH PRIORITY</w:t>
      </w:r>
    </w:p>
    <w:p w:rsidR="00C72E85" w:rsidRDefault="00B63CA0">
      <w:pPr>
        <w:pStyle w:val="ListParagraph"/>
        <w:numPr>
          <w:ilvl w:val="0"/>
          <w:numId w:val="2"/>
        </w:numPr>
        <w:spacing w:before="60" w:after="60"/>
      </w:pPr>
      <w:r>
        <w:rPr>
          <w:color w:val="4A5568"/>
        </w:rPr>
        <w:t>Conduct root cause analysis on 77 cancelled orders — identify whether cancellations stem from stock unavailability, payment failures, customer-initiated cancellations, or fulfilment delays.</w:t>
      </w:r>
    </w:p>
    <w:p w:rsidR="00C72E85" w:rsidRDefault="00B63CA0">
      <w:pPr>
        <w:pStyle w:val="ListParagraph"/>
        <w:numPr>
          <w:ilvl w:val="0"/>
          <w:numId w:val="2"/>
        </w:numPr>
        <w:spacing w:before="60" w:after="60"/>
      </w:pPr>
      <w:r>
        <w:rPr>
          <w:color w:val="4A5568"/>
        </w:rPr>
        <w:t xml:space="preserve">Implement proactive </w:t>
      </w:r>
      <w:r>
        <w:rPr>
          <w:color w:val="4A5568"/>
        </w:rPr>
        <w:t>order confirmation communications and real-time inventory checks at checkout to prevent post-order cancellations.</w:t>
      </w:r>
    </w:p>
    <w:p w:rsidR="00C72E85" w:rsidRDefault="00B63CA0">
      <w:pPr>
        <w:pStyle w:val="ListParagraph"/>
        <w:numPr>
          <w:ilvl w:val="0"/>
          <w:numId w:val="2"/>
        </w:numPr>
        <w:spacing w:before="60" w:after="60"/>
      </w:pPr>
      <w:r>
        <w:rPr>
          <w:color w:val="4A5568"/>
        </w:rPr>
        <w:t>Target a cancellation rate of below 10% within the next quarter through process improvements in fulfilment and customer communication.</w:t>
      </w:r>
    </w:p>
    <w:p w:rsidR="00C72E85" w:rsidRDefault="00C72E85">
      <w:pPr>
        <w:spacing w:before="60"/>
      </w:pPr>
    </w:p>
    <w:p w:rsidR="00C72E85" w:rsidRDefault="00B63CA0">
      <w:pPr>
        <w:pStyle w:val="Heading2"/>
      </w:pPr>
      <w:proofErr w:type="gramStart"/>
      <w:r>
        <w:t>7.2  D</w:t>
      </w:r>
      <w:r>
        <w:t>iversify</w:t>
      </w:r>
      <w:proofErr w:type="gramEnd"/>
      <w:r>
        <w:t xml:space="preserve"> Revenue Beyond Electronics &amp; Home Appliances</w:t>
      </w:r>
    </w:p>
    <w:p w:rsidR="00C72E85" w:rsidRDefault="00B63CA0">
      <w:pPr>
        <w:pStyle w:val="ListParagraph"/>
        <w:numPr>
          <w:ilvl w:val="0"/>
          <w:numId w:val="2"/>
        </w:numPr>
        <w:spacing w:before="60" w:after="60"/>
      </w:pPr>
      <w:r>
        <w:rPr>
          <w:color w:val="4A5568"/>
        </w:rPr>
        <w:t>Develop targeted promotions for Footwear, Clothing, and Books — categories currently contributing under 4% of revenue.</w:t>
      </w:r>
    </w:p>
    <w:p w:rsidR="00C72E85" w:rsidRDefault="00B63CA0">
      <w:pPr>
        <w:pStyle w:val="ListParagraph"/>
        <w:numPr>
          <w:ilvl w:val="0"/>
          <w:numId w:val="2"/>
        </w:numPr>
        <w:spacing w:before="60" w:after="60"/>
      </w:pPr>
      <w:r>
        <w:rPr>
          <w:color w:val="4A5568"/>
        </w:rPr>
        <w:t>Introduce bundle deals pairing high-performing categories (Electronics) with emergi</w:t>
      </w:r>
      <w:r>
        <w:rPr>
          <w:color w:val="4A5568"/>
        </w:rPr>
        <w:t>ng ones (Books/Clothing) to cross-sell and increase basket size.</w:t>
      </w:r>
    </w:p>
    <w:p w:rsidR="00C72E85" w:rsidRDefault="00B63CA0">
      <w:pPr>
        <w:pStyle w:val="ListParagraph"/>
        <w:numPr>
          <w:ilvl w:val="0"/>
          <w:numId w:val="2"/>
        </w:numPr>
        <w:spacing w:before="60" w:after="60"/>
      </w:pPr>
      <w:r>
        <w:rPr>
          <w:color w:val="4A5568"/>
        </w:rPr>
        <w:t>Assess whether the underperformance of Footwear and Clothing is due to product range, pricing, or visibility, and respond accordingly.</w:t>
      </w:r>
    </w:p>
    <w:p w:rsidR="00C72E85" w:rsidRDefault="00C72E85">
      <w:pPr>
        <w:spacing w:before="60"/>
      </w:pPr>
    </w:p>
    <w:p w:rsidR="00C72E85" w:rsidRDefault="00B63CA0">
      <w:pPr>
        <w:pStyle w:val="Heading2"/>
      </w:pPr>
      <w:proofErr w:type="gramStart"/>
      <w:r>
        <w:t xml:space="preserve">7.3  </w:t>
      </w:r>
      <w:proofErr w:type="spellStart"/>
      <w:r>
        <w:t>Optimise</w:t>
      </w:r>
      <w:proofErr w:type="spellEnd"/>
      <w:proofErr w:type="gramEnd"/>
      <w:r>
        <w:t xml:space="preserve"> Payment Method Strategy</w:t>
      </w:r>
    </w:p>
    <w:p w:rsidR="00C72E85" w:rsidRDefault="00B63CA0">
      <w:pPr>
        <w:pStyle w:val="ListParagraph"/>
        <w:numPr>
          <w:ilvl w:val="0"/>
          <w:numId w:val="2"/>
        </w:numPr>
        <w:spacing w:before="60" w:after="60"/>
      </w:pPr>
      <w:r>
        <w:rPr>
          <w:color w:val="4A5568"/>
        </w:rPr>
        <w:t>Promote Amazon Pa</w:t>
      </w:r>
      <w:r>
        <w:rPr>
          <w:color w:val="4A5568"/>
        </w:rPr>
        <w:t>y adoption through exclusive discounts or cashback offers — increasing native payment use reduces processing costs and strengthens the Amazon ecosystem.</w:t>
      </w:r>
    </w:p>
    <w:p w:rsidR="00C72E85" w:rsidRDefault="00B63CA0">
      <w:pPr>
        <w:pStyle w:val="ListParagraph"/>
        <w:numPr>
          <w:ilvl w:val="0"/>
          <w:numId w:val="2"/>
        </w:numPr>
        <w:spacing w:before="60" w:after="60"/>
      </w:pPr>
      <w:r>
        <w:rPr>
          <w:color w:val="4A5568"/>
        </w:rPr>
        <w:t>Create targeted upsell campaigns for Debit Card users (avg. $602/order), encouraging them toward higher</w:t>
      </w:r>
      <w:r>
        <w:rPr>
          <w:color w:val="4A5568"/>
        </w:rPr>
        <w:t xml:space="preserve">-value product bundles through </w:t>
      </w:r>
      <w:proofErr w:type="spellStart"/>
      <w:r>
        <w:rPr>
          <w:color w:val="4A5568"/>
        </w:rPr>
        <w:t>personalised</w:t>
      </w:r>
      <w:proofErr w:type="spellEnd"/>
      <w:r>
        <w:rPr>
          <w:color w:val="4A5568"/>
        </w:rPr>
        <w:t xml:space="preserve"> recommendations.</w:t>
      </w:r>
    </w:p>
    <w:p w:rsidR="00C72E85" w:rsidRDefault="00B63CA0">
      <w:pPr>
        <w:pStyle w:val="ListParagraph"/>
        <w:numPr>
          <w:ilvl w:val="0"/>
          <w:numId w:val="2"/>
        </w:numPr>
        <w:spacing w:before="60" w:after="60"/>
      </w:pPr>
      <w:r>
        <w:rPr>
          <w:color w:val="4A5568"/>
        </w:rPr>
        <w:t>Leverage Gift Card and Credit Card buyer profiles for premium product launches given their high average spend (~$1,141).</w:t>
      </w:r>
    </w:p>
    <w:p w:rsidR="00C72E85" w:rsidRDefault="00C72E85">
      <w:pPr>
        <w:spacing w:before="60"/>
      </w:pPr>
    </w:p>
    <w:p w:rsidR="00C72E85" w:rsidRDefault="00B63CA0">
      <w:pPr>
        <w:pStyle w:val="Heading2"/>
      </w:pPr>
      <w:proofErr w:type="gramStart"/>
      <w:r>
        <w:t>7.4  Geographic</w:t>
      </w:r>
      <w:proofErr w:type="gramEnd"/>
      <w:r>
        <w:t xml:space="preserve"> Expansion &amp; Targeting</w:t>
      </w:r>
    </w:p>
    <w:p w:rsidR="00C72E85" w:rsidRDefault="00B63CA0">
      <w:pPr>
        <w:pStyle w:val="ListParagraph"/>
        <w:numPr>
          <w:ilvl w:val="0"/>
          <w:numId w:val="2"/>
        </w:numPr>
        <w:spacing w:before="60" w:after="60"/>
      </w:pPr>
      <w:r>
        <w:rPr>
          <w:color w:val="4A5568"/>
        </w:rPr>
        <w:t>Invest in marketing campaigns for S</w:t>
      </w:r>
      <w:r>
        <w:rPr>
          <w:color w:val="4A5568"/>
        </w:rPr>
        <w:t>eattle — highest average order value ($1,222) with low order volume suggests untapped premium demand that can be activated.</w:t>
      </w:r>
    </w:p>
    <w:p w:rsidR="00C72E85" w:rsidRDefault="00B63CA0">
      <w:pPr>
        <w:pStyle w:val="ListParagraph"/>
        <w:numPr>
          <w:ilvl w:val="0"/>
          <w:numId w:val="2"/>
        </w:numPr>
        <w:spacing w:before="60" w:after="60"/>
      </w:pPr>
      <w:r>
        <w:rPr>
          <w:color w:val="4A5568"/>
        </w:rPr>
        <w:t xml:space="preserve">Develop city-specific promotions for Chicago, New York, and Los Angeles, which sit outside the top 5 </w:t>
      </w:r>
      <w:proofErr w:type="gramStart"/>
      <w:r>
        <w:rPr>
          <w:color w:val="4A5568"/>
        </w:rPr>
        <w:t>despite</w:t>
      </w:r>
      <w:proofErr w:type="gramEnd"/>
      <w:r>
        <w:rPr>
          <w:color w:val="4A5568"/>
        </w:rPr>
        <w:t xml:space="preserve"> being major commercial </w:t>
      </w:r>
      <w:r>
        <w:rPr>
          <w:color w:val="4A5568"/>
        </w:rPr>
        <w:t>markets.</w:t>
      </w:r>
    </w:p>
    <w:p w:rsidR="00C72E85" w:rsidRDefault="00B63CA0">
      <w:pPr>
        <w:pStyle w:val="ListParagraph"/>
        <w:numPr>
          <w:ilvl w:val="0"/>
          <w:numId w:val="2"/>
        </w:numPr>
        <w:spacing w:before="60" w:after="60"/>
      </w:pPr>
      <w:proofErr w:type="spellStart"/>
      <w:r>
        <w:rPr>
          <w:color w:val="4A5568"/>
        </w:rPr>
        <w:t>Analyse</w:t>
      </w:r>
      <w:proofErr w:type="spellEnd"/>
      <w:r>
        <w:rPr>
          <w:color w:val="4A5568"/>
        </w:rPr>
        <w:t xml:space="preserve"> customer demographics by city to tailor product recommendations and payment incentives to local preferences.</w:t>
      </w:r>
    </w:p>
    <w:p w:rsidR="00C72E85" w:rsidRDefault="00C72E85">
      <w:pPr>
        <w:spacing w:before="60"/>
      </w:pPr>
    </w:p>
    <w:p w:rsidR="00C72E85" w:rsidRDefault="00B63CA0">
      <w:pPr>
        <w:pStyle w:val="Heading2"/>
      </w:pPr>
      <w:proofErr w:type="gramStart"/>
      <w:r>
        <w:t>7.5  Resolve</w:t>
      </w:r>
      <w:proofErr w:type="gramEnd"/>
      <w:r>
        <w:t xml:space="preserve"> Pending Orders Backlog</w:t>
      </w:r>
    </w:p>
    <w:p w:rsidR="00C72E85" w:rsidRDefault="00B63CA0">
      <w:pPr>
        <w:pStyle w:val="ListParagraph"/>
        <w:numPr>
          <w:ilvl w:val="0"/>
          <w:numId w:val="2"/>
        </w:numPr>
        <w:spacing w:before="60" w:after="60"/>
      </w:pPr>
      <w:proofErr w:type="spellStart"/>
      <w:r>
        <w:rPr>
          <w:color w:val="4A5568"/>
        </w:rPr>
        <w:t>Prioritise</w:t>
      </w:r>
      <w:proofErr w:type="spellEnd"/>
      <w:r>
        <w:rPr>
          <w:color w:val="4A5568"/>
        </w:rPr>
        <w:t xml:space="preserve"> clearance of the 85 pending orders through dedicated fulfilment review — unresolve</w:t>
      </w:r>
      <w:r>
        <w:rPr>
          <w:color w:val="4A5568"/>
        </w:rPr>
        <w:t>d pending orders risk deteriorating into further cancellations.</w:t>
      </w:r>
    </w:p>
    <w:p w:rsidR="00C72E85" w:rsidRDefault="00B63CA0">
      <w:pPr>
        <w:pStyle w:val="ListParagraph"/>
        <w:numPr>
          <w:ilvl w:val="0"/>
          <w:numId w:val="2"/>
        </w:numPr>
        <w:spacing w:before="60" w:after="60"/>
      </w:pPr>
      <w:r>
        <w:rPr>
          <w:color w:val="4A5568"/>
        </w:rPr>
        <w:t>Introduce an SLA (Service Level Agreement) for order processing: all orders should be actioned within 24 hours of placement.</w:t>
      </w:r>
    </w:p>
    <w:p w:rsidR="00C72E85" w:rsidRDefault="00B63CA0">
      <w:pPr>
        <w:pStyle w:val="ListParagraph"/>
        <w:numPr>
          <w:ilvl w:val="0"/>
          <w:numId w:val="2"/>
        </w:numPr>
        <w:spacing w:before="60" w:after="60"/>
      </w:pPr>
      <w:r>
        <w:rPr>
          <w:color w:val="4A5568"/>
        </w:rPr>
        <w:lastRenderedPageBreak/>
        <w:t xml:space="preserve">Implement automated alerts for orders exceeding the processing SLA </w:t>
      </w:r>
      <w:r>
        <w:rPr>
          <w:color w:val="4A5568"/>
        </w:rPr>
        <w:t>threshold to enable proactive intervention.</w:t>
      </w:r>
    </w:p>
    <w:p w:rsidR="00C72E85" w:rsidRDefault="00C72E85">
      <w:pPr>
        <w:spacing w:before="120"/>
      </w:pPr>
    </w:p>
    <w:p w:rsidR="00C72E85" w:rsidRDefault="00C72E85">
      <w:pPr>
        <w:pBdr>
          <w:bottom w:val="single" w:sz="2" w:space="1" w:color="E8ECF0"/>
        </w:pBdr>
        <w:spacing w:before="160" w:after="160"/>
      </w:pPr>
    </w:p>
    <w:p w:rsidR="00C72E85" w:rsidRDefault="00B63CA0">
      <w:pPr>
        <w:pStyle w:val="Heading1"/>
        <w:pBdr>
          <w:bottom w:val="single" w:sz="4" w:space="6" w:color="2E7BC4"/>
        </w:pBdr>
      </w:pPr>
      <w:r>
        <w:t>8. Conclusion</w:t>
      </w:r>
    </w:p>
    <w:p w:rsidR="00C72E85" w:rsidRDefault="00B63CA0">
      <w:pPr>
        <w:spacing w:before="80" w:after="80"/>
      </w:pPr>
      <w:r>
        <w:rPr>
          <w:color w:val="4A5568"/>
        </w:rPr>
        <w:t>Amazon's 2025 sales data reflects a business with strong revenue fundamentals — $243,845 in total revenue, a healthy $975 average order value, and dominant performance in Electronics and Home Appliances. However, the 30.8% cancellation rate and 64.8% incom</w:t>
      </w:r>
      <w:r>
        <w:rPr>
          <w:color w:val="4A5568"/>
        </w:rPr>
        <w:t>plete order ratio represent urgent operational risks that, if left unaddressed, will erode customer confidence and long-term revenue potential.</w:t>
      </w:r>
    </w:p>
    <w:p w:rsidR="00C72E85" w:rsidRDefault="00C72E85">
      <w:pPr>
        <w:spacing w:before="80"/>
      </w:pPr>
    </w:p>
    <w:p w:rsidR="00C72E85" w:rsidRDefault="00B63CA0">
      <w:pPr>
        <w:spacing w:before="80" w:after="80"/>
      </w:pPr>
      <w:r>
        <w:rPr>
          <w:color w:val="4A5568"/>
        </w:rPr>
        <w:t xml:space="preserve">The geographic and payment analyses reveal high-value customer segments — particularly in Seattle, Denver, and </w:t>
      </w:r>
      <w:r>
        <w:rPr>
          <w:color w:val="4A5568"/>
        </w:rPr>
        <w:t>among PayPal/Credit Card users — that can be leveraged for premium product campaigns. Meanwhile, category diversification into Footwear, Clothing, and Books presents a low-risk growth opportunity to reduce revenue concentration risk.</w:t>
      </w:r>
    </w:p>
    <w:p w:rsidR="00C72E85" w:rsidRDefault="00C72E85">
      <w:pPr>
        <w:spacing w:before="80"/>
      </w:pPr>
    </w:p>
    <w:p w:rsidR="00C72E85" w:rsidRDefault="00B63CA0">
      <w:pPr>
        <w:spacing w:before="80" w:after="80"/>
      </w:pPr>
      <w:r>
        <w:rPr>
          <w:color w:val="4A5568"/>
        </w:rPr>
        <w:t xml:space="preserve">Immediate priorities </w:t>
      </w:r>
      <w:r>
        <w:rPr>
          <w:color w:val="4A5568"/>
        </w:rPr>
        <w:t>should be: (1) diagnosing and resolving the cancellation crisis, (2) clearing the pending orders backlog, and (3) launching targeted campaigns to convert high-potential but underperforming segments. With the right operational improvements and strategic inv</w:t>
      </w:r>
      <w:r>
        <w:rPr>
          <w:color w:val="4A5568"/>
        </w:rPr>
        <w:t>estments, Amazon is well-positioned to significantly outperform these early 2025 figures through the remainder of the year.</w:t>
      </w:r>
    </w:p>
    <w:p w:rsidR="00C72E85" w:rsidRDefault="00C72E85">
      <w:pPr>
        <w:spacing w:before="200"/>
      </w:pPr>
    </w:p>
    <w:p w:rsidR="00C72E85" w:rsidRDefault="00C72E85">
      <w:pPr>
        <w:pBdr>
          <w:bottom w:val="single" w:sz="2" w:space="1" w:color="E8ECF0"/>
        </w:pBdr>
        <w:spacing w:before="160" w:after="160"/>
      </w:pPr>
    </w:p>
    <w:p w:rsidR="00C72E85" w:rsidRDefault="00B63CA0">
      <w:pPr>
        <w:spacing w:before="100" w:after="60"/>
        <w:jc w:val="center"/>
      </w:pPr>
      <w:r>
        <w:rPr>
          <w:i/>
          <w:iCs/>
          <w:color w:val="888888"/>
          <w:sz w:val="16"/>
          <w:szCs w:val="16"/>
        </w:rPr>
        <w:t>This report is prepared for internal stakeholder use only. All figures are derived from the Amazon Sales Dataset 2025.</w:t>
      </w:r>
    </w:p>
    <w:p w:rsidR="00C72E85" w:rsidRDefault="00D20CA7">
      <w:pPr>
        <w:jc w:val="center"/>
      </w:pPr>
      <w:r>
        <w:rPr>
          <w:b/>
          <w:bCs/>
          <w:color w:val="1A3C6E"/>
          <w:sz w:val="16"/>
          <w:szCs w:val="16"/>
        </w:rPr>
        <w:t>Varun Dhusia</w:t>
      </w:r>
      <w:bookmarkStart w:id="0" w:name="_GoBack"/>
      <w:bookmarkEnd w:id="0"/>
      <w:r w:rsidR="00B63CA0">
        <w:rPr>
          <w:b/>
          <w:bCs/>
          <w:color w:val="1A3C6E"/>
          <w:sz w:val="16"/>
          <w:szCs w:val="16"/>
        </w:rPr>
        <w:t xml:space="preserve"> |  February 2026  |  CONFIDENTIAL</w:t>
      </w:r>
    </w:p>
    <w:sectPr w:rsidR="00C72E85">
      <w:headerReference w:type="default" r:id="rId12"/>
      <w:footerReference w:type="default" r:id="rId13"/>
      <w:pgSz w:w="12240" w:h="15840"/>
      <w:pgMar w:top="1080" w:right="1260" w:bottom="108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B63CA0" w:rsidRDefault="00B63CA0">
      <w:r>
        <w:separator/>
      </w:r>
    </w:p>
  </w:endnote>
  <w:endnote w:type="continuationSeparator" w:id="0">
    <w:p w:rsidR="00B63CA0" w:rsidRDefault="00B63CA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C72E85" w:rsidRDefault="00B63CA0">
    <w:pPr>
      <w:pBdr>
        <w:top w:val="single" w:sz="3" w:space="4" w:color="E8ECF0"/>
      </w:pBdr>
      <w:tabs>
        <w:tab w:val="right" w:pos="9026"/>
      </w:tabs>
      <w:spacing w:before="100"/>
    </w:pPr>
    <w:r>
      <w:rPr>
        <w:color w:val="888888"/>
        <w:sz w:val="16"/>
        <w:szCs w:val="16"/>
      </w:rPr>
      <w:t xml:space="preserve">Business Intelligence &amp; Analytics </w:t>
    </w:r>
    <w:proofErr w:type="gramStart"/>
    <w:r>
      <w:rPr>
        <w:color w:val="888888"/>
        <w:sz w:val="16"/>
        <w:szCs w:val="16"/>
      </w:rPr>
      <w:t>Division  |</w:t>
    </w:r>
    <w:proofErr w:type="gramEnd"/>
    <w:r>
      <w:rPr>
        <w:color w:val="888888"/>
        <w:sz w:val="16"/>
        <w:szCs w:val="16"/>
      </w:rPr>
      <w:t xml:space="preserve">  Amazon Sales 2025</w:t>
    </w:r>
    <w:r>
      <w:rPr>
        <w:color w:val="888888"/>
        <w:sz w:val="16"/>
        <w:szCs w:val="16"/>
      </w:rPr>
      <w:tab/>
      <w:t xml:space="preserve">Page </w:t>
    </w:r>
    <w:r>
      <w:rPr>
        <w:color w:val="888888"/>
        <w:sz w:val="16"/>
        <w:szCs w:val="16"/>
      </w:rPr>
      <w:fldChar w:fldCharType="begin"/>
    </w:r>
    <w:r>
      <w:rPr>
        <w:color w:val="888888"/>
        <w:sz w:val="16"/>
        <w:szCs w:val="16"/>
      </w:rPr>
      <w:instrText>PAGE</w:instrText>
    </w:r>
    <w:r w:rsidR="00657CD1">
      <w:rPr>
        <w:color w:val="888888"/>
        <w:sz w:val="16"/>
        <w:szCs w:val="16"/>
      </w:rPr>
      <w:fldChar w:fldCharType="separate"/>
    </w:r>
    <w:r w:rsidR="00657CD1">
      <w:rPr>
        <w:noProof/>
        <w:color w:val="888888"/>
        <w:sz w:val="16"/>
        <w:szCs w:val="16"/>
      </w:rPr>
      <w:t>2</w:t>
    </w:r>
    <w:r>
      <w:rPr>
        <w:color w:val="888888"/>
        <w:sz w:val="16"/>
        <w:szCs w:val="16"/>
      </w:rPr>
      <w:fldChar w:fldCharType="end"/>
    </w:r>
    <w:r>
      <w:rPr>
        <w:color w:val="888888"/>
        <w:sz w:val="16"/>
        <w:szCs w:val="16"/>
      </w:rPr>
      <w:t xml:space="preserve"> of </w:t>
    </w:r>
    <w:r>
      <w:rPr>
        <w:color w:val="888888"/>
        <w:sz w:val="16"/>
        <w:szCs w:val="16"/>
      </w:rPr>
      <w:fldChar w:fldCharType="begin"/>
    </w:r>
    <w:r>
      <w:rPr>
        <w:color w:val="888888"/>
        <w:sz w:val="16"/>
        <w:szCs w:val="16"/>
      </w:rPr>
      <w:instrText>NUMPAGES</w:instrText>
    </w:r>
    <w:r w:rsidR="00657CD1">
      <w:rPr>
        <w:color w:val="888888"/>
        <w:sz w:val="16"/>
        <w:szCs w:val="16"/>
      </w:rPr>
      <w:fldChar w:fldCharType="separate"/>
    </w:r>
    <w:r w:rsidR="00657CD1">
      <w:rPr>
        <w:noProof/>
        <w:color w:val="888888"/>
        <w:sz w:val="16"/>
        <w:szCs w:val="16"/>
      </w:rPr>
      <w:t>2</w:t>
    </w:r>
    <w:r>
      <w:rPr>
        <w:color w:val="888888"/>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B63CA0" w:rsidRDefault="00B63CA0">
      <w:r>
        <w:separator/>
      </w:r>
    </w:p>
  </w:footnote>
  <w:footnote w:type="continuationSeparator" w:id="0">
    <w:p w:rsidR="00B63CA0" w:rsidRDefault="00B63CA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C72E85" w:rsidRDefault="00B63CA0">
    <w:pPr>
      <w:pBdr>
        <w:bottom w:val="single" w:sz="4" w:space="4" w:color="2E7BC4"/>
      </w:pBdr>
      <w:tabs>
        <w:tab w:val="right" w:pos="9026"/>
      </w:tabs>
      <w:spacing w:after="120"/>
    </w:pPr>
    <w:r>
      <w:rPr>
        <w:b/>
        <w:bCs/>
        <w:color w:val="1A3C6E"/>
        <w:sz w:val="17"/>
        <w:szCs w:val="17"/>
      </w:rPr>
      <w:t>Amazon Sales Report 2025</w:t>
    </w:r>
    <w:r>
      <w:rPr>
        <w:i/>
        <w:iCs/>
        <w:color w:val="888888"/>
        <w:sz w:val="15"/>
        <w:szCs w:val="15"/>
      </w:rPr>
      <w:tab/>
      <w:t>CONFIDENTIAL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4A1430F"/>
    <w:multiLevelType w:val="hybridMultilevel"/>
    <w:tmpl w:val="97E4AEF4"/>
    <w:lvl w:ilvl="0" w:tplc="4C4C6536">
      <w:start w:val="1"/>
      <w:numFmt w:val="bullet"/>
      <w:lvlText w:val="•"/>
      <w:lvlJc w:val="left"/>
      <w:pPr>
        <w:ind w:left="720" w:hanging="360"/>
      </w:pPr>
    </w:lvl>
    <w:lvl w:ilvl="1" w:tplc="23D8A00A">
      <w:numFmt w:val="decimal"/>
      <w:lvlText w:val=""/>
      <w:lvlJc w:val="left"/>
    </w:lvl>
    <w:lvl w:ilvl="2" w:tplc="3826916C">
      <w:numFmt w:val="decimal"/>
      <w:lvlText w:val=""/>
      <w:lvlJc w:val="left"/>
    </w:lvl>
    <w:lvl w:ilvl="3" w:tplc="4570270C">
      <w:numFmt w:val="decimal"/>
      <w:lvlText w:val=""/>
      <w:lvlJc w:val="left"/>
    </w:lvl>
    <w:lvl w:ilvl="4" w:tplc="48A40BA2">
      <w:numFmt w:val="decimal"/>
      <w:lvlText w:val=""/>
      <w:lvlJc w:val="left"/>
    </w:lvl>
    <w:lvl w:ilvl="5" w:tplc="CBD4282A">
      <w:numFmt w:val="decimal"/>
      <w:lvlText w:val=""/>
      <w:lvlJc w:val="left"/>
    </w:lvl>
    <w:lvl w:ilvl="6" w:tplc="5AC47076">
      <w:numFmt w:val="decimal"/>
      <w:lvlText w:val=""/>
      <w:lvlJc w:val="left"/>
    </w:lvl>
    <w:lvl w:ilvl="7" w:tplc="E6BAF876">
      <w:numFmt w:val="decimal"/>
      <w:lvlText w:val=""/>
      <w:lvlJc w:val="left"/>
    </w:lvl>
    <w:lvl w:ilvl="8" w:tplc="564C2490">
      <w:numFmt w:val="decimal"/>
      <w:lvlText w:val=""/>
      <w:lvlJc w:val="left"/>
    </w:lvl>
  </w:abstractNum>
  <w:abstractNum w:abstractNumId="1" w15:restartNumberingAfterBreak="0">
    <w:nsid w:val="78453455"/>
    <w:multiLevelType w:val="hybridMultilevel"/>
    <w:tmpl w:val="E32484C4"/>
    <w:lvl w:ilvl="0" w:tplc="BC824364">
      <w:start w:val="1"/>
      <w:numFmt w:val="bullet"/>
      <w:lvlText w:val="●"/>
      <w:lvlJc w:val="left"/>
      <w:pPr>
        <w:ind w:left="720" w:hanging="360"/>
      </w:pPr>
    </w:lvl>
    <w:lvl w:ilvl="1" w:tplc="A54E41AA">
      <w:start w:val="1"/>
      <w:numFmt w:val="bullet"/>
      <w:lvlText w:val="○"/>
      <w:lvlJc w:val="left"/>
      <w:pPr>
        <w:ind w:left="1440" w:hanging="360"/>
      </w:pPr>
    </w:lvl>
    <w:lvl w:ilvl="2" w:tplc="A2ECC964">
      <w:start w:val="1"/>
      <w:numFmt w:val="bullet"/>
      <w:lvlText w:val="■"/>
      <w:lvlJc w:val="left"/>
      <w:pPr>
        <w:ind w:left="2160" w:hanging="360"/>
      </w:pPr>
    </w:lvl>
    <w:lvl w:ilvl="3" w:tplc="834A116A">
      <w:start w:val="1"/>
      <w:numFmt w:val="bullet"/>
      <w:lvlText w:val="●"/>
      <w:lvlJc w:val="left"/>
      <w:pPr>
        <w:ind w:left="2880" w:hanging="360"/>
      </w:pPr>
    </w:lvl>
    <w:lvl w:ilvl="4" w:tplc="8CAC1052">
      <w:start w:val="1"/>
      <w:numFmt w:val="bullet"/>
      <w:lvlText w:val="○"/>
      <w:lvlJc w:val="left"/>
      <w:pPr>
        <w:ind w:left="3600" w:hanging="360"/>
      </w:pPr>
    </w:lvl>
    <w:lvl w:ilvl="5" w:tplc="5FAA89BA">
      <w:start w:val="1"/>
      <w:numFmt w:val="bullet"/>
      <w:lvlText w:val="■"/>
      <w:lvlJc w:val="left"/>
      <w:pPr>
        <w:ind w:left="4320" w:hanging="360"/>
      </w:pPr>
    </w:lvl>
    <w:lvl w:ilvl="6" w:tplc="30EAC6E6">
      <w:start w:val="1"/>
      <w:numFmt w:val="bullet"/>
      <w:lvlText w:val="●"/>
      <w:lvlJc w:val="left"/>
      <w:pPr>
        <w:ind w:left="5040" w:hanging="360"/>
      </w:pPr>
    </w:lvl>
    <w:lvl w:ilvl="7" w:tplc="E8022D4E">
      <w:start w:val="1"/>
      <w:numFmt w:val="bullet"/>
      <w:lvlText w:val="●"/>
      <w:lvlJc w:val="left"/>
      <w:pPr>
        <w:ind w:left="5760" w:hanging="360"/>
      </w:pPr>
    </w:lvl>
    <w:lvl w:ilvl="8" w:tplc="8BCA4ED0">
      <w:start w:val="1"/>
      <w:numFmt w:val="bullet"/>
      <w:lvlText w:val="●"/>
      <w:lvlJc w:val="left"/>
      <w:pPr>
        <w:ind w:left="6480" w:hanging="360"/>
      </w:pPr>
    </w:lvl>
  </w:abstractNum>
  <w:num w:numId="1">
    <w:abstractNumId w:val="1"/>
    <w:lvlOverride w:ilvl="0">
      <w:startOverride w:val="1"/>
    </w:lvlOverride>
  </w:num>
  <w:num w:numId="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72E85"/>
    <w:rsid w:val="0001429E"/>
    <w:rsid w:val="004B364E"/>
    <w:rsid w:val="00657CD1"/>
    <w:rsid w:val="00B63CA0"/>
    <w:rsid w:val="00C72E85"/>
    <w:rsid w:val="00D20CA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AE7CBB"/>
  <w15:docId w15:val="{D929454B-728A-4CC5-990F-FEBC20C050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Arial" w:eastAsia="Arial" w:hAnsi="Arial" w:cs="Arial"/>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uiPriority w:val="9"/>
    <w:qFormat/>
    <w:pPr>
      <w:spacing w:before="320" w:after="160"/>
      <w:outlineLvl w:val="0"/>
    </w:pPr>
    <w:rPr>
      <w:b/>
      <w:bCs/>
      <w:color w:val="1A3C6E"/>
      <w:sz w:val="28"/>
      <w:szCs w:val="28"/>
    </w:rPr>
  </w:style>
  <w:style w:type="paragraph" w:styleId="Heading2">
    <w:name w:val="heading 2"/>
    <w:uiPriority w:val="9"/>
    <w:unhideWhenUsed/>
    <w:qFormat/>
    <w:pPr>
      <w:spacing w:before="200" w:after="100"/>
      <w:outlineLvl w:val="1"/>
    </w:pPr>
    <w:rPr>
      <w:b/>
      <w:bCs/>
      <w:color w:val="2E7BC4"/>
      <w:sz w:val="22"/>
      <w:szCs w:val="22"/>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TotalTime>
  <Pages>9</Pages>
  <Words>1719</Words>
  <Characters>9799</Characters>
  <Application>Microsoft Office Word</Application>
  <DocSecurity>0</DocSecurity>
  <Lines>81</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11496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Varun Dhusia</cp:lastModifiedBy>
  <cp:revision>4</cp:revision>
  <dcterms:created xsi:type="dcterms:W3CDTF">2026-02-24T06:20:00Z</dcterms:created>
  <dcterms:modified xsi:type="dcterms:W3CDTF">2026-02-24T06:40:00Z</dcterms:modified>
</cp:coreProperties>
</file>