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8A253" w14:textId="675B5DDF" w:rsidR="00934BD2" w:rsidRPr="00347208" w:rsidRDefault="00934BD2" w:rsidP="00934BD2">
      <w:pPr>
        <w:pStyle w:val="p1"/>
        <w:rPr>
          <w:rStyle w:val="s1"/>
          <w:rFonts w:eastAsiaTheme="majorEastAsia"/>
          <w:sz w:val="32"/>
          <w:szCs w:val="32"/>
        </w:rPr>
      </w:pPr>
      <w:r w:rsidRPr="00347208">
        <w:rPr>
          <w:noProof/>
          <w:sz w:val="22"/>
          <w:szCs w:val="22"/>
        </w:rPr>
        <w:drawing>
          <wp:anchor distT="0" distB="0" distL="114300" distR="114300" simplePos="0" relativeHeight="251658240" behindDoc="1" locked="0" layoutInCell="1" allowOverlap="1" wp14:anchorId="7F000B20" wp14:editId="2E1F32E3">
            <wp:simplePos x="0" y="0"/>
            <wp:positionH relativeFrom="column">
              <wp:posOffset>3175</wp:posOffset>
            </wp:positionH>
            <wp:positionV relativeFrom="paragraph">
              <wp:posOffset>163527</wp:posOffset>
            </wp:positionV>
            <wp:extent cx="1244600" cy="1130300"/>
            <wp:effectExtent l="0" t="0" r="0" b="0"/>
            <wp:wrapThrough wrapText="bothSides">
              <wp:wrapPolygon edited="0">
                <wp:start x="0" y="0"/>
                <wp:lineTo x="0" y="21357"/>
                <wp:lineTo x="21380" y="21357"/>
                <wp:lineTo x="21380" y="0"/>
                <wp:lineTo x="0" y="0"/>
              </wp:wrapPolygon>
            </wp:wrapThrough>
            <wp:docPr id="2044572956" name="Εικόνα 1" descr="Εικόνα που περιέχει κείμενο, έμβλημα, σύμβολο, κέρμα&#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72956" name="Εικόνα 1" descr="Εικόνα που περιέχει κείμενο, έμβλημα, σύμβολο, κέρμα&#10;&#10;Το περιεχόμενο που δημιουργείται από τεχνολογία AI ενδέχεται να είναι εσφαλμένο."/>
                    <pic:cNvPicPr/>
                  </pic:nvPicPr>
                  <pic:blipFill>
                    <a:blip r:embed="rId6">
                      <a:extLst>
                        <a:ext uri="{28A0092B-C50C-407E-A947-70E740481C1C}">
                          <a14:useLocalDpi xmlns:a14="http://schemas.microsoft.com/office/drawing/2010/main" val="0"/>
                        </a:ext>
                      </a:extLst>
                    </a:blip>
                    <a:stretch>
                      <a:fillRect/>
                    </a:stretch>
                  </pic:blipFill>
                  <pic:spPr>
                    <a:xfrm>
                      <a:off x="0" y="0"/>
                      <a:ext cx="1244600" cy="1130300"/>
                    </a:xfrm>
                    <a:prstGeom prst="rect">
                      <a:avLst/>
                    </a:prstGeom>
                  </pic:spPr>
                </pic:pic>
              </a:graphicData>
            </a:graphic>
            <wp14:sizeRelH relativeFrom="page">
              <wp14:pctWidth>0</wp14:pctWidth>
            </wp14:sizeRelH>
            <wp14:sizeRelV relativeFrom="page">
              <wp14:pctHeight>0</wp14:pctHeight>
            </wp14:sizeRelV>
          </wp:anchor>
        </w:drawing>
      </w:r>
    </w:p>
    <w:p w14:paraId="3D1D9050" w14:textId="6D5B6C6C" w:rsidR="00934BD2" w:rsidRPr="00347208" w:rsidRDefault="00934BD2" w:rsidP="00934BD2">
      <w:pPr>
        <w:pStyle w:val="p1"/>
        <w:rPr>
          <w:sz w:val="22"/>
          <w:szCs w:val="22"/>
        </w:rPr>
      </w:pPr>
      <w:r w:rsidRPr="00347208">
        <w:rPr>
          <w:rStyle w:val="s1"/>
          <w:rFonts w:eastAsiaTheme="majorEastAsia"/>
          <w:sz w:val="32"/>
          <w:szCs w:val="32"/>
        </w:rPr>
        <w:t>Ε</w:t>
      </w:r>
      <w:r w:rsidRPr="00347208">
        <w:rPr>
          <w:sz w:val="22"/>
          <w:szCs w:val="22"/>
        </w:rPr>
        <w:t xml:space="preserve">ΘΝΙΚΟ </w:t>
      </w:r>
      <w:r w:rsidRPr="00347208">
        <w:rPr>
          <w:rStyle w:val="s1"/>
          <w:rFonts w:eastAsiaTheme="majorEastAsia"/>
          <w:sz w:val="32"/>
          <w:szCs w:val="32"/>
        </w:rPr>
        <w:t>Μ</w:t>
      </w:r>
      <w:r w:rsidRPr="00347208">
        <w:rPr>
          <w:sz w:val="22"/>
          <w:szCs w:val="22"/>
        </w:rPr>
        <w:t xml:space="preserve">ΕΤΣΟΒΙΟ </w:t>
      </w:r>
      <w:r w:rsidRPr="00347208">
        <w:rPr>
          <w:rStyle w:val="s1"/>
          <w:rFonts w:eastAsiaTheme="majorEastAsia"/>
          <w:sz w:val="32"/>
          <w:szCs w:val="32"/>
        </w:rPr>
        <w:t>Π</w:t>
      </w:r>
      <w:r w:rsidRPr="00347208">
        <w:rPr>
          <w:sz w:val="22"/>
          <w:szCs w:val="22"/>
        </w:rPr>
        <w:t>ΟΛΥΤΕΧΝΕΙΟ</w:t>
      </w:r>
    </w:p>
    <w:p w14:paraId="513C623F" w14:textId="77777777" w:rsidR="00934BD2" w:rsidRPr="00347208" w:rsidRDefault="00934BD2" w:rsidP="00934BD2">
      <w:pPr>
        <w:pStyle w:val="p2"/>
        <w:rPr>
          <w:rStyle w:val="s2"/>
          <w:rFonts w:eastAsiaTheme="majorEastAsia"/>
          <w:sz w:val="24"/>
          <w:szCs w:val="24"/>
        </w:rPr>
      </w:pPr>
    </w:p>
    <w:p w14:paraId="32361705" w14:textId="6B951465" w:rsidR="00934BD2" w:rsidRPr="00347208" w:rsidRDefault="00934BD2" w:rsidP="00934BD2">
      <w:pPr>
        <w:pStyle w:val="p2"/>
        <w:rPr>
          <w:sz w:val="20"/>
          <w:szCs w:val="20"/>
        </w:rPr>
      </w:pPr>
      <w:r w:rsidRPr="00347208">
        <w:rPr>
          <w:rStyle w:val="s2"/>
          <w:rFonts w:eastAsiaTheme="majorEastAsia"/>
          <w:sz w:val="24"/>
          <w:szCs w:val="24"/>
        </w:rPr>
        <w:t>Σ</w:t>
      </w:r>
      <w:r w:rsidRPr="00347208">
        <w:rPr>
          <w:sz w:val="20"/>
          <w:szCs w:val="20"/>
        </w:rPr>
        <w:t xml:space="preserve">ΧΟΛΗ </w:t>
      </w:r>
      <w:r w:rsidRPr="00347208">
        <w:rPr>
          <w:rStyle w:val="s2"/>
          <w:rFonts w:eastAsiaTheme="majorEastAsia"/>
          <w:sz w:val="24"/>
          <w:szCs w:val="24"/>
        </w:rPr>
        <w:t>Η</w:t>
      </w:r>
      <w:r w:rsidRPr="00347208">
        <w:rPr>
          <w:sz w:val="20"/>
          <w:szCs w:val="20"/>
        </w:rPr>
        <w:t xml:space="preserve">ΛΕΚΤΡΟΛΟΓΩΝ </w:t>
      </w:r>
      <w:r w:rsidRPr="00347208">
        <w:rPr>
          <w:rStyle w:val="s2"/>
          <w:rFonts w:eastAsiaTheme="majorEastAsia"/>
          <w:sz w:val="24"/>
          <w:szCs w:val="24"/>
        </w:rPr>
        <w:t>Μ</w:t>
      </w:r>
      <w:r w:rsidRPr="00347208">
        <w:rPr>
          <w:sz w:val="20"/>
          <w:szCs w:val="20"/>
        </w:rPr>
        <w:t>ΗΧΑΝΙΚΩΝ</w:t>
      </w:r>
    </w:p>
    <w:p w14:paraId="601DD901" w14:textId="0EB5FA4B" w:rsidR="00934BD2" w:rsidRPr="00347208" w:rsidRDefault="00934BD2" w:rsidP="00934BD2">
      <w:pPr>
        <w:pStyle w:val="p2"/>
        <w:rPr>
          <w:sz w:val="20"/>
          <w:szCs w:val="20"/>
        </w:rPr>
      </w:pPr>
      <w:r w:rsidRPr="00347208">
        <w:rPr>
          <w:sz w:val="20"/>
          <w:szCs w:val="20"/>
        </w:rPr>
        <w:t xml:space="preserve">ΚΑΙ </w:t>
      </w:r>
      <w:r w:rsidRPr="00347208">
        <w:rPr>
          <w:rStyle w:val="s2"/>
          <w:rFonts w:eastAsiaTheme="majorEastAsia"/>
          <w:sz w:val="24"/>
          <w:szCs w:val="24"/>
        </w:rPr>
        <w:t>Μ</w:t>
      </w:r>
      <w:r w:rsidRPr="00347208">
        <w:rPr>
          <w:sz w:val="20"/>
          <w:szCs w:val="20"/>
        </w:rPr>
        <w:t xml:space="preserve">ΗΧΑΝΙΚΩΝ </w:t>
      </w:r>
      <w:r w:rsidRPr="00347208">
        <w:rPr>
          <w:rStyle w:val="s2"/>
          <w:rFonts w:eastAsiaTheme="majorEastAsia"/>
          <w:sz w:val="24"/>
          <w:szCs w:val="24"/>
        </w:rPr>
        <w:t>Υ</w:t>
      </w:r>
      <w:r w:rsidRPr="00347208">
        <w:rPr>
          <w:sz w:val="20"/>
          <w:szCs w:val="20"/>
        </w:rPr>
        <w:t>ΠΟΛΟΓΙΣΤΩΝ</w:t>
      </w:r>
    </w:p>
    <w:p w14:paraId="0A175BF7" w14:textId="588420F8" w:rsidR="00B6168F" w:rsidRPr="00347208" w:rsidRDefault="00B6168F" w:rsidP="00934BD2">
      <w:pPr>
        <w:pStyle w:val="p2"/>
        <w:rPr>
          <w:sz w:val="20"/>
          <w:szCs w:val="20"/>
        </w:rPr>
      </w:pPr>
      <w:r w:rsidRPr="00347208">
        <w:rPr>
          <w:sz w:val="20"/>
          <w:szCs w:val="20"/>
        </w:rPr>
        <w:t>ΤΟΜΕΑΣ ΗΛΕΚΤΡΟΝΙΚΩΝ ΒΙΟΜΗΧΑΝΙΚΩΝ ΔΙΑΤΑΞΕΩΝ ΚΑΙ ΣΥΣΤΗΜΑΤΩΝ</w:t>
      </w:r>
    </w:p>
    <w:p w14:paraId="58672C54" w14:textId="77777777" w:rsidR="00934BD2" w:rsidRPr="00347208" w:rsidRDefault="00934BD2">
      <w:pPr>
        <w:rPr>
          <w:rFonts w:ascii="Times New Roman" w:hAnsi="Times New Roman" w:cs="Times New Roman"/>
          <w:sz w:val="20"/>
          <w:szCs w:val="20"/>
        </w:rPr>
      </w:pPr>
    </w:p>
    <w:p w14:paraId="21DD5796" w14:textId="77777777" w:rsidR="00934BD2" w:rsidRPr="00347208" w:rsidRDefault="00934BD2">
      <w:pPr>
        <w:rPr>
          <w:rFonts w:ascii="Times New Roman" w:hAnsi="Times New Roman" w:cs="Times New Roman"/>
          <w:sz w:val="20"/>
          <w:szCs w:val="20"/>
        </w:rPr>
      </w:pPr>
    </w:p>
    <w:p w14:paraId="768F034E" w14:textId="77777777" w:rsidR="00B6168F" w:rsidRPr="00347208" w:rsidRDefault="00B6168F" w:rsidP="00B6168F">
      <w:pPr>
        <w:spacing w:after="0" w:line="240" w:lineRule="auto"/>
        <w:jc w:val="center"/>
        <w:rPr>
          <w:rFonts w:ascii="Helvetica" w:eastAsia="Times New Roman" w:hAnsi="Helvetica" w:cs="Times New Roman"/>
          <w:b/>
          <w:bCs/>
          <w:color w:val="000000"/>
          <w:kern w:val="0"/>
          <w:sz w:val="32"/>
          <w:szCs w:val="32"/>
          <w:lang w:eastAsia="el-GR"/>
          <w14:ligatures w14:val="none"/>
        </w:rPr>
      </w:pPr>
    </w:p>
    <w:p w14:paraId="05832D44" w14:textId="77777777" w:rsidR="00B6168F" w:rsidRPr="00347208" w:rsidRDefault="00B6168F" w:rsidP="00B6168F">
      <w:pPr>
        <w:spacing w:after="0" w:line="240" w:lineRule="auto"/>
        <w:jc w:val="center"/>
        <w:rPr>
          <w:rFonts w:ascii="Helvetica" w:eastAsia="Times New Roman" w:hAnsi="Helvetica" w:cs="Times New Roman"/>
          <w:b/>
          <w:bCs/>
          <w:color w:val="000000"/>
          <w:kern w:val="0"/>
          <w:sz w:val="32"/>
          <w:szCs w:val="32"/>
          <w:lang w:eastAsia="el-GR"/>
          <w14:ligatures w14:val="none"/>
        </w:rPr>
      </w:pPr>
    </w:p>
    <w:p w14:paraId="179EFD72" w14:textId="77777777" w:rsidR="00B6168F" w:rsidRPr="00347208" w:rsidRDefault="00B6168F" w:rsidP="00B6168F">
      <w:pPr>
        <w:spacing w:after="0" w:line="240" w:lineRule="auto"/>
        <w:jc w:val="center"/>
        <w:rPr>
          <w:rFonts w:ascii="Helvetica" w:eastAsia="Times New Roman" w:hAnsi="Helvetica" w:cs="Times New Roman"/>
          <w:b/>
          <w:bCs/>
          <w:color w:val="000000"/>
          <w:kern w:val="0"/>
          <w:sz w:val="32"/>
          <w:szCs w:val="32"/>
          <w:lang w:eastAsia="el-GR"/>
          <w14:ligatures w14:val="none"/>
        </w:rPr>
      </w:pPr>
    </w:p>
    <w:p w14:paraId="1279108B" w14:textId="77777777" w:rsidR="00B6168F" w:rsidRPr="00347208" w:rsidRDefault="00B6168F" w:rsidP="00B6168F">
      <w:pPr>
        <w:spacing w:after="0" w:line="240" w:lineRule="auto"/>
        <w:jc w:val="center"/>
        <w:rPr>
          <w:rFonts w:ascii="Helvetica" w:eastAsia="Times New Roman" w:hAnsi="Helvetica" w:cs="Times New Roman"/>
          <w:b/>
          <w:bCs/>
          <w:color w:val="000000"/>
          <w:kern w:val="0"/>
          <w:sz w:val="32"/>
          <w:szCs w:val="32"/>
          <w:lang w:eastAsia="el-GR"/>
          <w14:ligatures w14:val="none"/>
        </w:rPr>
      </w:pPr>
    </w:p>
    <w:p w14:paraId="489D8607" w14:textId="77777777" w:rsidR="00B6168F" w:rsidRPr="00347208" w:rsidRDefault="00B6168F" w:rsidP="00B6168F">
      <w:pPr>
        <w:spacing w:after="0" w:line="240" w:lineRule="auto"/>
        <w:jc w:val="center"/>
        <w:rPr>
          <w:rFonts w:ascii="Helvetica" w:eastAsia="Times New Roman" w:hAnsi="Helvetica" w:cs="Times New Roman"/>
          <w:b/>
          <w:bCs/>
          <w:color w:val="000000"/>
          <w:kern w:val="0"/>
          <w:sz w:val="32"/>
          <w:szCs w:val="32"/>
          <w:lang w:eastAsia="el-GR"/>
          <w14:ligatures w14:val="none"/>
        </w:rPr>
      </w:pPr>
    </w:p>
    <w:p w14:paraId="64DF4B6C" w14:textId="4337A40E" w:rsidR="00B6168F" w:rsidRPr="00347208" w:rsidRDefault="00B6168F" w:rsidP="00B6168F">
      <w:pPr>
        <w:spacing w:after="0" w:line="240" w:lineRule="auto"/>
        <w:jc w:val="center"/>
        <w:rPr>
          <w:rFonts w:ascii="Helvetica" w:eastAsia="Times New Roman" w:hAnsi="Helvetica" w:cs="Times New Roman"/>
          <w:b/>
          <w:bCs/>
          <w:color w:val="000000"/>
          <w:kern w:val="0"/>
          <w:sz w:val="32"/>
          <w:szCs w:val="32"/>
          <w:lang w:eastAsia="el-GR"/>
          <w14:ligatures w14:val="none"/>
        </w:rPr>
      </w:pPr>
      <w:r w:rsidRPr="00B6168F">
        <w:rPr>
          <w:rFonts w:ascii="Helvetica" w:eastAsia="Times New Roman" w:hAnsi="Helvetica" w:cs="Times New Roman"/>
          <w:b/>
          <w:bCs/>
          <w:color w:val="000000"/>
          <w:kern w:val="0"/>
          <w:sz w:val="32"/>
          <w:szCs w:val="32"/>
          <w:lang w:eastAsia="el-GR"/>
          <w14:ligatures w14:val="none"/>
        </w:rPr>
        <w:t>Μακροοικονομική αποτίμηση διμερών εμπορικών συμφωνιών με χρήση του μοντέλου GTAP</w:t>
      </w:r>
    </w:p>
    <w:p w14:paraId="46A67F45" w14:textId="77777777" w:rsidR="00B6168F" w:rsidRPr="00347208" w:rsidRDefault="00B6168F" w:rsidP="00B6168F">
      <w:pPr>
        <w:spacing w:after="0" w:line="240" w:lineRule="auto"/>
        <w:jc w:val="center"/>
        <w:rPr>
          <w:rFonts w:ascii="Helvetica" w:eastAsia="Times New Roman" w:hAnsi="Helvetica" w:cs="Times New Roman"/>
          <w:b/>
          <w:bCs/>
          <w:color w:val="000000"/>
          <w:kern w:val="0"/>
          <w:sz w:val="32"/>
          <w:szCs w:val="32"/>
          <w:lang w:eastAsia="el-GR"/>
          <w14:ligatures w14:val="none"/>
        </w:rPr>
      </w:pPr>
    </w:p>
    <w:p w14:paraId="257084EF" w14:textId="77777777" w:rsidR="00B6168F" w:rsidRPr="00347208" w:rsidRDefault="00B6168F" w:rsidP="00B6168F">
      <w:pPr>
        <w:spacing w:after="0" w:line="240" w:lineRule="auto"/>
        <w:jc w:val="center"/>
        <w:rPr>
          <w:rFonts w:ascii="Helvetica" w:eastAsia="Times New Roman" w:hAnsi="Helvetica" w:cs="Times New Roman"/>
          <w:color w:val="000000"/>
          <w:kern w:val="0"/>
          <w:lang w:eastAsia="el-GR"/>
          <w14:ligatures w14:val="none"/>
        </w:rPr>
      </w:pPr>
    </w:p>
    <w:p w14:paraId="2779F5D4" w14:textId="77777777" w:rsidR="00B6168F" w:rsidRPr="00347208" w:rsidRDefault="00B6168F" w:rsidP="00B6168F">
      <w:pPr>
        <w:spacing w:after="0" w:line="240" w:lineRule="auto"/>
        <w:jc w:val="center"/>
        <w:rPr>
          <w:rFonts w:ascii="Helvetica" w:eastAsia="Times New Roman" w:hAnsi="Helvetica" w:cs="Times New Roman"/>
          <w:color w:val="000000"/>
          <w:kern w:val="0"/>
          <w:lang w:eastAsia="el-GR"/>
          <w14:ligatures w14:val="none"/>
        </w:rPr>
      </w:pPr>
    </w:p>
    <w:p w14:paraId="75B24E8E" w14:textId="77777777" w:rsidR="00B6168F" w:rsidRPr="00347208" w:rsidRDefault="00B6168F" w:rsidP="00B6168F">
      <w:pPr>
        <w:spacing w:after="0" w:line="240" w:lineRule="auto"/>
        <w:jc w:val="center"/>
        <w:rPr>
          <w:rFonts w:ascii="Times New Roman" w:eastAsia="Times New Roman" w:hAnsi="Times New Roman" w:cs="Times New Roman"/>
          <w:color w:val="000000"/>
          <w:kern w:val="0"/>
          <w:sz w:val="28"/>
          <w:szCs w:val="28"/>
          <w:lang w:eastAsia="el-GR"/>
          <w14:ligatures w14:val="none"/>
        </w:rPr>
      </w:pPr>
    </w:p>
    <w:p w14:paraId="0C4AAF3C" w14:textId="77777777" w:rsidR="0026784D" w:rsidRPr="00347208" w:rsidRDefault="0026784D" w:rsidP="00B6168F">
      <w:pPr>
        <w:spacing w:after="0" w:line="240" w:lineRule="auto"/>
        <w:jc w:val="center"/>
        <w:rPr>
          <w:rFonts w:ascii="Times New Roman" w:eastAsia="Times New Roman" w:hAnsi="Times New Roman" w:cs="Times New Roman"/>
          <w:color w:val="000000"/>
          <w:kern w:val="0"/>
          <w:sz w:val="32"/>
          <w:szCs w:val="32"/>
          <w:lang w:eastAsia="el-GR"/>
          <w14:ligatures w14:val="none"/>
        </w:rPr>
      </w:pPr>
    </w:p>
    <w:p w14:paraId="75130CB2" w14:textId="6E59F64C" w:rsidR="00B6168F" w:rsidRPr="00410E73" w:rsidRDefault="00B6168F" w:rsidP="00B6168F">
      <w:pPr>
        <w:spacing w:after="0" w:line="240" w:lineRule="auto"/>
        <w:jc w:val="center"/>
        <w:rPr>
          <w:rFonts w:ascii="Times New Roman" w:eastAsia="Times New Roman" w:hAnsi="Times New Roman" w:cs="Times New Roman"/>
          <w:color w:val="000000"/>
          <w:kern w:val="0"/>
          <w:sz w:val="36"/>
          <w:szCs w:val="36"/>
          <w:lang w:eastAsia="el-GR"/>
          <w14:ligatures w14:val="none"/>
        </w:rPr>
      </w:pPr>
      <w:r w:rsidRPr="00410E73">
        <w:rPr>
          <w:rFonts w:ascii="Times New Roman" w:eastAsia="Times New Roman" w:hAnsi="Times New Roman" w:cs="Times New Roman"/>
          <w:color w:val="000000"/>
          <w:kern w:val="0"/>
          <w:sz w:val="36"/>
          <w:szCs w:val="36"/>
          <w:lang w:eastAsia="el-GR"/>
          <w14:ligatures w14:val="none"/>
        </w:rPr>
        <w:t>ΔΙΠΛΩΜΑΤΙΚΗ ΕΡΓΑΣΙΑ</w:t>
      </w:r>
    </w:p>
    <w:p w14:paraId="6B687E06" w14:textId="77777777" w:rsidR="00B6168F" w:rsidRPr="00347208" w:rsidRDefault="00B6168F" w:rsidP="00B6168F">
      <w:pPr>
        <w:spacing w:after="0" w:line="240" w:lineRule="auto"/>
        <w:jc w:val="center"/>
        <w:rPr>
          <w:rFonts w:ascii="Helvetica" w:eastAsia="Times New Roman" w:hAnsi="Helvetica" w:cs="Times New Roman"/>
          <w:color w:val="000000"/>
          <w:kern w:val="0"/>
          <w:lang w:eastAsia="el-GR"/>
          <w14:ligatures w14:val="none"/>
        </w:rPr>
      </w:pPr>
    </w:p>
    <w:p w14:paraId="79F2CDA4" w14:textId="77777777" w:rsidR="00B6168F" w:rsidRPr="00347208" w:rsidRDefault="00B6168F" w:rsidP="00B6168F">
      <w:pPr>
        <w:spacing w:after="0" w:line="240" w:lineRule="auto"/>
        <w:jc w:val="center"/>
        <w:rPr>
          <w:rFonts w:ascii="Helvetica" w:eastAsia="Times New Roman" w:hAnsi="Helvetica" w:cs="Times New Roman"/>
          <w:color w:val="000000"/>
          <w:kern w:val="0"/>
          <w:lang w:eastAsia="el-GR"/>
          <w14:ligatures w14:val="none"/>
        </w:rPr>
      </w:pPr>
    </w:p>
    <w:p w14:paraId="7DED19DA" w14:textId="77777777" w:rsidR="00B6168F" w:rsidRPr="00347208" w:rsidRDefault="00B6168F" w:rsidP="00B6168F">
      <w:pPr>
        <w:spacing w:after="0" w:line="240" w:lineRule="auto"/>
        <w:jc w:val="center"/>
        <w:rPr>
          <w:rFonts w:ascii="Helvetica" w:eastAsia="Times New Roman" w:hAnsi="Helvetica" w:cs="Times New Roman"/>
          <w:color w:val="000000"/>
          <w:kern w:val="0"/>
          <w:lang w:eastAsia="el-GR"/>
          <w14:ligatures w14:val="none"/>
        </w:rPr>
      </w:pPr>
    </w:p>
    <w:p w14:paraId="3A8985CA" w14:textId="77777777" w:rsidR="00B6168F" w:rsidRPr="00347208" w:rsidRDefault="00B6168F" w:rsidP="00B6168F">
      <w:pPr>
        <w:spacing w:after="0" w:line="240" w:lineRule="auto"/>
        <w:jc w:val="center"/>
        <w:rPr>
          <w:rFonts w:ascii="Helvetica" w:eastAsia="Times New Roman" w:hAnsi="Helvetica" w:cs="Times New Roman"/>
          <w:color w:val="000000"/>
          <w:kern w:val="0"/>
          <w:lang w:eastAsia="el-GR"/>
          <w14:ligatures w14:val="none"/>
        </w:rPr>
      </w:pPr>
    </w:p>
    <w:p w14:paraId="06CEB8C3" w14:textId="72BF9379" w:rsidR="00B6168F" w:rsidRPr="00B6168F" w:rsidRDefault="00B6168F" w:rsidP="00B6168F">
      <w:pPr>
        <w:spacing w:after="0" w:line="240" w:lineRule="auto"/>
        <w:jc w:val="center"/>
        <w:rPr>
          <w:rFonts w:ascii="Helvetica" w:eastAsia="Times New Roman" w:hAnsi="Helvetica" w:cs="Times New Roman"/>
          <w:color w:val="000000"/>
          <w:kern w:val="0"/>
          <w:lang w:eastAsia="el-GR"/>
          <w14:ligatures w14:val="none"/>
        </w:rPr>
      </w:pPr>
      <w:r w:rsidRPr="00347208">
        <w:rPr>
          <w:rFonts w:ascii="Helvetica" w:eastAsia="Times New Roman" w:hAnsi="Helvetica" w:cs="Times New Roman"/>
          <w:color w:val="000000"/>
          <w:kern w:val="0"/>
          <w:lang w:eastAsia="el-GR"/>
          <w14:ligatures w14:val="none"/>
        </w:rPr>
        <w:t xml:space="preserve">Γεώργιος Βαρβέρης </w:t>
      </w:r>
    </w:p>
    <w:p w14:paraId="1C96D6A2" w14:textId="467DD849" w:rsidR="00934BD2" w:rsidRPr="00347208" w:rsidRDefault="00934BD2" w:rsidP="00B6168F">
      <w:pPr>
        <w:jc w:val="center"/>
        <w:rPr>
          <w:rFonts w:ascii="Times New Roman" w:hAnsi="Times New Roman" w:cs="Times New Roman"/>
          <w:sz w:val="20"/>
          <w:szCs w:val="20"/>
        </w:rPr>
      </w:pPr>
    </w:p>
    <w:p w14:paraId="7F4F8457" w14:textId="77777777" w:rsidR="00B6168F" w:rsidRPr="00347208" w:rsidRDefault="00B6168F" w:rsidP="00B6168F">
      <w:pPr>
        <w:jc w:val="center"/>
        <w:rPr>
          <w:rFonts w:ascii="Times New Roman" w:hAnsi="Times New Roman" w:cs="Times New Roman"/>
          <w:sz w:val="20"/>
          <w:szCs w:val="20"/>
        </w:rPr>
      </w:pPr>
    </w:p>
    <w:p w14:paraId="0399942D" w14:textId="77777777" w:rsidR="0026784D" w:rsidRPr="00347208" w:rsidRDefault="0026784D" w:rsidP="00B6168F">
      <w:pPr>
        <w:jc w:val="center"/>
        <w:rPr>
          <w:rFonts w:ascii="Times New Roman" w:hAnsi="Times New Roman" w:cs="Times New Roman"/>
          <w:sz w:val="20"/>
          <w:szCs w:val="20"/>
        </w:rPr>
      </w:pPr>
    </w:p>
    <w:p w14:paraId="76D2E633" w14:textId="77777777" w:rsidR="0026784D" w:rsidRPr="00347208" w:rsidRDefault="0026784D" w:rsidP="00B6168F">
      <w:pPr>
        <w:jc w:val="center"/>
        <w:rPr>
          <w:rFonts w:ascii="Times New Roman" w:hAnsi="Times New Roman" w:cs="Times New Roman"/>
          <w:sz w:val="20"/>
          <w:szCs w:val="20"/>
        </w:rPr>
      </w:pPr>
    </w:p>
    <w:p w14:paraId="19F5123D" w14:textId="2B843C1E" w:rsidR="0026784D" w:rsidRPr="00347208" w:rsidRDefault="0026784D" w:rsidP="00B6168F">
      <w:pPr>
        <w:jc w:val="center"/>
        <w:rPr>
          <w:rFonts w:ascii="Calibri" w:hAnsi="Calibri" w:cs="Calibri"/>
          <w:sz w:val="20"/>
          <w:szCs w:val="20"/>
        </w:rPr>
      </w:pPr>
    </w:p>
    <w:p w14:paraId="6D3DA130" w14:textId="77777777" w:rsidR="0026784D" w:rsidRPr="00347208" w:rsidRDefault="0026784D" w:rsidP="00B6168F">
      <w:pPr>
        <w:jc w:val="center"/>
        <w:rPr>
          <w:rFonts w:ascii="Times New Roman" w:hAnsi="Times New Roman" w:cs="Times New Roman"/>
          <w:sz w:val="20"/>
          <w:szCs w:val="20"/>
        </w:rPr>
      </w:pPr>
    </w:p>
    <w:p w14:paraId="192752C2" w14:textId="77777777" w:rsidR="0026784D" w:rsidRPr="00347208" w:rsidRDefault="0026784D" w:rsidP="00B6168F">
      <w:pPr>
        <w:jc w:val="center"/>
        <w:rPr>
          <w:rFonts w:ascii="Times New Roman" w:hAnsi="Times New Roman" w:cs="Times New Roman"/>
          <w:sz w:val="20"/>
          <w:szCs w:val="20"/>
        </w:rPr>
      </w:pPr>
    </w:p>
    <w:p w14:paraId="238F2399" w14:textId="77777777" w:rsidR="0026784D" w:rsidRPr="00347208" w:rsidRDefault="0026784D" w:rsidP="00B6168F">
      <w:pPr>
        <w:jc w:val="center"/>
        <w:rPr>
          <w:rFonts w:ascii="Times New Roman" w:hAnsi="Times New Roman" w:cs="Times New Roman"/>
          <w:sz w:val="20"/>
          <w:szCs w:val="20"/>
        </w:rPr>
      </w:pPr>
    </w:p>
    <w:p w14:paraId="77AF9724" w14:textId="77777777" w:rsidR="0026784D" w:rsidRPr="00347208" w:rsidRDefault="0026784D" w:rsidP="00B6168F">
      <w:pPr>
        <w:jc w:val="center"/>
        <w:rPr>
          <w:rFonts w:ascii="Times New Roman" w:hAnsi="Times New Roman" w:cs="Times New Roman"/>
          <w:sz w:val="20"/>
          <w:szCs w:val="20"/>
        </w:rPr>
      </w:pPr>
    </w:p>
    <w:p w14:paraId="70703813" w14:textId="77777777" w:rsidR="0026784D" w:rsidRPr="00347208" w:rsidRDefault="0026784D" w:rsidP="00B6168F">
      <w:pPr>
        <w:jc w:val="center"/>
        <w:rPr>
          <w:rFonts w:ascii="Times New Roman" w:hAnsi="Times New Roman" w:cs="Times New Roman"/>
          <w:sz w:val="20"/>
          <w:szCs w:val="20"/>
        </w:rPr>
      </w:pPr>
    </w:p>
    <w:p w14:paraId="32C1D2E3" w14:textId="77777777" w:rsidR="0026784D" w:rsidRPr="00347208" w:rsidRDefault="0026784D" w:rsidP="00B6168F">
      <w:pPr>
        <w:jc w:val="center"/>
        <w:rPr>
          <w:rFonts w:ascii="Times New Roman" w:hAnsi="Times New Roman" w:cs="Times New Roman"/>
          <w:sz w:val="20"/>
          <w:szCs w:val="20"/>
        </w:rPr>
      </w:pPr>
    </w:p>
    <w:p w14:paraId="101FEBF3" w14:textId="77777777" w:rsidR="0026784D" w:rsidRPr="00347208" w:rsidRDefault="0026784D" w:rsidP="00B6168F">
      <w:pPr>
        <w:jc w:val="center"/>
        <w:rPr>
          <w:rFonts w:ascii="Times New Roman" w:hAnsi="Times New Roman" w:cs="Times New Roman"/>
          <w:sz w:val="20"/>
          <w:szCs w:val="20"/>
        </w:rPr>
      </w:pPr>
    </w:p>
    <w:p w14:paraId="58504215" w14:textId="77777777" w:rsidR="0026784D" w:rsidRPr="00347208" w:rsidRDefault="0026784D" w:rsidP="00B6168F">
      <w:pPr>
        <w:jc w:val="center"/>
        <w:rPr>
          <w:rFonts w:ascii="Times New Roman" w:hAnsi="Times New Roman" w:cs="Times New Roman"/>
          <w:sz w:val="20"/>
          <w:szCs w:val="20"/>
        </w:rPr>
      </w:pPr>
    </w:p>
    <w:p w14:paraId="448C58FF" w14:textId="6CBB2AF1" w:rsidR="0026784D" w:rsidRPr="0026784D" w:rsidRDefault="0026784D" w:rsidP="0026784D">
      <w:pPr>
        <w:spacing w:after="0" w:line="240" w:lineRule="auto"/>
        <w:rPr>
          <w:rFonts w:ascii="Times New Roman" w:eastAsia="Times New Roman" w:hAnsi="Times New Roman" w:cs="Times New Roman"/>
          <w:color w:val="000000"/>
          <w:kern w:val="0"/>
          <w:sz w:val="21"/>
          <w:szCs w:val="21"/>
          <w:lang w:eastAsia="el-GR"/>
          <w14:ligatures w14:val="none"/>
        </w:rPr>
      </w:pPr>
      <w:r w:rsidRPr="0026784D">
        <w:rPr>
          <w:rFonts w:ascii="Times New Roman" w:eastAsia="Times New Roman" w:hAnsi="Times New Roman" w:cs="Times New Roman"/>
          <w:b/>
          <w:bCs/>
          <w:color w:val="000000"/>
          <w:kern w:val="0"/>
          <w:sz w:val="21"/>
          <w:szCs w:val="21"/>
          <w:lang w:eastAsia="el-GR"/>
          <w14:ligatures w14:val="none"/>
        </w:rPr>
        <w:t xml:space="preserve">Επιβλέπων Καθηγητής: </w:t>
      </w:r>
      <w:r w:rsidRPr="00347208">
        <w:rPr>
          <w:rFonts w:ascii="Times New Roman" w:eastAsia="Times New Roman" w:hAnsi="Times New Roman" w:cs="Times New Roman"/>
          <w:color w:val="000000"/>
          <w:kern w:val="0"/>
          <w:sz w:val="21"/>
          <w:szCs w:val="21"/>
          <w:lang w:eastAsia="el-GR"/>
          <w14:ligatures w14:val="none"/>
        </w:rPr>
        <w:t xml:space="preserve">Δημήτριος Ασκούνης </w:t>
      </w:r>
    </w:p>
    <w:p w14:paraId="7BA162A5" w14:textId="3A7E7EA7" w:rsidR="0026784D" w:rsidRPr="00347208" w:rsidRDefault="0026784D" w:rsidP="00CF486D">
      <w:pPr>
        <w:spacing w:after="0" w:line="240" w:lineRule="auto"/>
        <w:rPr>
          <w:rFonts w:ascii="Times New Roman" w:eastAsia="Times New Roman" w:hAnsi="Times New Roman" w:cs="Times New Roman"/>
          <w:color w:val="000000"/>
          <w:kern w:val="0"/>
          <w:sz w:val="21"/>
          <w:szCs w:val="21"/>
          <w:lang w:eastAsia="el-GR"/>
          <w14:ligatures w14:val="none"/>
        </w:rPr>
      </w:pPr>
      <w:r w:rsidRPr="0026784D">
        <w:rPr>
          <w:rFonts w:ascii="Times New Roman" w:eastAsia="Times New Roman" w:hAnsi="Times New Roman" w:cs="Times New Roman"/>
          <w:color w:val="000000"/>
          <w:kern w:val="0"/>
          <w:sz w:val="21"/>
          <w:szCs w:val="21"/>
          <w:lang w:eastAsia="el-GR"/>
          <w14:ligatures w14:val="none"/>
        </w:rPr>
        <w:t>Επίκουρος Καθηγητής Ε.Μ.Π.</w:t>
      </w:r>
    </w:p>
    <w:p w14:paraId="3DE27090"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670F081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48DD1687" w14:textId="6F0B59C7" w:rsidR="009549B2" w:rsidRDefault="009549B2" w:rsidP="00E775ED">
      <w:pPr>
        <w:pStyle w:val="1"/>
        <w:numPr>
          <w:ilvl w:val="0"/>
          <w:numId w:val="0"/>
        </w:numPr>
        <w:ind w:left="432"/>
        <w:rPr>
          <w:rFonts w:eastAsia="Times New Roman"/>
          <w:lang w:eastAsia="el-GR"/>
        </w:rPr>
      </w:pPr>
    </w:p>
    <w:p w14:paraId="21801849" w14:textId="77777777" w:rsidR="009549B2" w:rsidRDefault="009549B2">
      <w:pPr>
        <w:rPr>
          <w:rFonts w:asciiTheme="majorHAnsi" w:eastAsia="Times New Roman" w:hAnsiTheme="majorHAnsi" w:cstheme="majorBidi"/>
          <w:color w:val="0F4761" w:themeColor="accent1" w:themeShade="BF"/>
          <w:sz w:val="40"/>
          <w:szCs w:val="40"/>
          <w:lang w:eastAsia="el-GR"/>
        </w:rPr>
      </w:pPr>
      <w:r>
        <w:rPr>
          <w:rFonts w:eastAsia="Times New Roman"/>
          <w:lang w:eastAsia="el-GR"/>
        </w:rPr>
        <w:br w:type="page"/>
      </w:r>
    </w:p>
    <w:sdt>
      <w:sdtPr>
        <w:id w:val="-343929932"/>
        <w:docPartObj>
          <w:docPartGallery w:val="Table of Contents"/>
          <w:docPartUnique/>
        </w:docPartObj>
      </w:sdtPr>
      <w:sdtEndPr>
        <w:rPr>
          <w:rFonts w:asciiTheme="minorHAnsi" w:eastAsiaTheme="minorHAnsi" w:hAnsiTheme="minorHAnsi" w:cstheme="minorBidi"/>
          <w:noProof/>
          <w:color w:val="auto"/>
          <w:kern w:val="2"/>
          <w:sz w:val="24"/>
          <w:szCs w:val="24"/>
          <w:lang w:eastAsia="en-US"/>
          <w14:ligatures w14:val="standardContextual"/>
        </w:rPr>
      </w:sdtEndPr>
      <w:sdtContent>
        <w:p w14:paraId="1BA18ACB" w14:textId="59CF035D" w:rsidR="009549B2" w:rsidRDefault="009549B2">
          <w:pPr>
            <w:pStyle w:val="aa"/>
          </w:pPr>
          <w:r>
            <w:t>Πίνακας περιεχομένων</w:t>
          </w:r>
        </w:p>
        <w:p w14:paraId="366ADC97" w14:textId="15770013" w:rsidR="000E356D" w:rsidRDefault="009549B2">
          <w:pPr>
            <w:pStyle w:val="10"/>
            <w:tabs>
              <w:tab w:val="left" w:pos="480"/>
              <w:tab w:val="right" w:leader="dot" w:pos="8296"/>
            </w:tabs>
            <w:rPr>
              <w:rFonts w:eastAsiaTheme="minorEastAsia"/>
              <w:b w:val="0"/>
              <w:bCs w:val="0"/>
              <w:noProof/>
              <w:sz w:val="24"/>
              <w:szCs w:val="24"/>
              <w:lang w:eastAsia="el-GR"/>
            </w:rPr>
          </w:pPr>
          <w:r>
            <w:rPr>
              <w:b w:val="0"/>
              <w:bCs w:val="0"/>
            </w:rPr>
            <w:fldChar w:fldCharType="begin"/>
          </w:r>
          <w:r>
            <w:instrText>TOC \o "1-3" \h \z \u</w:instrText>
          </w:r>
          <w:r>
            <w:rPr>
              <w:b w:val="0"/>
              <w:bCs w:val="0"/>
            </w:rPr>
            <w:fldChar w:fldCharType="separate"/>
          </w:r>
          <w:hyperlink w:anchor="_Toc195098675" w:history="1">
            <w:r w:rsidR="000E356D" w:rsidRPr="00485AE1">
              <w:rPr>
                <w:rStyle w:val="-"/>
                <w:rFonts w:eastAsia="Times New Roman"/>
                <w:noProof/>
                <w:lang w:eastAsia="el-GR"/>
              </w:rPr>
              <w:t>1</w:t>
            </w:r>
            <w:r w:rsidR="000E356D">
              <w:rPr>
                <w:rFonts w:eastAsiaTheme="minorEastAsia"/>
                <w:b w:val="0"/>
                <w:bCs w:val="0"/>
                <w:noProof/>
                <w:sz w:val="24"/>
                <w:szCs w:val="24"/>
                <w:lang w:eastAsia="el-GR"/>
              </w:rPr>
              <w:tab/>
            </w:r>
            <w:r w:rsidR="000E356D" w:rsidRPr="00485AE1">
              <w:rPr>
                <w:rStyle w:val="-"/>
                <w:rFonts w:eastAsia="Times New Roman"/>
                <w:noProof/>
                <w:lang w:eastAsia="el-GR"/>
              </w:rPr>
              <w:t xml:space="preserve">Εισαγωγή στα μοντέλα </w:t>
            </w:r>
            <w:r w:rsidR="000E356D" w:rsidRPr="00485AE1">
              <w:rPr>
                <w:rStyle w:val="-"/>
                <w:rFonts w:eastAsia="Times New Roman"/>
                <w:noProof/>
                <w:lang w:val="en-US" w:eastAsia="el-GR"/>
              </w:rPr>
              <w:t>CGE</w:t>
            </w:r>
            <w:r w:rsidR="000E356D">
              <w:rPr>
                <w:noProof/>
                <w:webHidden/>
              </w:rPr>
              <w:tab/>
            </w:r>
            <w:r w:rsidR="000E356D">
              <w:rPr>
                <w:noProof/>
                <w:webHidden/>
              </w:rPr>
              <w:fldChar w:fldCharType="begin"/>
            </w:r>
            <w:r w:rsidR="000E356D">
              <w:rPr>
                <w:noProof/>
                <w:webHidden/>
              </w:rPr>
              <w:instrText xml:space="preserve"> PAGEREF _Toc195098675 \h </w:instrText>
            </w:r>
            <w:r w:rsidR="000E356D">
              <w:rPr>
                <w:noProof/>
                <w:webHidden/>
              </w:rPr>
            </w:r>
            <w:r w:rsidR="000E356D">
              <w:rPr>
                <w:noProof/>
                <w:webHidden/>
              </w:rPr>
              <w:fldChar w:fldCharType="separate"/>
            </w:r>
            <w:r w:rsidR="000E356D">
              <w:rPr>
                <w:noProof/>
                <w:webHidden/>
              </w:rPr>
              <w:t>4</w:t>
            </w:r>
            <w:r w:rsidR="000E356D">
              <w:rPr>
                <w:noProof/>
                <w:webHidden/>
              </w:rPr>
              <w:fldChar w:fldCharType="end"/>
            </w:r>
          </w:hyperlink>
        </w:p>
        <w:p w14:paraId="3C9D4DBE" w14:textId="2396828C" w:rsidR="000E356D" w:rsidRDefault="000E356D">
          <w:pPr>
            <w:pStyle w:val="20"/>
            <w:tabs>
              <w:tab w:val="left" w:pos="960"/>
              <w:tab w:val="right" w:leader="dot" w:pos="8296"/>
            </w:tabs>
            <w:rPr>
              <w:rFonts w:eastAsiaTheme="minorEastAsia"/>
              <w:i w:val="0"/>
              <w:iCs w:val="0"/>
              <w:noProof/>
              <w:sz w:val="24"/>
              <w:szCs w:val="24"/>
              <w:lang w:eastAsia="el-GR"/>
            </w:rPr>
          </w:pPr>
          <w:hyperlink w:anchor="_Toc195098676" w:history="1">
            <w:r w:rsidRPr="00485AE1">
              <w:rPr>
                <w:rStyle w:val="-"/>
                <w:noProof/>
              </w:rPr>
              <w:t>1.1</w:t>
            </w:r>
            <w:r>
              <w:rPr>
                <w:rFonts w:eastAsiaTheme="minorEastAsia"/>
                <w:i w:val="0"/>
                <w:iCs w:val="0"/>
                <w:noProof/>
                <w:sz w:val="24"/>
                <w:szCs w:val="24"/>
                <w:lang w:eastAsia="el-GR"/>
              </w:rPr>
              <w:tab/>
            </w:r>
            <w:r w:rsidRPr="00485AE1">
              <w:rPr>
                <w:rStyle w:val="-"/>
                <w:noProof/>
              </w:rPr>
              <w:t>1.1 Γενική επισκόπηση των Υπολογιστικών Μοντέλων Γενικής Ισορροπίας (CGE)</w:t>
            </w:r>
            <w:r>
              <w:rPr>
                <w:noProof/>
                <w:webHidden/>
              </w:rPr>
              <w:tab/>
            </w:r>
            <w:r>
              <w:rPr>
                <w:noProof/>
                <w:webHidden/>
              </w:rPr>
              <w:fldChar w:fldCharType="begin"/>
            </w:r>
            <w:r>
              <w:rPr>
                <w:noProof/>
                <w:webHidden/>
              </w:rPr>
              <w:instrText xml:space="preserve"> PAGEREF _Toc195098676 \h </w:instrText>
            </w:r>
            <w:r>
              <w:rPr>
                <w:noProof/>
                <w:webHidden/>
              </w:rPr>
            </w:r>
            <w:r>
              <w:rPr>
                <w:noProof/>
                <w:webHidden/>
              </w:rPr>
              <w:fldChar w:fldCharType="separate"/>
            </w:r>
            <w:r>
              <w:rPr>
                <w:noProof/>
                <w:webHidden/>
              </w:rPr>
              <w:t>4</w:t>
            </w:r>
            <w:r>
              <w:rPr>
                <w:noProof/>
                <w:webHidden/>
              </w:rPr>
              <w:fldChar w:fldCharType="end"/>
            </w:r>
          </w:hyperlink>
        </w:p>
        <w:p w14:paraId="79BC5766" w14:textId="0AB6D5C1" w:rsidR="000E356D" w:rsidRDefault="000E356D">
          <w:pPr>
            <w:pStyle w:val="20"/>
            <w:tabs>
              <w:tab w:val="left" w:pos="960"/>
              <w:tab w:val="right" w:leader="dot" w:pos="8296"/>
            </w:tabs>
            <w:rPr>
              <w:rFonts w:eastAsiaTheme="minorEastAsia"/>
              <w:i w:val="0"/>
              <w:iCs w:val="0"/>
              <w:noProof/>
              <w:sz w:val="24"/>
              <w:szCs w:val="24"/>
              <w:lang w:eastAsia="el-GR"/>
            </w:rPr>
          </w:pPr>
          <w:hyperlink w:anchor="_Toc195098677" w:history="1">
            <w:r w:rsidRPr="00485AE1">
              <w:rPr>
                <w:rStyle w:val="-"/>
                <w:noProof/>
              </w:rPr>
              <w:t>1.2</w:t>
            </w:r>
            <w:r>
              <w:rPr>
                <w:rFonts w:eastAsiaTheme="minorEastAsia"/>
                <w:i w:val="0"/>
                <w:iCs w:val="0"/>
                <w:noProof/>
                <w:sz w:val="24"/>
                <w:szCs w:val="24"/>
                <w:lang w:eastAsia="el-GR"/>
              </w:rPr>
              <w:tab/>
            </w:r>
            <w:r w:rsidRPr="00485AE1">
              <w:rPr>
                <w:rStyle w:val="-"/>
                <w:noProof/>
              </w:rPr>
              <w:t>Ιστορία και εξέλιξη της μοντελοποίησης Γενικής Υπολογιστικής Ισορροπίας (CGE)</w:t>
            </w:r>
            <w:r>
              <w:rPr>
                <w:noProof/>
                <w:webHidden/>
              </w:rPr>
              <w:tab/>
            </w:r>
            <w:r>
              <w:rPr>
                <w:noProof/>
                <w:webHidden/>
              </w:rPr>
              <w:fldChar w:fldCharType="begin"/>
            </w:r>
            <w:r>
              <w:rPr>
                <w:noProof/>
                <w:webHidden/>
              </w:rPr>
              <w:instrText xml:space="preserve"> PAGEREF _Toc195098677 \h </w:instrText>
            </w:r>
            <w:r>
              <w:rPr>
                <w:noProof/>
                <w:webHidden/>
              </w:rPr>
            </w:r>
            <w:r>
              <w:rPr>
                <w:noProof/>
                <w:webHidden/>
              </w:rPr>
              <w:fldChar w:fldCharType="separate"/>
            </w:r>
            <w:r>
              <w:rPr>
                <w:noProof/>
                <w:webHidden/>
              </w:rPr>
              <w:t>10</w:t>
            </w:r>
            <w:r>
              <w:rPr>
                <w:noProof/>
                <w:webHidden/>
              </w:rPr>
              <w:fldChar w:fldCharType="end"/>
            </w:r>
          </w:hyperlink>
        </w:p>
        <w:p w14:paraId="4971DB0A" w14:textId="7200AE1B" w:rsidR="000E356D" w:rsidRDefault="000E356D">
          <w:pPr>
            <w:pStyle w:val="20"/>
            <w:tabs>
              <w:tab w:val="left" w:pos="960"/>
              <w:tab w:val="right" w:leader="dot" w:pos="8296"/>
            </w:tabs>
            <w:rPr>
              <w:rFonts w:eastAsiaTheme="minorEastAsia"/>
              <w:i w:val="0"/>
              <w:iCs w:val="0"/>
              <w:noProof/>
              <w:sz w:val="24"/>
              <w:szCs w:val="24"/>
              <w:lang w:eastAsia="el-GR"/>
            </w:rPr>
          </w:pPr>
          <w:hyperlink w:anchor="_Toc195098678" w:history="1">
            <w:r w:rsidRPr="00485AE1">
              <w:rPr>
                <w:rStyle w:val="-"/>
                <w:rFonts w:eastAsia="Times New Roman"/>
                <w:noProof/>
                <w:lang w:eastAsia="el-GR"/>
              </w:rPr>
              <w:t>1.3</w:t>
            </w:r>
            <w:r>
              <w:rPr>
                <w:rFonts w:eastAsiaTheme="minorEastAsia"/>
                <w:i w:val="0"/>
                <w:iCs w:val="0"/>
                <w:noProof/>
                <w:sz w:val="24"/>
                <w:szCs w:val="24"/>
                <w:lang w:eastAsia="el-GR"/>
              </w:rPr>
              <w:tab/>
            </w:r>
            <w:r w:rsidRPr="00485AE1">
              <w:rPr>
                <w:rStyle w:val="-"/>
                <w:rFonts w:eastAsia="Times New Roman"/>
                <w:noProof/>
                <w:lang w:eastAsia="el-GR"/>
              </w:rPr>
              <w:t>Θεωρητικά Θεμέλια των Υπολογιστικών Μοντέλων Γενικής Ισορροπίας (CGE Models)</w:t>
            </w:r>
            <w:r>
              <w:rPr>
                <w:noProof/>
                <w:webHidden/>
              </w:rPr>
              <w:tab/>
            </w:r>
            <w:r>
              <w:rPr>
                <w:noProof/>
                <w:webHidden/>
              </w:rPr>
              <w:fldChar w:fldCharType="begin"/>
            </w:r>
            <w:r>
              <w:rPr>
                <w:noProof/>
                <w:webHidden/>
              </w:rPr>
              <w:instrText xml:space="preserve"> PAGEREF _Toc195098678 \h </w:instrText>
            </w:r>
            <w:r>
              <w:rPr>
                <w:noProof/>
                <w:webHidden/>
              </w:rPr>
            </w:r>
            <w:r>
              <w:rPr>
                <w:noProof/>
                <w:webHidden/>
              </w:rPr>
              <w:fldChar w:fldCharType="separate"/>
            </w:r>
            <w:r>
              <w:rPr>
                <w:noProof/>
                <w:webHidden/>
              </w:rPr>
              <w:t>13</w:t>
            </w:r>
            <w:r>
              <w:rPr>
                <w:noProof/>
                <w:webHidden/>
              </w:rPr>
              <w:fldChar w:fldCharType="end"/>
            </w:r>
          </w:hyperlink>
        </w:p>
        <w:p w14:paraId="2FECF98F" w14:textId="31FB816A" w:rsidR="000E356D" w:rsidRDefault="000E356D">
          <w:pPr>
            <w:pStyle w:val="10"/>
            <w:tabs>
              <w:tab w:val="left" w:pos="480"/>
              <w:tab w:val="right" w:leader="dot" w:pos="8296"/>
            </w:tabs>
            <w:rPr>
              <w:rFonts w:eastAsiaTheme="minorEastAsia"/>
              <w:b w:val="0"/>
              <w:bCs w:val="0"/>
              <w:noProof/>
              <w:sz w:val="24"/>
              <w:szCs w:val="24"/>
              <w:lang w:eastAsia="el-GR"/>
            </w:rPr>
          </w:pPr>
          <w:hyperlink w:anchor="_Toc195098679" w:history="1">
            <w:r w:rsidRPr="00485AE1">
              <w:rPr>
                <w:rStyle w:val="-"/>
                <w:noProof/>
              </w:rPr>
              <w:t>2</w:t>
            </w:r>
            <w:r>
              <w:rPr>
                <w:rFonts w:eastAsiaTheme="minorEastAsia"/>
                <w:b w:val="0"/>
                <w:bCs w:val="0"/>
                <w:noProof/>
                <w:sz w:val="24"/>
                <w:szCs w:val="24"/>
                <w:lang w:eastAsia="el-GR"/>
              </w:rPr>
              <w:tab/>
            </w:r>
            <w:r w:rsidRPr="00485AE1">
              <w:rPr>
                <w:rStyle w:val="-"/>
                <w:noProof/>
              </w:rPr>
              <w:t>Επισκόπηση του Μοντέλου GTAP</w:t>
            </w:r>
            <w:r>
              <w:rPr>
                <w:noProof/>
                <w:webHidden/>
              </w:rPr>
              <w:tab/>
            </w:r>
            <w:r>
              <w:rPr>
                <w:noProof/>
                <w:webHidden/>
              </w:rPr>
              <w:fldChar w:fldCharType="begin"/>
            </w:r>
            <w:r>
              <w:rPr>
                <w:noProof/>
                <w:webHidden/>
              </w:rPr>
              <w:instrText xml:space="preserve"> PAGEREF _Toc195098679 \h </w:instrText>
            </w:r>
            <w:r>
              <w:rPr>
                <w:noProof/>
                <w:webHidden/>
              </w:rPr>
            </w:r>
            <w:r>
              <w:rPr>
                <w:noProof/>
                <w:webHidden/>
              </w:rPr>
              <w:fldChar w:fldCharType="separate"/>
            </w:r>
            <w:r>
              <w:rPr>
                <w:noProof/>
                <w:webHidden/>
              </w:rPr>
              <w:t>17</w:t>
            </w:r>
            <w:r>
              <w:rPr>
                <w:noProof/>
                <w:webHidden/>
              </w:rPr>
              <w:fldChar w:fldCharType="end"/>
            </w:r>
          </w:hyperlink>
        </w:p>
        <w:p w14:paraId="312E9E25" w14:textId="1546FA47" w:rsidR="000E356D" w:rsidRDefault="000E356D">
          <w:pPr>
            <w:pStyle w:val="20"/>
            <w:tabs>
              <w:tab w:val="left" w:pos="960"/>
              <w:tab w:val="right" w:leader="dot" w:pos="8296"/>
            </w:tabs>
            <w:rPr>
              <w:rFonts w:eastAsiaTheme="minorEastAsia"/>
              <w:i w:val="0"/>
              <w:iCs w:val="0"/>
              <w:noProof/>
              <w:sz w:val="24"/>
              <w:szCs w:val="24"/>
              <w:lang w:eastAsia="el-GR"/>
            </w:rPr>
          </w:pPr>
          <w:hyperlink w:anchor="_Toc195098680" w:history="1">
            <w:r w:rsidRPr="00485AE1">
              <w:rPr>
                <w:rStyle w:val="-"/>
                <w:noProof/>
              </w:rPr>
              <w:t>2.1</w:t>
            </w:r>
            <w:r>
              <w:rPr>
                <w:rFonts w:eastAsiaTheme="minorEastAsia"/>
                <w:i w:val="0"/>
                <w:iCs w:val="0"/>
                <w:noProof/>
                <w:sz w:val="24"/>
                <w:szCs w:val="24"/>
                <w:lang w:eastAsia="el-GR"/>
              </w:rPr>
              <w:tab/>
            </w:r>
            <w:r w:rsidRPr="00485AE1">
              <w:rPr>
                <w:rStyle w:val="-"/>
                <w:noProof/>
              </w:rPr>
              <w:t>Ιστορία και εξέλιξη του μοντέλου GTAP</w:t>
            </w:r>
            <w:r>
              <w:rPr>
                <w:noProof/>
                <w:webHidden/>
              </w:rPr>
              <w:tab/>
            </w:r>
            <w:r>
              <w:rPr>
                <w:noProof/>
                <w:webHidden/>
              </w:rPr>
              <w:fldChar w:fldCharType="begin"/>
            </w:r>
            <w:r>
              <w:rPr>
                <w:noProof/>
                <w:webHidden/>
              </w:rPr>
              <w:instrText xml:space="preserve"> PAGEREF _Toc195098680 \h </w:instrText>
            </w:r>
            <w:r>
              <w:rPr>
                <w:noProof/>
                <w:webHidden/>
              </w:rPr>
            </w:r>
            <w:r>
              <w:rPr>
                <w:noProof/>
                <w:webHidden/>
              </w:rPr>
              <w:fldChar w:fldCharType="separate"/>
            </w:r>
            <w:r>
              <w:rPr>
                <w:noProof/>
                <w:webHidden/>
              </w:rPr>
              <w:t>17</w:t>
            </w:r>
            <w:r>
              <w:rPr>
                <w:noProof/>
                <w:webHidden/>
              </w:rPr>
              <w:fldChar w:fldCharType="end"/>
            </w:r>
          </w:hyperlink>
        </w:p>
        <w:p w14:paraId="6475B7F2" w14:textId="124AB7AA" w:rsidR="000E356D" w:rsidRDefault="000E356D">
          <w:pPr>
            <w:pStyle w:val="20"/>
            <w:tabs>
              <w:tab w:val="left" w:pos="960"/>
              <w:tab w:val="right" w:leader="dot" w:pos="8296"/>
            </w:tabs>
            <w:rPr>
              <w:rFonts w:eastAsiaTheme="minorEastAsia"/>
              <w:i w:val="0"/>
              <w:iCs w:val="0"/>
              <w:noProof/>
              <w:sz w:val="24"/>
              <w:szCs w:val="24"/>
              <w:lang w:eastAsia="el-GR"/>
            </w:rPr>
          </w:pPr>
          <w:hyperlink w:anchor="_Toc195098681" w:history="1">
            <w:r w:rsidRPr="00485AE1">
              <w:rPr>
                <w:rStyle w:val="-"/>
                <w:noProof/>
              </w:rPr>
              <w:t>2.2</w:t>
            </w:r>
            <w:r>
              <w:rPr>
                <w:rFonts w:eastAsiaTheme="minorEastAsia"/>
                <w:i w:val="0"/>
                <w:iCs w:val="0"/>
                <w:noProof/>
                <w:sz w:val="24"/>
                <w:szCs w:val="24"/>
                <w:lang w:eastAsia="el-GR"/>
              </w:rPr>
              <w:tab/>
            </w:r>
            <w:r w:rsidRPr="00485AE1">
              <w:rPr>
                <w:rStyle w:val="-"/>
                <w:noProof/>
              </w:rPr>
              <w:t>Η δομή του μοντέλου GTAP και της βάσης δεδομένων του</w:t>
            </w:r>
            <w:r>
              <w:rPr>
                <w:noProof/>
                <w:webHidden/>
              </w:rPr>
              <w:tab/>
            </w:r>
            <w:r>
              <w:rPr>
                <w:noProof/>
                <w:webHidden/>
              </w:rPr>
              <w:fldChar w:fldCharType="begin"/>
            </w:r>
            <w:r>
              <w:rPr>
                <w:noProof/>
                <w:webHidden/>
              </w:rPr>
              <w:instrText xml:space="preserve"> PAGEREF _Toc195098681 \h </w:instrText>
            </w:r>
            <w:r>
              <w:rPr>
                <w:noProof/>
                <w:webHidden/>
              </w:rPr>
            </w:r>
            <w:r>
              <w:rPr>
                <w:noProof/>
                <w:webHidden/>
              </w:rPr>
              <w:fldChar w:fldCharType="separate"/>
            </w:r>
            <w:r>
              <w:rPr>
                <w:noProof/>
                <w:webHidden/>
              </w:rPr>
              <w:t>24</w:t>
            </w:r>
            <w:r>
              <w:rPr>
                <w:noProof/>
                <w:webHidden/>
              </w:rPr>
              <w:fldChar w:fldCharType="end"/>
            </w:r>
          </w:hyperlink>
        </w:p>
        <w:p w14:paraId="131EBC32" w14:textId="5164EFFC" w:rsidR="000E356D" w:rsidRDefault="000E356D">
          <w:pPr>
            <w:pStyle w:val="20"/>
            <w:tabs>
              <w:tab w:val="left" w:pos="960"/>
              <w:tab w:val="right" w:leader="dot" w:pos="8296"/>
            </w:tabs>
            <w:rPr>
              <w:rFonts w:eastAsiaTheme="minorEastAsia"/>
              <w:i w:val="0"/>
              <w:iCs w:val="0"/>
              <w:noProof/>
              <w:sz w:val="24"/>
              <w:szCs w:val="24"/>
              <w:lang w:eastAsia="el-GR"/>
            </w:rPr>
          </w:pPr>
          <w:hyperlink w:anchor="_Toc195098682" w:history="1">
            <w:r w:rsidRPr="00485AE1">
              <w:rPr>
                <w:rStyle w:val="-"/>
                <w:noProof/>
              </w:rPr>
              <w:t>2.3</w:t>
            </w:r>
            <w:r>
              <w:rPr>
                <w:rFonts w:eastAsiaTheme="minorEastAsia"/>
                <w:i w:val="0"/>
                <w:iCs w:val="0"/>
                <w:noProof/>
                <w:sz w:val="24"/>
                <w:szCs w:val="24"/>
                <w:lang w:eastAsia="el-GR"/>
              </w:rPr>
              <w:tab/>
            </w:r>
            <w:r w:rsidRPr="00485AE1">
              <w:rPr>
                <w:rStyle w:val="-"/>
                <w:noProof/>
              </w:rPr>
              <w:t>Ο ρόλος του GTAP στην ανάλυση του παγκόσμιου εμπορίου</w:t>
            </w:r>
            <w:r>
              <w:rPr>
                <w:noProof/>
                <w:webHidden/>
              </w:rPr>
              <w:tab/>
            </w:r>
            <w:r>
              <w:rPr>
                <w:noProof/>
                <w:webHidden/>
              </w:rPr>
              <w:fldChar w:fldCharType="begin"/>
            </w:r>
            <w:r>
              <w:rPr>
                <w:noProof/>
                <w:webHidden/>
              </w:rPr>
              <w:instrText xml:space="preserve"> PAGEREF _Toc195098682 \h </w:instrText>
            </w:r>
            <w:r>
              <w:rPr>
                <w:noProof/>
                <w:webHidden/>
              </w:rPr>
            </w:r>
            <w:r>
              <w:rPr>
                <w:noProof/>
                <w:webHidden/>
              </w:rPr>
              <w:fldChar w:fldCharType="separate"/>
            </w:r>
            <w:r>
              <w:rPr>
                <w:noProof/>
                <w:webHidden/>
              </w:rPr>
              <w:t>28</w:t>
            </w:r>
            <w:r>
              <w:rPr>
                <w:noProof/>
                <w:webHidden/>
              </w:rPr>
              <w:fldChar w:fldCharType="end"/>
            </w:r>
          </w:hyperlink>
        </w:p>
        <w:p w14:paraId="1D26989E" w14:textId="14AFC48E" w:rsidR="000E356D" w:rsidRDefault="000E356D">
          <w:pPr>
            <w:pStyle w:val="10"/>
            <w:tabs>
              <w:tab w:val="left" w:pos="480"/>
              <w:tab w:val="right" w:leader="dot" w:pos="8296"/>
            </w:tabs>
            <w:rPr>
              <w:rFonts w:eastAsiaTheme="minorEastAsia"/>
              <w:b w:val="0"/>
              <w:bCs w:val="0"/>
              <w:noProof/>
              <w:sz w:val="24"/>
              <w:szCs w:val="24"/>
              <w:lang w:eastAsia="el-GR"/>
            </w:rPr>
          </w:pPr>
          <w:hyperlink w:anchor="_Toc195098683" w:history="1">
            <w:r w:rsidRPr="00485AE1">
              <w:rPr>
                <w:rStyle w:val="-"/>
                <w:noProof/>
                <w:lang w:eastAsia="el-GR"/>
              </w:rPr>
              <w:t>3</w:t>
            </w:r>
            <w:r>
              <w:rPr>
                <w:rFonts w:eastAsiaTheme="minorEastAsia"/>
                <w:b w:val="0"/>
                <w:bCs w:val="0"/>
                <w:noProof/>
                <w:sz w:val="24"/>
                <w:szCs w:val="24"/>
                <w:lang w:eastAsia="el-GR"/>
              </w:rPr>
              <w:tab/>
            </w:r>
            <w:r w:rsidRPr="00485AE1">
              <w:rPr>
                <w:rStyle w:val="-"/>
                <w:noProof/>
                <w:lang w:eastAsia="el-GR"/>
              </w:rPr>
              <w:t>Βιβλιογραφία</w:t>
            </w:r>
            <w:r>
              <w:rPr>
                <w:noProof/>
                <w:webHidden/>
              </w:rPr>
              <w:tab/>
            </w:r>
            <w:r>
              <w:rPr>
                <w:noProof/>
                <w:webHidden/>
              </w:rPr>
              <w:fldChar w:fldCharType="begin"/>
            </w:r>
            <w:r>
              <w:rPr>
                <w:noProof/>
                <w:webHidden/>
              </w:rPr>
              <w:instrText xml:space="preserve"> PAGEREF _Toc195098683 \h </w:instrText>
            </w:r>
            <w:r>
              <w:rPr>
                <w:noProof/>
                <w:webHidden/>
              </w:rPr>
            </w:r>
            <w:r>
              <w:rPr>
                <w:noProof/>
                <w:webHidden/>
              </w:rPr>
              <w:fldChar w:fldCharType="separate"/>
            </w:r>
            <w:r>
              <w:rPr>
                <w:noProof/>
                <w:webHidden/>
              </w:rPr>
              <w:t>30</w:t>
            </w:r>
            <w:r>
              <w:rPr>
                <w:noProof/>
                <w:webHidden/>
              </w:rPr>
              <w:fldChar w:fldCharType="end"/>
            </w:r>
          </w:hyperlink>
        </w:p>
        <w:p w14:paraId="1F565C59" w14:textId="6CB99FB1" w:rsidR="009549B2" w:rsidRDefault="009549B2">
          <w:r>
            <w:rPr>
              <w:b/>
              <w:bCs/>
              <w:noProof/>
            </w:rPr>
            <w:fldChar w:fldCharType="end"/>
          </w:r>
        </w:p>
      </w:sdtContent>
    </w:sdt>
    <w:p w14:paraId="436E06E5" w14:textId="77777777" w:rsidR="00CF486D" w:rsidRPr="00347208" w:rsidRDefault="00CF486D" w:rsidP="00E775ED">
      <w:pPr>
        <w:pStyle w:val="1"/>
        <w:numPr>
          <w:ilvl w:val="0"/>
          <w:numId w:val="0"/>
        </w:numPr>
        <w:ind w:left="432"/>
        <w:rPr>
          <w:rFonts w:eastAsia="Times New Roman"/>
          <w:lang w:eastAsia="el-GR"/>
        </w:rPr>
      </w:pPr>
    </w:p>
    <w:p w14:paraId="38B7317F"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7D636FF"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20F6223F"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39EB306"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864DB7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148C8853"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8A1F7E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1126733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25ADDDEC"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671309C"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A4D91A5"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42D9A9E2"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1234E08"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5C8808FD"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13CF649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6BC2D25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5E8506EB"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4892570"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41E24267"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293CFC0A"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A28D3C2"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063973E"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658FADF8"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4F0D2F33"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5A421556"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1A4241A1"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5E68566"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24516880"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6B8E5790"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602820A"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1CC5E570"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64C4F1D9"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A40B5DE"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2A8557FD"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40D5104E"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9B057BF"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5FF846B"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ED59463"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4A4CFB0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5F28E4C7"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55B4058D"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2B1A571"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446402C"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D311466"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18102AB7"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18C991E4"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68907C68"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9518D81"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69902ABC"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CD2D60B"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2923B44E"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09C56449"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882BB07"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2D6658A2"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565DF3FB"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50C48C5"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70806673" w14:textId="77777777" w:rsidR="00CF486D" w:rsidRPr="00347208" w:rsidRDefault="00CF486D" w:rsidP="00CF486D">
      <w:pPr>
        <w:spacing w:after="0" w:line="240" w:lineRule="auto"/>
        <w:rPr>
          <w:rFonts w:ascii="Times New Roman" w:eastAsia="Times New Roman" w:hAnsi="Times New Roman" w:cs="Times New Roman"/>
          <w:color w:val="000000"/>
          <w:kern w:val="0"/>
          <w:sz w:val="21"/>
          <w:szCs w:val="21"/>
          <w:lang w:eastAsia="el-GR"/>
          <w14:ligatures w14:val="none"/>
        </w:rPr>
      </w:pPr>
    </w:p>
    <w:p w14:paraId="3E8B0C15" w14:textId="02A99C35" w:rsidR="00CF486D" w:rsidRPr="00410E73" w:rsidRDefault="00B33A8D" w:rsidP="00E775ED">
      <w:pPr>
        <w:pStyle w:val="1"/>
        <w:rPr>
          <w:rFonts w:eastAsia="Times New Roman"/>
          <w:b/>
          <w:bCs/>
          <w:sz w:val="32"/>
          <w:szCs w:val="32"/>
          <w:lang w:eastAsia="el-GR"/>
        </w:rPr>
      </w:pPr>
      <w:r w:rsidRPr="00410E73">
        <w:rPr>
          <w:rFonts w:eastAsia="Times New Roman"/>
          <w:b/>
          <w:bCs/>
          <w:sz w:val="36"/>
          <w:szCs w:val="36"/>
          <w:lang w:eastAsia="el-GR"/>
        </w:rPr>
        <w:t xml:space="preserve"> </w:t>
      </w:r>
      <w:bookmarkStart w:id="0" w:name="_Toc195098675"/>
      <w:r w:rsidR="00CF486D" w:rsidRPr="00410E73">
        <w:rPr>
          <w:rFonts w:eastAsia="Times New Roman"/>
          <w:b/>
          <w:bCs/>
          <w:sz w:val="36"/>
          <w:szCs w:val="36"/>
          <w:lang w:eastAsia="el-GR"/>
        </w:rPr>
        <w:t xml:space="preserve">Εισαγωγή στα μοντέλα </w:t>
      </w:r>
      <w:r w:rsidR="00CF486D" w:rsidRPr="00410E73">
        <w:rPr>
          <w:rFonts w:eastAsia="Times New Roman"/>
          <w:b/>
          <w:bCs/>
          <w:sz w:val="36"/>
          <w:szCs w:val="36"/>
          <w:lang w:val="en-US" w:eastAsia="el-GR"/>
        </w:rPr>
        <w:t>CGE</w:t>
      </w:r>
      <w:bookmarkEnd w:id="0"/>
    </w:p>
    <w:p w14:paraId="684B27B3" w14:textId="77777777" w:rsidR="00CF486D" w:rsidRPr="00E775ED" w:rsidRDefault="00CF486D" w:rsidP="00CF486D">
      <w:pPr>
        <w:spacing w:after="0" w:line="240" w:lineRule="auto"/>
        <w:rPr>
          <w:rFonts w:ascii="Times New Roman" w:eastAsia="Times New Roman" w:hAnsi="Times New Roman" w:cs="Times New Roman"/>
          <w:color w:val="000000"/>
          <w:kern w:val="0"/>
          <w:sz w:val="32"/>
          <w:szCs w:val="32"/>
          <w:lang w:eastAsia="el-GR"/>
          <w14:ligatures w14:val="none"/>
        </w:rPr>
      </w:pPr>
    </w:p>
    <w:p w14:paraId="2440F2D9" w14:textId="00AD7ED2" w:rsidR="00B33A8D" w:rsidRPr="00410E73" w:rsidRDefault="00B33A8D" w:rsidP="00E775ED">
      <w:pPr>
        <w:pStyle w:val="2"/>
        <w:rPr>
          <w:b/>
          <w:bCs/>
        </w:rPr>
      </w:pPr>
      <w:bookmarkStart w:id="1" w:name="_Toc195098676"/>
      <w:r w:rsidRPr="00410E73">
        <w:rPr>
          <w:b/>
          <w:bCs/>
        </w:rPr>
        <w:t xml:space="preserve"> Γενική επισκόπηση των Υπολογιστικών Μοντέλων Γενικής Ισορροπίας (CGE)</w:t>
      </w:r>
      <w:bookmarkEnd w:id="1"/>
    </w:p>
    <w:p w14:paraId="320451B1" w14:textId="6AB12D78" w:rsidR="00B33A8D" w:rsidRPr="00347208" w:rsidRDefault="00B33A8D" w:rsidP="00CF486D">
      <w:pPr>
        <w:spacing w:after="0" w:line="240" w:lineRule="auto"/>
        <w:rPr>
          <w:rFonts w:ascii="Times New Roman" w:eastAsia="Times New Roman" w:hAnsi="Times New Roman" w:cs="Times New Roman"/>
          <w:color w:val="000000"/>
          <w:kern w:val="0"/>
          <w:sz w:val="22"/>
          <w:szCs w:val="22"/>
          <w:lang w:eastAsia="el-GR"/>
          <w14:ligatures w14:val="none"/>
        </w:rPr>
      </w:pPr>
    </w:p>
    <w:p w14:paraId="3BCD9F76" w14:textId="77777777" w:rsidR="00DA3621" w:rsidRPr="00347208" w:rsidRDefault="00DA3621" w:rsidP="00CF486D">
      <w:pPr>
        <w:spacing w:after="0" w:line="240" w:lineRule="auto"/>
        <w:rPr>
          <w:rFonts w:ascii="Times New Roman" w:eastAsia="Times New Roman" w:hAnsi="Times New Roman" w:cs="Times New Roman"/>
          <w:color w:val="000000"/>
          <w:kern w:val="0"/>
          <w:sz w:val="22"/>
          <w:szCs w:val="22"/>
          <w:lang w:eastAsia="el-GR"/>
          <w14:ligatures w14:val="none"/>
        </w:rPr>
      </w:pPr>
    </w:p>
    <w:p w14:paraId="3FB0342B"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Τα υπολογιστικά μοντέλα γενικής ισορροπίας (Computable General Equilibrium – CGE) αποτελούν μια από τις πλέον διαδεδομένες και ισχυρές μεθοδολογίες στην εφαρμοσμένη οικονομική ανάλυση, ειδικά όταν πρόκειται για την αξιολόγηση της επίδρασης οικονομικών πολιτικών σε ολόκληρη την οικονομία. Το βασικό τους πλεονέκτημα έγκειται στο ότι επιτρέπουν τη συστηματική μελέτη των αλληλεπιδράσεων μεταξύ όλων των τομέων και των παραγόντων της οικονομίας, λαμβάνοντας υπόψη τη συνολική ισορροπία μεταξύ προσφοράς και ζήτησης σε όλες τις αγορές ταυτόχρονα.</w:t>
      </w:r>
    </w:p>
    <w:p w14:paraId="65CE2831"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36BDC24" w14:textId="4A3F55E7" w:rsidR="00925126"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xml:space="preserve">Ένα CGE μοντέλο είναι ένα σύστημα μαθηματικών εξισώσεων που περιγράφει μια οικονομία στο σύνολό της. Οι εξισώσεις αυτές βασίζονται στη μικροοικονομική και μακροοικονομική θεωρία και περιλαμβάνουν τη συμπεριφορά παραγωγών και καταναλωτών, τις σχέσεις μεταξύ εισοδημάτων και δαπανών, καθώς και τους μηχανισμούς προσαρμογής των τιμών ώστε να επιτυγχάνεται ισορροπία σε κάθε </w:t>
      </w:r>
      <w:r w:rsidRPr="00410E73">
        <w:rPr>
          <w:rFonts w:ascii="Times New Roman" w:eastAsia="Times New Roman" w:hAnsi="Times New Roman" w:cs="Times New Roman"/>
          <w:kern w:val="0"/>
          <w:lang w:eastAsia="el-GR"/>
          <w14:ligatures w14:val="none"/>
        </w:rPr>
        <w:lastRenderedPageBreak/>
        <w:t>επιμέρους αγορά. Το χαρακτηριστικό της “υπολογισιμότητας” αφορά στην ικανότητα των μοντέλων αυτών να χρησιμοποιούν δεδομένα πραγματικής οικονομίας και να παράγουν ποσοτικές προβλέψεις για τις επιπτώσεις εξωτερικών μεταβολών —γνωστών και ως “σοκ” (shocks)— όπως η αλλαγή φορολογικών συντελεστών ή μια νέα εμπορική συμφωνία .</w:t>
      </w:r>
    </w:p>
    <w:p w14:paraId="3B6D2AEC" w14:textId="77777777" w:rsidR="00DA3621" w:rsidRPr="00410E73" w:rsidRDefault="00DA362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705A85F" w14:textId="7ACF51EF" w:rsidR="00925126" w:rsidRPr="00410E73" w:rsidRDefault="00925126"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Ο όρος υπολογιστική (</w:t>
      </w:r>
      <w:proofErr w:type="spellStart"/>
      <w:r w:rsidRPr="00410E73">
        <w:rPr>
          <w:rFonts w:ascii="Times New Roman" w:eastAsia="Times New Roman" w:hAnsi="Times New Roman" w:cs="Times New Roman"/>
          <w:kern w:val="0"/>
          <w:lang w:eastAsia="el-GR"/>
          <w14:ligatures w14:val="none"/>
        </w:rPr>
        <w:t>computable</w:t>
      </w:r>
      <w:proofErr w:type="spellEnd"/>
      <w:r w:rsidRPr="00410E73">
        <w:rPr>
          <w:rFonts w:ascii="Times New Roman" w:eastAsia="Times New Roman" w:hAnsi="Times New Roman" w:cs="Times New Roman"/>
          <w:kern w:val="0"/>
          <w:lang w:eastAsia="el-GR"/>
          <w14:ligatures w14:val="none"/>
        </w:rPr>
        <w:t xml:space="preserve">) στα μοντέλα Γενικής Υπολογιστικής Ισορροπίας (CGE) περιγράφει τη δυνατότητα αυτού του τύπου μοντέλων να </w:t>
      </w:r>
      <w:proofErr w:type="spellStart"/>
      <w:r w:rsidRPr="00410E73">
        <w:rPr>
          <w:rFonts w:ascii="Times New Roman" w:eastAsia="Times New Roman" w:hAnsi="Times New Roman" w:cs="Times New Roman"/>
          <w:kern w:val="0"/>
          <w:lang w:eastAsia="el-GR"/>
          <w14:ligatures w14:val="none"/>
        </w:rPr>
        <w:t>ποσοτικοποιούν</w:t>
      </w:r>
      <w:proofErr w:type="spellEnd"/>
      <w:r w:rsidRPr="00410E73">
        <w:rPr>
          <w:rFonts w:ascii="Times New Roman" w:eastAsia="Times New Roman" w:hAnsi="Times New Roman" w:cs="Times New Roman"/>
          <w:kern w:val="0"/>
          <w:lang w:eastAsia="el-GR"/>
          <w14:ligatures w14:val="none"/>
        </w:rPr>
        <w:t xml:space="preserve"> τις επιπτώσεις ενός σοκ στην οικονομία. Ως οικονομολόγος, μπορείς γενικά να βασιστείς στη θεωρία για να προβλέψεις την κατεύθυνση μιας μεταβολής. Για παράδειγμα, αν σου ζητηθεί να περιγράψεις την αναμενόμενη επίδραση μιας μείωσης ενός δασμού στις Η.Π.Α., είναι πιθανό να υποστηρίξεις ότι θα μειώσει την εσωτερική τιμή του εισαγόμενου προϊόντος, οδηγώντας σε αύξηση της ζητούμενης ποσότητας των εισαγωγών και μείωση της ζήτησης για το αντίστοιχο εγχώριο, ανταγωνιστικό προϊόν. Ωστόσο, οι υπεύθυνοι χάραξης πολιτικής ή οι εκπρόσωποι της βιομηχανίας ενδέχεται να θέλουν να γνωρίζουν αν αυτό το αποτέλεσμα θα είναι μεγάλο ή μικρό.</w:t>
      </w:r>
    </w:p>
    <w:p w14:paraId="7D1BEA83" w14:textId="77777777" w:rsidR="00DA3621" w:rsidRPr="00410E73" w:rsidRDefault="00DA3621"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18BB5EB" w14:textId="7E8747EA" w:rsidR="00925126" w:rsidRPr="00410E73" w:rsidRDefault="00925126"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Οι εξισώσεις ενός μοντέλου CGE χρησιμοποιούν δεδομένα από μια πραγματική οικονομία σε ένα συγκεκριμένο έτος βάσης, όπως για παράδειγμα η οικονομία των Η.Π.Α. το 2016. Σε αυτή την περίπτωση, οι συναρτήσεις χρησιμότητας ενσωματώνουν δεδομένα για τις καταναλωτικές προτιμήσεις των Αμερικανών το 2016. Η συνάρτηση παραγωγής για κάθε κλάδο βασίζεται στην τεχνολογία των αμερικανικών επιχειρήσεων – δηλαδή, στις εισροές και τα επίπεδα παραγωγής – επίσης του 2016. Επειδή οι εξισώσεις σε ένα μοντέλο CGE ενσωματώνουν πραγματικά δεδομένα για μια υπαρκτή οικονομία, οι νέες τιμές ισορροπίας του μοντέλου μετά από ένα “πείραμα” επιτρέπουν στον οικονομολόγο να ποσοτικοποιήσει με ρεαλιστικό τρόπο τον αναμενόμενο αντίκτυπο στην οικονομία – για παράδειγμα, μια μεταβολή 25 εκατομμυρίων ή 2,5 δισεκατομμυρίων δολαρίων στην παραγωγή ενός κλάδου.</w:t>
      </w:r>
    </w:p>
    <w:p w14:paraId="2AC3FD48" w14:textId="77777777" w:rsidR="00DA3621" w:rsidRPr="00410E73" w:rsidRDefault="00DA3621"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9821DEB" w14:textId="26DED338" w:rsidR="00925126" w:rsidRPr="00410E73" w:rsidRDefault="00925126"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Η δυνατότητα ποσοτικοποίησης των αποτελεσμάτων διαφόρων υποθετικών σεναρίων (“τι θα γινόταν αν”) δίνει στον οικονομολόγο τη δυνατότητα να προσφέρει ουσιαστική συμβολή στις συζητήσεις περί οικονομικής πολιτικής. Οι αναλυτές που χρησιμοποιούν μοντέλα CGE έχουν προσφέρει σημαντικές εκτιμήσεις για το κόστος και τα οφέλη κυβερνητικών πολιτικών, όπως εμπορικές συμφωνίες (π.χ. NAFTA), προγράμματα περιορισμού ρύπων και η συμφωνία για την ένταξη της Κίνας στον Παγκόσμιο Οργανισμό Εμπορίου (ΠΟΕ). Τα μοντέλα CGE έχουν επίσης χρησιμοποιηθεί για να ποσοτικοποιήσουν τις επιπτώσεις οικονομικών σοκ, όπως οι αυξήσεις στις τιμές του πετρελαίου και η μετανάστευση εργατικού δυναμικού.</w:t>
      </w:r>
    </w:p>
    <w:p w14:paraId="54F82193" w14:textId="77777777" w:rsidR="00DA3621" w:rsidRPr="00410E73" w:rsidRDefault="00DA362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898D957" w14:textId="77777777" w:rsidR="00925126" w:rsidRPr="00410E73" w:rsidRDefault="00925126"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xml:space="preserve">Σε ένα μοντέλο Γενικής Υπολογιστικής Ισορροπίας (CGE), ο όρος “γενικής” (general) σημαίνει ότι το μοντέλο περιλαμβάνει το σύνολο της οικονομικής </w:t>
      </w:r>
      <w:r w:rsidRPr="00410E73">
        <w:rPr>
          <w:rFonts w:ascii="Times New Roman" w:eastAsia="Times New Roman" w:hAnsi="Times New Roman" w:cs="Times New Roman"/>
          <w:kern w:val="0"/>
          <w:lang w:eastAsia="el-GR"/>
          <w14:ligatures w14:val="none"/>
        </w:rPr>
        <w:lastRenderedPageBreak/>
        <w:t>δραστηριότητας σε μια οικονομία ταυτόχρονα – περιλαμβάνοντας την παραγωγή, κατανάλωση, απασχόληση, φόρους και αποταμιεύσεις, καθώς και το εμπόριο – και τις αλληλεπιδράσεις μεταξύ αυτών. Για παράδειγμα, αν οι υψηλότερες τιμές καυσίμων αυξήσουν το κόστος παραγωγής μεταποιημένων αγαθών όπως ποδήλατα, βιβλία, αυτοκίνητα και τηλεοράσεις, τότε οι τιμές αυτών των αγαθών θα αυξηθούν. Η αντίδραση των καταναλωτών στη μεταβολή των τιμών θα προκαλέσει αλλαγές σε ολόκληρη την οικονομία. Για παράδειγμα, οι καταναλωτές μπορεί να αγοράζουν λιγότερα ποδήλατα, αυτοκίνητα και τηλεοράσεις, αλλά περισσότερα Kindle και ηλεκτρονικά βιβλία. Οι αλλαγές στη ζήτηση των καταναλωτών και στην παραγωγή των βιομηχανιών θα επηρεάσουν στη συνέχεια την απασχόληση, τα εισοδήματα, τη φορολογία και τις αποταμιεύσεις. Σε μια ανοικτή οικονομία, η αύξηση των τιμών καυσίμων μπορεί επίσης να οδηγήσει σε μεταβολές στις εμπορικές ροές και στην ισοτιμία, η οποία με τη σειρά της αποτελεί ένα μακροοικονομικό σοκ που επηρεάζει ολόκληρη την οικονομία.</w:t>
      </w:r>
    </w:p>
    <w:p w14:paraId="3AD6A15E" w14:textId="4FB0734A" w:rsidR="00925126" w:rsidRPr="00347208" w:rsidRDefault="00925126" w:rsidP="00925126">
      <w:pPr>
        <w:spacing w:before="100" w:beforeAutospacing="1" w:after="100" w:afterAutospacing="1" w:line="240" w:lineRule="auto"/>
        <w:rPr>
          <w:rFonts w:ascii="Times New Roman" w:eastAsia="Times New Roman" w:hAnsi="Times New Roman" w:cs="Times New Roman"/>
          <w:kern w:val="0"/>
          <w:lang w:val="en-US" w:eastAsia="el-GR"/>
          <w14:ligatures w14:val="none"/>
        </w:rPr>
      </w:pPr>
      <w:r w:rsidRPr="00347208">
        <w:rPr>
          <w:rFonts w:ascii="Times New Roman" w:eastAsia="Times New Roman" w:hAnsi="Times New Roman" w:cs="Times New Roman"/>
          <w:noProof/>
          <w:kern w:val="0"/>
          <w:lang w:val="en-US" w:eastAsia="el-GR"/>
        </w:rPr>
        <w:drawing>
          <wp:inline distT="0" distB="0" distL="0" distR="0" wp14:anchorId="3F43C642" wp14:editId="370BF152">
            <wp:extent cx="5274310" cy="4082415"/>
            <wp:effectExtent l="0" t="0" r="0" b="0"/>
            <wp:docPr id="954274901" name="Εικόνα 2" descr="Εικόνα που περιέχει κείμενο, σκίτσο/σχέδιο, λευκό, κύκλο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74901" name="Εικόνα 2" descr="Εικόνα που περιέχει κείμενο, σκίτσο/σχέδιο, λευκό, κύκλος&#10;&#10;Το περιεχόμενο που δημιουργείται από τεχνολογία AI ενδέχεται να είναι εσφαλμένο."/>
                    <pic:cNvPicPr/>
                  </pic:nvPicPr>
                  <pic:blipFill>
                    <a:blip r:embed="rId7">
                      <a:extLst>
                        <a:ext uri="{28A0092B-C50C-407E-A947-70E740481C1C}">
                          <a14:useLocalDpi xmlns:a14="http://schemas.microsoft.com/office/drawing/2010/main" val="0"/>
                        </a:ext>
                      </a:extLst>
                    </a:blip>
                    <a:stretch>
                      <a:fillRect/>
                    </a:stretch>
                  </pic:blipFill>
                  <pic:spPr>
                    <a:xfrm>
                      <a:off x="0" y="0"/>
                      <a:ext cx="5274310" cy="4082415"/>
                    </a:xfrm>
                    <a:prstGeom prst="rect">
                      <a:avLst/>
                    </a:prstGeom>
                  </pic:spPr>
                </pic:pic>
              </a:graphicData>
            </a:graphic>
          </wp:inline>
        </w:drawing>
      </w:r>
    </w:p>
    <w:p w14:paraId="454198E5" w14:textId="77777777" w:rsidR="00925126" w:rsidRPr="00925126" w:rsidRDefault="00925126" w:rsidP="00925126">
      <w:pPr>
        <w:spacing w:before="100" w:beforeAutospacing="1" w:after="100" w:afterAutospacing="1" w:line="240" w:lineRule="auto"/>
        <w:rPr>
          <w:rFonts w:ascii="Times New Roman" w:eastAsia="Times New Roman" w:hAnsi="Times New Roman" w:cs="Times New Roman"/>
          <w:kern w:val="0"/>
          <w:lang w:val="en-US" w:eastAsia="el-GR"/>
          <w14:ligatures w14:val="none"/>
        </w:rPr>
      </w:pPr>
    </w:p>
    <w:p w14:paraId="38EE220F" w14:textId="60359B1F" w:rsidR="00925126" w:rsidRPr="00410E73" w:rsidRDefault="00925126"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xml:space="preserve">Ένας τρόπος να απεικονίσουμε τις αλληλεπιδράσεις σε ένα μοντέλο CGE είναι μέσω της κυκλικής ροής εισοδήματος και δαπανών σε μια εθνική οικονομία, όπως φαίνεται στο Σχήμα 1.1. Ίσως θυμάσαι αυτό το διάγραμμα από τα μαθήματα μακροοικονομίας. Για να καλύψουν τη ζήτηση για τα προϊόντα τους, οι παραγωγοί αγοράζουν εισροές όπως ελαστικά και σέλες ποδηλάτων. Επίσης προσλαμβάνουν συντελεστές παραγωγής (εργασία και κεφάλαιο) και καταβάλλουν μισθούς και ενοίκια. Οι πληρωμές προς τους συντελεστές παραγωγής καταλήγουν τελικά στα ιδιωτικά νοικοκυριά ως εισόδημα από εργασία και κεφάλαιο. Τα νοικοκυριά δαπανούν το εισόδημά τους σε αγαθά και υπηρεσίες, πληρώνουν φόρους στο κράτος και </w:t>
      </w:r>
      <w:r w:rsidRPr="00410E73">
        <w:rPr>
          <w:rFonts w:ascii="Times New Roman" w:eastAsia="Times New Roman" w:hAnsi="Times New Roman" w:cs="Times New Roman"/>
          <w:kern w:val="0"/>
          <w:lang w:eastAsia="el-GR"/>
          <w14:ligatures w14:val="none"/>
        </w:rPr>
        <w:lastRenderedPageBreak/>
        <w:t>αποταμιεύουν ένα μέρος. Το κράτος χρησιμοποιεί τα φορολογικά έσοδα για αγορά αγαθών και υπηρεσιών, ενώ οι επενδυτές χρησιμοποιούν τις αποταμιεύσεις για να αγοράσουν επενδυτικά αγαθά κεφαλαίου για μελλοντικές παραγωγικές δραστηριότητες. Η συνολική ζήτηση για αγαθά και υπηρεσίες από νοικοκυριά, κράτος και επενδύσεις αποτελεί τη τελική ζήτηση στην οικονομία. Οι επιχειρήσεις παράγουν αγαθά και υπηρεσίες σε απάντηση αυτής της ζήτησης, γεγονός που με τη σειρά του καθορίζει τη ζήτηση εισροών, τα επίπεδα απασχόλησης, τα εισοδήματα των νοικοκυριών από εργασία και κεφάλαιο κ.ο.κ., μέσα σε αυτή την κυκλική ροή. Εάν εισάγουμε το εμπόριο σε αυτή την κυκλική ροή, λαμβάνουμε υπόψη τον ρόλο των εισαγωγών στην κάλυψη μέρους της εγχώριας ζήτησης, και προσθέτουμε τη ζήτηση για εξαγωγές ως μια επιπλέον πηγή ζήτησης για τα εγχώρια προϊόντα. Τέλος, μπορούμε να δούμε τις πολιτικές, όπως οι φόροι και οι επιδοτήσεις, ως “σφήνες τιμών” που αυξάνουν ή μειώνουν τις τιμές των αγαθών μεταξύ αγοραστών και πωλητών, ή ως μεταβιβάσεις που επηρεάζουν άμεσα το εισόδημα των νοικοκυριών και συνεπώς τα επίπεδα κατανάλωσης, αποταμίευσης και φορολογίας.</w:t>
      </w:r>
    </w:p>
    <w:p w14:paraId="0721F2BF" w14:textId="77777777" w:rsidR="00DA3621" w:rsidRPr="00410E73" w:rsidRDefault="00DA3621"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B93A41F" w14:textId="038CE748" w:rsidR="00925126" w:rsidRPr="00410E73" w:rsidRDefault="00925126"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Ένα μοντέλο γενικής ισορροπίας περιγράφει όλες αυτές τις αλληλεπιδράσεις ταυτόχρονα: “</w:t>
      </w:r>
      <w:r w:rsidRPr="00410E73">
        <w:rPr>
          <w:rFonts w:ascii="Times New Roman" w:eastAsia="Times New Roman" w:hAnsi="Times New Roman" w:cs="Times New Roman"/>
          <w:i/>
          <w:iCs/>
          <w:kern w:val="0"/>
          <w:lang w:eastAsia="el-GR"/>
          <w14:ligatures w14:val="none"/>
        </w:rPr>
        <w:t>Όλα εξαρτώνται από όλα</w:t>
      </w:r>
      <w:r w:rsidRPr="00410E73">
        <w:rPr>
          <w:rFonts w:ascii="Times New Roman" w:eastAsia="Times New Roman" w:hAnsi="Times New Roman" w:cs="Times New Roman"/>
          <w:kern w:val="0"/>
          <w:lang w:eastAsia="el-GR"/>
          <w14:ligatures w14:val="none"/>
        </w:rPr>
        <w:t>”. Ένα σημαντικό σημείο που πρέπει να διευκρινιστεί είναι ότι τα μοντέλα CGE είναι “πραγματικά” (real) μοντέλα. Ένα πραγματικό μοντέλο δεν περιλαμβάνει το χρήμα, δεν περιγράφει χρηματοπιστωτικές αγορές ή μεταβολές στο γενικό επίπεδο τιμών (όπως πληθωρισμό ή αποπληθωρισμό), ούτε αντικατοπτρίζει τις επιπτώσεις της νομισματικής πολιτικής, όπως για παράδειγμα μια αύξηση της προσφοράς χρήματος. Αντίθετα, ένα πραγματικό μοντέλο μετρά όλες τις μεταβλητές με φυσικές ποσότητες και τις σχετικές τιμές με τις οποίες τα αγαθά ανταλλάσσονται μεταξύ τους – όπως για παράδειγμα τρία βιβλία ανά DVD.</w:t>
      </w:r>
    </w:p>
    <w:p w14:paraId="45A52EBD" w14:textId="77777777" w:rsidR="00DA3621" w:rsidRPr="00410E73" w:rsidRDefault="00DA3621" w:rsidP="00925126">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7A5331BD" w14:textId="24996916" w:rsidR="00925126" w:rsidRPr="00410E73" w:rsidRDefault="00925126"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Είναι πιθανό το μεγαλύτερο μέρος της οικονομικής εκπαίδευσής σου μέχρι τώρα να έχει βασιστεί σε μοντέλα μερικής ισορροπίας. Ένα μοντέλο μερικής ισορροπίας περιγράφει οικονομικά κίνητρα και συμπεριφορές σε έναν μόνο κλάδο, όπως η βιομηχανία ποδηλάτων, ή ενός τύπου οικονομικού φορέα, όπως οι καταναλωτές, κρατώντας σταθερές τις τιμές και ποσότητες στο υπόλοιπο της οικονομίας. Η μερική ανάλυση ισορροπίας είναι παρόμοια με το να κοιτάζει κανείς μέσα από έναν μεγεθυντικό φακό ένα μόνο μέρος της οικονομίας, υποθέτοντας ότι η υπόλοιπη οικονομία είτε δεν είναι σημαντική είτε παραμένει αμετάβλητη εκείνη τη στιγμή. Αυτή η εστίαση σε ένα συγκεκριμένο τμήμα της οικονομίας επιτρέπει στους οικονομολόγους να κάνουν λεπτομερείς αναλύσεις για έναν συγκεκριμένο κλάδο ή δραστηριότητα, αλλά το τίμημα είναι ότι δεν λαμβάνονται υπόψη οι σημαντικές διασυνδέσεις με το υπόλοιπο της οικονομίας. Αυτές οι διασυνδέσεις είναι ιδιαίτερα σημαντικές όταν ο κλάδος ή η δραστηριότητα που μελετάται είναι μεγάλος σε σχέση με την υπόλοιπη οικονομία.</w:t>
      </w:r>
    </w:p>
    <w:p w14:paraId="012A5AA1" w14:textId="77777777" w:rsidR="00DA3621" w:rsidRPr="00410E73" w:rsidRDefault="00DA362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5C69F16"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xml:space="preserve">Μια οικονομία βρίσκεται σε ισορροπία όταν η προσφορά και η ζήτηση είναι σε ισορροπία σε ένα συγκεκριμένο σύνολο τιμών, και δεν υπάρχουν πιέσεις για περαιτέρω μεταβολές στις τιμές ή τις ποσότητες των μεταβλητών αυτών. Σε ένα </w:t>
      </w:r>
      <w:r w:rsidRPr="00410E73">
        <w:rPr>
          <w:rFonts w:ascii="Times New Roman" w:eastAsia="Times New Roman" w:hAnsi="Times New Roman" w:cs="Times New Roman"/>
          <w:kern w:val="0"/>
          <w:lang w:eastAsia="el-GR"/>
          <w14:ligatures w14:val="none"/>
        </w:rPr>
        <w:lastRenderedPageBreak/>
        <w:t>μοντέλο Γενικής Υπολογιστικής Ισορροπίας (CGE), η ισορροπία επιτυγχάνεται στο σημείο όπου όλοι οι παραγωγοί, καταναλωτές, εργαζόμενοι και επενδυτές είναι ικανοποιημένοι με τις ποσότητες των αγαθών που παράγουν και καταναλώνουν, τον κλάδο στον οποίο εργάζονται, το κεφάλαιο που αποταμιεύουν και επενδύουν κ.λπ.</w:t>
      </w:r>
    </w:p>
    <w:p w14:paraId="1FD1E563"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259CB00"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Οι παραγωγοί έχουν επιλέξει επίπεδα εισροών και εκροών που μεγιστοποιούν την αποδοτικότητά τους, λαμβάνοντας υπόψη το κόστος των εισροών όπως καύσιμα και εξοπλισμό, τις τιμές πώλησης και τους τεχνολογικούς περιορισμούς των παραγωγικών τους διαδικασιών. Οι καταναλωτές έχουν μεγιστοποιήσει τη χρησιμότητά τους ή την ικανοποίησή τους, αγοράζοντας τον πιο ικανοποιητικό συνδυασμό προϊόντων – όπως βιβλία, ποδήλατα, αυτοκίνητα και τηλεοράσεις – βάσει του προϋπολογισμού τους και των τιμών των καταναλωτικών αγαθών.</w:t>
      </w:r>
    </w:p>
    <w:p w14:paraId="59CD9624"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F05C66F"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Η ισορροπία του μοντέλου CGE πρέπει επίσης να πληροί ορισμένους σημαντικούς μακροοικονομικούς περιορισμούς και συνθήκες εκκαθάρισης αγορών (market-clearing). Συνήθως αυτοί απαιτούν:</w:t>
      </w:r>
    </w:p>
    <w:p w14:paraId="5B9A649E"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η συνολική προσφορά αγαθών και υπηρεσιών να ισούται με τη συνολική ζήτηση,</w:t>
      </w:r>
    </w:p>
    <w:p w14:paraId="4D12E880"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όλοι οι εργαζόμενοι και το κεφαλαιακό απόθεμα να είναι πλήρως απασχολημένα, και</w:t>
      </w:r>
    </w:p>
    <w:p w14:paraId="696E4DF0"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οι εθνικές ή παγκόσμιες αποταμιεύσεις να ισούνται με τις επενδυτικές δαπάνες.</w:t>
      </w:r>
    </w:p>
    <w:p w14:paraId="47B0EF6A"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9DD9FAE"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Ο αναλυτής του CGE μοντέλου διεξάγει ένα πείραμα, δημιουργώντας μια κατάσταση ανισορροπίας – δηλαδή, μεταβάλλοντας μια εξωγενή μεταβλητή στο μοντέλο. Για παράδειγμα, μπορεί να ορίσει μια αύξηση σε έναν εισαγωγικό δασμό. Αυτό το σοκ θα προκαλέσει αλλαγές στην οικονομία – οι καταναλωτές είναι πιθανό να αγοράζουν λιγότερα εισαγόμενα και περισσότερα εγχώρια προϊόντα, ενώ οι εγχώριες επιχειρήσεις πιθανώς να αυξήσουν την παραγωγή τους για να καλύψουν την αυξημένη ζήτηση.</w:t>
      </w:r>
    </w:p>
    <w:p w14:paraId="7643BECF"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20D5DC9E" w14:textId="40FDA7B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Κατά τη διάρκεια ενός τέτοιου πειράματος, ο αναλυτής λειτουργεί σαν παίκτης μπιλιάρδου που χτυπά μία μπάλα και παρακολουθεί τις αντιδράσεις και αλληλεπιδράσεις μεταξύ όλων των άλλων μπαλών στο τραπέζι, περιμένοντας να δει πού θα σταματήσουν όλες. Όλες οι εξισώσεις του μοντέλου CGE πρέπει να επιλυθούν εκ νέου ώστε να προκύψουν νέες τιμές λύσεων για όλες τις ενδογενείς μεταβλητές του μοντέλου. Οι νέες αυτές τιμές αναπαριστούν μια νέα ισορροπία, όπου οι ποσότητες προσφοράς και ζήτησης είναι ξανά ίσες σε κάποιο νέο σύνολο τιμών.</w:t>
      </w:r>
    </w:p>
    <w:p w14:paraId="5EAB9991" w14:textId="77777777" w:rsidR="00DA3621" w:rsidRPr="00410E73" w:rsidRDefault="00DA3621" w:rsidP="00DA362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F32DD54" w14:textId="5E17F06B" w:rsidR="00DA3621" w:rsidRPr="00410E73" w:rsidRDefault="00DA362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lastRenderedPageBreak/>
        <w:t>Το μοντέλο CGE που μελετάμε δεν απεικονίζει τη διαδικασία προσαρμογής – δεν βλέπουμε δηλαδή τις μπάλες του μπιλιάρδου να συγκρούονται μεταξύ τους καθώς κινούνται στο τραπέζι. Αυτό είναι ένα σημαντικό σημείο που πρέπει να έχεις κατά νου όταν χρησιμοποιείς ένα μοντέλο CGE για την ανάλυση πολιτικής.</w:t>
      </w:r>
    </w:p>
    <w:p w14:paraId="47AE3837" w14:textId="77777777" w:rsidR="00DA3621" w:rsidRPr="00410E73" w:rsidRDefault="00DA362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7DF1CACB" w14:textId="2C35D488"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Ένα από τα βασικά πλεονεκτήματα των CGE μοντέλων είναι ότι επιτρέπουν στους οικονομολόγους να διεξάγουν “πειράματα” επί χάρτου. Για παράδειγμα, αν η κυβέρνηση θελήσει να αξιολογήσει τις επιπτώσεις μιας νέας εμπορικής συμφωνίας που μειώνει τους δασμούς, ένα CGE μοντέλο μπορεί να υπολογίσει πώς αυτή η αλλαγή θα επηρεάσει την εγχώρια παραγωγή, τις εξαγωγές, τις τιμές, τους μισθούς και την απασχόληση. Αυτό επιτυγχάνεται μέσω ενός συνόλου προσομοιώσεων στις οποίες μεταβάλλεται κάποια εξωγενής μεταβλητή (π.χ. ο δασμός), και το μοντέλο “λύνεται” εκ νέου για να υπολογίσει τις νέες τιμές ισορροπίας σε όλη την οικονομία .</w:t>
      </w:r>
    </w:p>
    <w:p w14:paraId="15F3B1EE" w14:textId="77777777" w:rsidR="00DA3621" w:rsidRPr="00410E73" w:rsidRDefault="00DA362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FFDC58F"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Η δομή ενός CGE μοντέλου δεν είναι άκαμπτη. Υπάρχουν στατικά και δυναμικά μοντέλα. Τα στατικά μοντέλα συγκρίνουν δύο καταστάσεις ισορροπίας (πριν και μετά από ένα σοκ), χωρίς να περιγράφουν τον τρόπο με τον οποίο η οικονομία μεταβαίνει από τη μία στην άλλη. Τα δυναμικά μοντέλα περιλαμβάνουν τον χρόνο ως μεταβλητή, και είναι σε θέση να προσομοιώσουν την πορεία εξέλιξης της οικονομίας σε μεσοπρόθεσμο ή μακροπρόθεσμο ορίζοντα.</w:t>
      </w:r>
    </w:p>
    <w:p w14:paraId="0590C383"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DA933C9"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Παραδείγματα πρακτικής εφαρμογής των CGE μοντέλων περιλαμβάνουν:</w:t>
      </w:r>
    </w:p>
    <w:p w14:paraId="7F346C86"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Ανάλυση των επιπτώσεων της Συμφωνίας NAFTA στις ΗΠΑ, το Μεξικό και τον Καναδά.</w:t>
      </w:r>
    </w:p>
    <w:p w14:paraId="19344DF6"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Ποσοτική εκτίμηση της επίδρασης των αυξημένων τιμών του πετρελαίου στην παγκόσμια οικονομία.</w:t>
      </w:r>
    </w:p>
    <w:p w14:paraId="069FA4D2"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Εφαρμογές για την αξιολόγηση της συμφωνίας του Παρισιού για την κλιματική αλλαγή.</w:t>
      </w:r>
    </w:p>
    <w:p w14:paraId="3582C696"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Εκτίμηση της επίδρασης της φορολογικής μεταρρύθμισης στο σύστημα εισοδήματος και κατανάλωσης.</w:t>
      </w:r>
    </w:p>
    <w:p w14:paraId="7509281A"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7B5475D0"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Τα CGE μοντέλα έχουν χρησιμοποιηθεί ευρέως από θεσμούς όπως η Παγκόσμια Τράπεζα, το Διεθνές Νομισματικό Ταμείο, το Υπουργείο Γεωργίας των ΗΠΑ (USDA) και η Ευρωπαϊκή Επιτροπή. Το λογισμικό RunGTAP, το οποίο βασίζεται στη βάση δεδομένων GTAP (Global Trade Analysis Project), αποτελεί σήμερα ένα από τα πιο διαδεδομένα εργαλεία CGE ανάλυσης διεθνώς.</w:t>
      </w:r>
    </w:p>
    <w:p w14:paraId="72389CE1"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0E7485F"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lastRenderedPageBreak/>
        <w:t>Φυσικά, τα μοντέλα αυτά δεν είναι πανάκεια. Υπάρχουν περιορισμοί και προκλήσεις, κυρίως σε σχέση με:</w:t>
      </w:r>
    </w:p>
    <w:p w14:paraId="43D015E4"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Τη διαθεσιμότητα και την ποιότητα των δεδομένων.</w:t>
      </w:r>
    </w:p>
    <w:p w14:paraId="20E49A35"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Την επιλογή των ελαστικοτήτων και άλλων κρίσιμων παραμέτρων.</w:t>
      </w:r>
    </w:p>
    <w:p w14:paraId="7CFCA20A"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Τις υποθέσεις πλήρους απασχόλησης και τέλειου ανταγωνισμού που ενδέχεται να μην αντικατοπτρίζουν την πραγματικότητα.</w:t>
      </w:r>
    </w:p>
    <w:p w14:paraId="02E16215" w14:textId="77777777" w:rsidR="001576A1" w:rsidRPr="00410E73" w:rsidRDefault="001576A1" w:rsidP="001576A1">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Την αδυναμία παρακολούθησης της προσαρμοστικής πορείας της οικονομίας προς τη νέα ισορροπία (εκτός των δυναμικών μοντέλων).</w:t>
      </w:r>
    </w:p>
    <w:p w14:paraId="537870B1" w14:textId="53A60E20" w:rsidR="007B65F4" w:rsidRPr="00410E73" w:rsidRDefault="007B65F4" w:rsidP="00E775ED">
      <w:pPr>
        <w:pStyle w:val="2"/>
        <w:rPr>
          <w:b/>
          <w:bCs/>
        </w:rPr>
      </w:pPr>
      <w:bookmarkStart w:id="2" w:name="_Toc195098677"/>
      <w:r w:rsidRPr="00410E73">
        <w:rPr>
          <w:b/>
          <w:bCs/>
        </w:rPr>
        <w:t>Ιστορία και εξέλιξη της μοντελοποίησης Γενικής Υπολογιστικής Ισορροπίας (CGE)</w:t>
      </w:r>
      <w:bookmarkEnd w:id="2"/>
    </w:p>
    <w:p w14:paraId="4A6F3AAE" w14:textId="77777777" w:rsidR="007B65F4" w:rsidRPr="00347208" w:rsidRDefault="007B65F4" w:rsidP="007B65F4">
      <w:pPr>
        <w:pStyle w:val="p1"/>
        <w:rPr>
          <w:b/>
          <w:bCs/>
          <w:color w:val="auto"/>
          <w:sz w:val="24"/>
          <w:szCs w:val="24"/>
          <w:u w:val="single"/>
        </w:rPr>
      </w:pPr>
    </w:p>
    <w:p w14:paraId="2E70B5C3" w14:textId="04DD439F"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Η ιστορική πορεία των Υπολογιστικών Μοντέλων Γενικής Ισορροπίας (Computable General Equilibrium – CGE) αντανακλά την προσπάθεια της οικονομικής επιστήμης να γεφυρώσει το χάσμα ανάμεσα στη θεωρία και την εμπειρική εφαρμογή. Από τις πρώτες αφηρημένες θεωρητικές κατασκευές μέχρι την ανάπτυξη πολύπλοκων υπολογιστικών συστημάτων που μοντελοποιούν ολόκληρες οικονομίες, τα CGE μοντέλα εξελίχθηκαν σταδιακά για να γίνουν απαραίτητα εργαλεία χάραξης πολιτικής, ανάλυσης δεδομένων και αξιολόγησης επιπτώσεων.</w:t>
      </w:r>
    </w:p>
    <w:p w14:paraId="0EC062E0" w14:textId="77777777" w:rsidR="00DA3621" w:rsidRPr="00410E73" w:rsidRDefault="00DA3621"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4F9B75B"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7B65F4">
        <w:rPr>
          <w:rFonts w:ascii="Times New Roman" w:eastAsia="Times New Roman" w:hAnsi="Times New Roman" w:cs="Times New Roman"/>
          <w:b/>
          <w:bCs/>
          <w:kern w:val="0"/>
          <w:lang w:eastAsia="el-GR"/>
          <w14:ligatures w14:val="none"/>
        </w:rPr>
        <w:t>Θεωρητικές απαρχές – η μαθηματική θεμελίωση της ισορροπίας</w:t>
      </w:r>
    </w:p>
    <w:p w14:paraId="6AFBFCC4"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01CDBD2"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Οι ρίζες των CGE μοντέλων εντοπίζονται στην κλασική θεωρία της γενικής ισορροπίας του 19ου αιώνα, με βασικό εκπρόσωπο τον Léon Walras. Ο Walras εισήγαγε το πλαίσιο μιας οικονομίας στην οποία οι τιμές προσαρμόζονται έτσι ώστε να εξισορροπείται ταυτόχρονα η προσφορά και η ζήτηση σε όλες τις αγορές. Η “γενική” διάσταση της ισορροπίας, δηλαδή η ταυτόχρονη επίτευξή της σε όλα τα οικονομικά αγαθά και συντελεστές, αποτέλεσε το θεωρητικό υπόβαθρο που αργότερα εξελίχθηκε σε ένα πλήρως μαθηματικοποιημένο σύστημα.</w:t>
      </w:r>
    </w:p>
    <w:p w14:paraId="4E29E16D"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7BA0025"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Στα μέσα του 20ού αιώνα, οι Kenneth Arrow και Gérard Debreu διαμόρφωσαν μια αυστηρή μαθηματική έκδοση της θεωρίας γενικής ισορροπίας, η οποία απέδειξε ότι, υπό ορισμένες υποθέσεις, μια ανταγωνιστική οικονομία έχει τουλάχιστον ένα σημείο ισορροπίας. Αυτή η απόδειξη, γνωστή ως το Θεώρημα Arrow–Debreu, καθιέρωσε τη μαθηματική εγκυρότητα της γενικής ισορροπίας και δημιούργησε τις βάσεις για την κατασκευή εφαρμοσμένων υποδειγμάτων που θα μπορούσαν να αποτυπώσουν την ισορροπία μιας πραγματικής οικονομίας.</w:t>
      </w:r>
    </w:p>
    <w:p w14:paraId="75A45458"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C44AA0E"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Παρά τη θεωρητική πρόοδο, η πρακτική αξιοποίηση του πλαισίου παρέμενε δύσκολη για αρκετές δεκαετίες. Η απουσία λεπτομερών εθνικών λογαριασμών, η περιορισμένη υπολογιστική ισχύς των πρώτων υπολογιστών, καθώς και η έλλειψη μεθόδων εκτίμησης παραμέτρων, καθιστούσαν σχεδόν αδύνατη την εμπειρική εφαρμογή των μοντέλων γενικής ισορροπίας.</w:t>
      </w:r>
    </w:p>
    <w:p w14:paraId="313CBF1E"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27CA82F"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7B65F4">
        <w:rPr>
          <w:rFonts w:ascii="Times New Roman" w:eastAsia="Times New Roman" w:hAnsi="Times New Roman" w:cs="Times New Roman"/>
          <w:b/>
          <w:bCs/>
          <w:kern w:val="0"/>
          <w:lang w:eastAsia="el-GR"/>
          <w14:ligatures w14:val="none"/>
        </w:rPr>
        <w:t>Η μετάβαση στα πρώτα υπολογιστικά υποδείγματα</w:t>
      </w:r>
    </w:p>
    <w:p w14:paraId="034CD517"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59787CF"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Η ουσιαστική μετατόπιση από την καθαρή θεωρία προς την εμπειρική εφαρμογή ξεκίνησε με τη δουλειά του Leif Johansen, ο οποίος στις αρχές της δεκαετίας του 1960 ανέπτυξε ένα υπολογιστικό μοντέλο της νορβηγικής οικονομίας. Αν και το μοντέλο του ήταν περισσότερο μακροοικονομικού τύπου, αποτέλεσε ένα από τα πρώτα παραδείγματα συστηματικής χρήσης εθνικών δεδομένων και υπολογιστικών μεθόδων για την πρόβλεψη των επιπτώσεων διαρθρωτικών αλλαγών.</w:t>
      </w:r>
    </w:p>
    <w:p w14:paraId="1141E05F"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274955FC"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Κατά τη δεκαετία του 1970, οι ερευνητές άρχισαν να ενσωματώνουν πίνακες εισροών-εκροών και άλλους κοινωνικούς λογαριασμούς σε εφαρμοσμένα υποδείγματα γενικής ισορροπίας. Οικονομολόγοι όπως οι Taylor, Adelman, Dervis, de Melo και Robinson διαμόρφωσαν μοντέλα τα οποία περιλάμβαναν επιμέρους τομείς παραγωγής, φορείς κατανάλωσης και μηχανισμούς εμπορικών συναλλαγών. Τα πρώτα αυτά μοντέλα, παρότι στατικά, επέτρεπαν για πρώτη φορά την ποσοτική αποτίμηση πολιτικών επιλογών όπως η αλλαγή της φορολογικής πολιτικής ή η εισαγωγή εξωτερικών επιδοτήσεων.</w:t>
      </w:r>
    </w:p>
    <w:p w14:paraId="4374643C"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3363AC5"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Ένα βασικό χαρακτηριστικό αυτής της πρώιμης γενιάς μοντέλων ήταν η χρήση του Πίνακα Κοινωνικής Λογιστικής (Social Accounting Matrix – SAM) ως βάση δεδομένων. Οι SAMs αποτελούν επεκτάσεις των πινάκων εισροών-εκροών, περιλαμβάνοντας πληροφορίες όχι μόνο για την παραγωγή και την κατανάλωση, αλλά και για τα εισοδήματα, τη διανομή, τις φορολογικές ροές και τις διασυνδέσεις μεταξύ των τομέων. Η χρήση τους έδωσε στα μοντέλα την απαραίτητη πληρότητα για να περιγράψουν το πώς διανέμεται το εισόδημα και πώς επηρεάζονται διαφορετικές ομάδες πληθυσμού από την εφαρμογή πολιτικής.</w:t>
      </w:r>
    </w:p>
    <w:p w14:paraId="327983C4"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7AC0B4C4"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7B65F4">
        <w:rPr>
          <w:rFonts w:ascii="Times New Roman" w:eastAsia="Times New Roman" w:hAnsi="Times New Roman" w:cs="Times New Roman"/>
          <w:b/>
          <w:bCs/>
          <w:kern w:val="0"/>
          <w:lang w:eastAsia="el-GR"/>
          <w14:ligatures w14:val="none"/>
        </w:rPr>
        <w:t>Η εξάπλωση και διαφοροποίηση των CGE μοντέλων</w:t>
      </w:r>
    </w:p>
    <w:p w14:paraId="4DE3B6BE"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3E6744F"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lastRenderedPageBreak/>
        <w:t>Κατά τις δεκαετίες του 1980 και 1990, τα CGE μοντέλα άρχισαν να χρησιμοποιούνται εκτενώς από διεθνείς οργανισμούς, κυβερνήσεις και ερευνητικά ιδρύματα. Η αρχική τους εφαρμογή εστίαζε κυρίως στην αξιολόγηση δημοσιονομικών πολιτικών, ιδίως στη δομή της φορολογίας και των επιδοτήσεων. Ωστόσο, σύντομα επεκτάθηκαν σε άλλους τομείς, όπως το διεθνές εμπόριο, η βιομηχανική πολιτική, η γεωργία και η περιβαλλοντική ρύθμιση.</w:t>
      </w:r>
    </w:p>
    <w:p w14:paraId="2B08DA02"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DA05A5E"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Τα μοντέλα εκείνης της περιόδου διαφοροποιήθηκαν σημαντικά ως προς τη δομή τους: ορισμένα ήταν μονοτομεακά ή επικεντρώνονταν σε μεμονωμένες χώρες, ενώ άλλα επεκτάθηκαν σε πολυτομεακή και πολυχωρική ανάλυση. Οι υπολογιστικοί περιορισμοί μειώθηκαν χάρη στην πρόοδο των προσωπικών υπολογιστών και τη δημιουργία εξειδικευμένων λογισμικών, όπως τα GEMPACK και GAMS, τα οποία διευκόλυναν την επίλυση συστημάτων εξισώσεων μεγάλης κλίμακας.</w:t>
      </w:r>
    </w:p>
    <w:p w14:paraId="5BB7813E"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29E61119"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Στο επίπεδο της θεωρίας, εισήχθησαν νέες τεχνικές για την περιγραφή της συμπεριφοράς των οικονομικών παραγόντων. Για παράδειγμα, αντικαταστάθηκαν οι απλοϊκές υποθέσεις σταθερών συντελεστών παραγωγής με πιο ευέλικτες συναρτήσεις παραγωγής τύπου CES (Constant Elasticity of Substitution). Παράλληλα, τα μοντέλα ενσωμάτωσαν μηχανισμούς αποταμίευσης, επενδύσεων και κεφαλαιακής συσσώρευσης, διευρύνοντας σημαντικά το εύρος των εφαρμογών τους.</w:t>
      </w:r>
    </w:p>
    <w:p w14:paraId="7A2AC34C"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59324EE"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7B65F4">
        <w:rPr>
          <w:rFonts w:ascii="Times New Roman" w:eastAsia="Times New Roman" w:hAnsi="Times New Roman" w:cs="Times New Roman"/>
          <w:b/>
          <w:bCs/>
          <w:kern w:val="0"/>
          <w:lang w:eastAsia="el-GR"/>
          <w14:ligatures w14:val="none"/>
        </w:rPr>
        <w:t>Από τα στατικά στα δυναμικά μοντέλα: εισαγωγή της χρονικής διάστασης</w:t>
      </w:r>
    </w:p>
    <w:p w14:paraId="08FCB513"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1BB61FB"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Η ανάγκη να εξεταστούν όχι μόνο τα άμεσα, αλλά και τα μακροπρόθεσμα αποτελέσματα μιας πολιτικής οδήγησε στην ανάπτυξη δυναμικών CGE μοντέλων. Σε αντίθεση με τα στατικά, τα οποία συγκρίνουν δύο σημεία ισορροπίας χωρίς να περιγράφουν την πορεία μετάβασης, τα δυναμικά μοντέλα εισάγουν τη χρονική διάσταση και εξετάζουν την εξέλιξη των οικονομικών μεταβλητών διαχρονικά. Μπορούν να ενσωματώσουν την επενδυτική συμπεριφορά, την εξέλιξη του κεφαλαιακού αποθέματος, τις δημογραφικές αλλαγές, καθώς και μηχανισμούς προσαρμογής στις αγορές εργασίας και κεφαλαίου.</w:t>
      </w:r>
    </w:p>
    <w:p w14:paraId="6CAAD058"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7007AAF7"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Η εισαγωγή δυναμικής συμπεριφοράς επέτρεψε την καλύτερη μοντελοποίηση φαινομένων όπως η τεχνολογική πρόοδος, οι δημοσιονομικές ανισορροπίες, η μετανάστευση και η μακροχρόνια επίδραση στην ανάπτυξη. Παράλληλα, κατέστησε δυνατή τη διεξαγωγή προβλέψεων σε μεσοπρόθεσμο και μακροπρόθεσμο ορίζοντα, χρήσιμες για τη χάραξη στρατηγικής πολιτικής.</w:t>
      </w:r>
    </w:p>
    <w:p w14:paraId="7136AE41"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9C7DC70"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7B65F4">
        <w:rPr>
          <w:rFonts w:ascii="Times New Roman" w:eastAsia="Times New Roman" w:hAnsi="Times New Roman" w:cs="Times New Roman"/>
          <w:b/>
          <w:bCs/>
          <w:kern w:val="0"/>
          <w:lang w:eastAsia="el-GR"/>
          <w14:ligatures w14:val="none"/>
        </w:rPr>
        <w:lastRenderedPageBreak/>
        <w:t>Σύγχρονες τάσεις και επεκτάσεις</w:t>
      </w:r>
    </w:p>
    <w:p w14:paraId="63609305" w14:textId="77777777" w:rsidR="007B65F4" w:rsidRPr="007B65F4"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AF51AF5"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Στις τελευταίες δεκαετίες, τα CGE μοντέλα υιοθέτησαν μια πιο διεπιστημονική κατεύθυνση. Ενσωματώνουν πλέον παραμέτρους και δεδομένα που αφορούν το περιβάλλον, την ενέργεια, τη γεωργία, την υγεία και την εκπαίδευση. Έχουν χρησιμοποιηθεί για την ποσοτικοποίηση των επιπτώσεων της κλιματικής αλλαγής, τη μελέτη της διαχείρισης φυσικών πόρων, καθώς και για την προσομοίωση πολιτικών βιώσιμης ανάπτυξης.</w:t>
      </w:r>
    </w:p>
    <w:p w14:paraId="7817F14E"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9914867"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Επίσης, αναπτύχθηκαν μικρο-συνδεδεμένα μοντέλα, τα οποία συνδυάζουν τη γενική ισορροπία με μικροοικονομικά δεδομένα νοικοκυριών (micro-simulation). Μέσω αυτών, είναι δυνατή η πιο ακριβής εκτίμηση των κατανομικών συνεπειών μιας πολιτικής, δηλαδή το ποιοι κερδίζουν και ποιοι χάνουν — όχι μόνο ανά τομέα, αλλά ανά κοινωνική ομάδα, εισοδηματική τάξη ή γεωγραφική περιοχή.</w:t>
      </w:r>
    </w:p>
    <w:p w14:paraId="6593760D"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524BA5F" w14:textId="77777777" w:rsidR="007B65F4" w:rsidRPr="00410E73" w:rsidRDefault="007B65F4" w:rsidP="007B65F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Επιπλέον, τα μοντέλα ενσωματώνουν πλέον περιφερειακή διάσταση, ώστε να μπορούν να αποτιμήσουν την επίδραση πολιτικών σε υπο-εθνικές περιοχές, με στόχο την καλύτερη χωρική στόχευση της πολιτικής. Αυτή η προσέγγιση είναι ιδιαίτερα χρήσιμη στην αγροτική ανάπτυξη, στην ενεργειακή μετάβαση και στη διαχείριση φυσικών καταστροφών.</w:t>
      </w:r>
    </w:p>
    <w:p w14:paraId="141A2C50" w14:textId="77777777" w:rsidR="007B65F4" w:rsidRPr="00347208" w:rsidRDefault="007B65F4" w:rsidP="007B65F4">
      <w:pPr>
        <w:pStyle w:val="p1"/>
        <w:rPr>
          <w:color w:val="auto"/>
          <w:sz w:val="24"/>
          <w:szCs w:val="24"/>
        </w:rPr>
      </w:pPr>
    </w:p>
    <w:p w14:paraId="697EA1A7" w14:textId="77777777" w:rsidR="00E775ED" w:rsidRPr="00410E73" w:rsidRDefault="00E775ED" w:rsidP="00E775ED">
      <w:pPr>
        <w:pStyle w:val="2"/>
        <w:rPr>
          <w:rFonts w:eastAsia="Times New Roman"/>
          <w:b/>
          <w:bCs/>
          <w:color w:val="000000"/>
          <w:lang w:eastAsia="el-GR"/>
        </w:rPr>
      </w:pPr>
      <w:bookmarkStart w:id="3" w:name="_Toc195098678"/>
      <w:r w:rsidRPr="00410E73">
        <w:rPr>
          <w:rFonts w:eastAsia="Times New Roman"/>
          <w:b/>
          <w:bCs/>
          <w:lang w:eastAsia="el-GR"/>
        </w:rPr>
        <w:t>Θεωρητικά Θεμέλια των Υπολογιστικών Μοντέλων Γενικής Ισορροπίας (CGE Models)</w:t>
      </w:r>
      <w:bookmarkEnd w:id="3"/>
    </w:p>
    <w:p w14:paraId="5183A378" w14:textId="4E881F20" w:rsidR="0026784D" w:rsidRPr="00347208" w:rsidRDefault="0026784D" w:rsidP="00197BC7">
      <w:pPr>
        <w:rPr>
          <w:rFonts w:ascii="Times New Roman" w:hAnsi="Times New Roman" w:cs="Times New Roman"/>
          <w:sz w:val="20"/>
          <w:szCs w:val="20"/>
        </w:rPr>
      </w:pPr>
    </w:p>
    <w:p w14:paraId="7CF9328D" w14:textId="2F71B68E" w:rsidR="00062384" w:rsidRPr="00E775ED" w:rsidRDefault="00062384" w:rsidP="00E775ED">
      <w:pPr>
        <w:pStyle w:val="2"/>
        <w:numPr>
          <w:ilvl w:val="0"/>
          <w:numId w:val="0"/>
        </w:numPr>
        <w:ind w:left="576"/>
        <w:rPr>
          <w:rFonts w:eastAsia="Times New Roman"/>
          <w:color w:val="000000"/>
          <w:sz w:val="21"/>
          <w:szCs w:val="21"/>
          <w:lang w:val="en-US" w:eastAsia="el-GR"/>
        </w:rPr>
      </w:pPr>
    </w:p>
    <w:p w14:paraId="5704047C"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sz w:val="28"/>
          <w:szCs w:val="28"/>
          <w:lang w:eastAsia="el-GR"/>
          <w14:ligatures w14:val="none"/>
        </w:rPr>
      </w:pPr>
    </w:p>
    <w:p w14:paraId="7F1553AA" w14:textId="40F1B94A"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 xml:space="preserve">Τα υπολογιστικά μοντέλα γενικής ισορροπίας (Computable General Equilibrium – CGE) δεν είναι απλώς σύνολα εξισώσεων ή εργαλεία προσομοίωσης. Αντιθέτως, εδράζονται σε ένα σύνολο αυστηρά ορισμένων θεωρητικών βάσεων, αντλώντας από την μικροοικονομική θεωρία, τη θεωρία γενικής ισορροπίας και τη μαθηματική ανάλυση. </w:t>
      </w:r>
    </w:p>
    <w:p w14:paraId="7037981E"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FD39E60"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b/>
          <w:bCs/>
          <w:kern w:val="0"/>
          <w:lang w:eastAsia="el-GR"/>
          <w14:ligatures w14:val="none"/>
        </w:rPr>
        <w:t>Η έννοια της γενικής ισορροπίας</w:t>
      </w:r>
    </w:p>
    <w:p w14:paraId="146F9CDF"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8E1E23E" w14:textId="77777777"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lastRenderedPageBreak/>
        <w:t>Στην καρδιά κάθε CGE μοντέλου βρίσκεται η έννοια της γενικής ισορροπίας. Ένα οικονομικό σύστημα βρίσκεται σε ισορροπία όταν, για κάθε αγορά, η ποσότητα που προσφέρεται ισούται με την ποσότητα που ζητείται, και οι τιμές προσαρμόζονται έτσι ώστε να επιτευχθεί αυτή η εξισορρόπηση. Η θεμελίωση αυτής της ιδέας αποδίδεται στον Léon Walras, ο οποίος τον 19ο αιώνα ανέπτυξε ένα υπόδειγμα στο οποίο όλες οι αγορές είναι διασυνδεδεμένες, και οι τιμές αποτελούν τον μηχανισμό που φέρνει το σύστημα σε ισορροπία. Αυτό που σήμερα ονομάζουμε “Walrasian” CGE μοντέλο βασίζεται σε τρεις βασικές αρχές:</w:t>
      </w:r>
    </w:p>
    <w:p w14:paraId="2CB12616" w14:textId="77777777"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1. Οι παραγωγοί μεγιστοποιούν τα κέρδη τους και λειτουργούν σε τέλεια ανταγωνιστικές αγορές, όπου τα οικονομικά κέρδη είναι μηδενικά.</w:t>
      </w:r>
    </w:p>
    <w:p w14:paraId="230EF15C" w14:textId="77777777"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2. Οι καταναλωτές μεγιστοποιούν τη χρησιμότητά τους, ξοδεύοντας όλο το εισόδημα που λαμβάνουν από την εργασία ή τα εισοδήματα κεφαλαίου.</w:t>
      </w:r>
    </w:p>
    <w:p w14:paraId="0F4E2852" w14:textId="77777777"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3. Οι τιμές προσαρμόζονται μέχρι να ισορροπήσει η προσφορά με τη ζήτηση για κάθε αγαθό και κάθε συντελεστή παραγωγής .</w:t>
      </w:r>
    </w:p>
    <w:p w14:paraId="446D99B8" w14:textId="77777777"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BAF1012" w14:textId="77777777"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Η Νομοθεσία του Walras (Walras’s Law) δηλώνει ότι το άθροισμα των πλεονασμάτων ή ελλειμμάτων προσφοράς σε όλες τις αγορές ισούται με το άθροισμα των πλεονασμάτων ή ελλειμμάτων ζήτησης. Πρακτικά, αυτό σημαίνει ότι αν όλες οι αγορές, εκτός από μία, είναι σε ισορροπία, τότε και η τελευταία αγορά θα ισορροπήσει αναγκαστικά. Αυτή η ιδιότητα επιτρέπει στους μοντελιστές να αφαιρούν μία εξίσωση και να σταθεροποιούν μία τιμή (numeraire), χωρίς να χάνεται η ισορροπία του συστήματος .</w:t>
      </w:r>
    </w:p>
    <w:p w14:paraId="46084F6A"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7DB7D49"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b/>
          <w:bCs/>
          <w:kern w:val="0"/>
          <w:lang w:eastAsia="el-GR"/>
          <w14:ligatures w14:val="none"/>
        </w:rPr>
        <w:t>Οι βασικοί παράγοντες του μοντέλου (agents)</w:t>
      </w:r>
    </w:p>
    <w:p w14:paraId="4A6222F3"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1E39E6B"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Ένα CGE μοντέλο περιλαμβάνει έναν αριθμό παραγόντων (agents) που αλληλεπιδρούν στην οικονομία:</w:t>
      </w:r>
    </w:p>
    <w:p w14:paraId="0441360F"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Νοικοκυριά</w:t>
      </w:r>
      <w:r w:rsidRPr="00062384">
        <w:rPr>
          <w:rFonts w:ascii="Times New Roman" w:eastAsia="Times New Roman" w:hAnsi="Times New Roman" w:cs="Times New Roman"/>
          <w:kern w:val="0"/>
          <w:lang w:eastAsia="el-GR"/>
          <w14:ligatures w14:val="none"/>
        </w:rPr>
        <w:t>: Παράγουν συντελεστές (εργασία, κεφάλαιο) και καταναλώνουν αγαθά και υπηρεσίες, μεγιστοποιώντας τη χρησιμότητά τους υπό περιορισμό εισοδήματος.</w:t>
      </w:r>
    </w:p>
    <w:p w14:paraId="54C37FFD"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Επιχειρήσεις</w:t>
      </w:r>
      <w:r w:rsidRPr="00062384">
        <w:rPr>
          <w:rFonts w:ascii="Times New Roman" w:eastAsia="Times New Roman" w:hAnsi="Times New Roman" w:cs="Times New Roman"/>
          <w:kern w:val="0"/>
          <w:lang w:eastAsia="el-GR"/>
          <w14:ligatures w14:val="none"/>
        </w:rPr>
        <w:t>: Παράγουν αγαθά και υπηρεσίες χρησιμοποιώντας εισροές, και επιδιώκουν την ελαχιστοποίηση του κόστους παραγωγής ή τη μεγιστοποίηση του κέρδους.</w:t>
      </w:r>
    </w:p>
    <w:p w14:paraId="6B1202FF"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Κυβέρνηση</w:t>
      </w:r>
      <w:r w:rsidRPr="00062384">
        <w:rPr>
          <w:rFonts w:ascii="Times New Roman" w:eastAsia="Times New Roman" w:hAnsi="Times New Roman" w:cs="Times New Roman"/>
          <w:kern w:val="0"/>
          <w:lang w:eastAsia="el-GR"/>
          <w14:ligatures w14:val="none"/>
        </w:rPr>
        <w:t>: Επιβάλλει φόρους, παρέχει επιδοτήσεις, και δαπανά σε αγαθά και υπηρεσίες.</w:t>
      </w:r>
    </w:p>
    <w:p w14:paraId="2D09D4AB"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Επενδυτές και αποταμιευτές</w:t>
      </w:r>
      <w:r w:rsidRPr="00062384">
        <w:rPr>
          <w:rFonts w:ascii="Times New Roman" w:eastAsia="Times New Roman" w:hAnsi="Times New Roman" w:cs="Times New Roman"/>
          <w:kern w:val="0"/>
          <w:lang w:eastAsia="el-GR"/>
          <w14:ligatures w14:val="none"/>
        </w:rPr>
        <w:t>: Καθορίζουν τη ροή κεφαλαίων μεταξύ περιόδων, επηρεάζοντας τις επενδύσεις και την κατανάλωση.</w:t>
      </w:r>
    </w:p>
    <w:p w14:paraId="6D306A7A"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lastRenderedPageBreak/>
        <w:t xml:space="preserve">• </w:t>
      </w:r>
      <w:r w:rsidRPr="00062384">
        <w:rPr>
          <w:rFonts w:ascii="Times New Roman" w:eastAsia="Times New Roman" w:hAnsi="Times New Roman" w:cs="Times New Roman"/>
          <w:b/>
          <w:bCs/>
          <w:kern w:val="0"/>
          <w:lang w:eastAsia="el-GR"/>
          <w14:ligatures w14:val="none"/>
        </w:rPr>
        <w:t>Εξωτερικό περιβάλλον</w:t>
      </w:r>
      <w:r w:rsidRPr="00062384">
        <w:rPr>
          <w:rFonts w:ascii="Times New Roman" w:eastAsia="Times New Roman" w:hAnsi="Times New Roman" w:cs="Times New Roman"/>
          <w:kern w:val="0"/>
          <w:lang w:eastAsia="el-GR"/>
          <w14:ligatures w14:val="none"/>
        </w:rPr>
        <w:t>: Αφορά το διεθνές εμπόριο και τις συναλλαγές με τον υπόλοιπο κόσμο, όπως εισαγωγές, εξαγωγές, ροές κεφαλαίων και όρους εμπορίου.</w:t>
      </w:r>
    </w:p>
    <w:p w14:paraId="7571B9A9"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26EC8574"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Οι συμπεριφορές αυτών των παραγόντων καθορίζονται μέσα από εξισώσεις βασισμένες στη μικροοικονομική θεωρία. Για παράδειγμα, η κατανάλωση περιγράφεται μέσω συναρτήσεων χρησιμότητας (π.χ. Cobb–Douglas ή CES), ενώ η παραγωγή μέσω συναρτήσεων παραγωγής (π.χ. Leontief ή CES).</w:t>
      </w:r>
    </w:p>
    <w:p w14:paraId="5AC86CC2"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6014277"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b/>
          <w:bCs/>
          <w:kern w:val="0"/>
          <w:lang w:eastAsia="el-GR"/>
          <w14:ligatures w14:val="none"/>
        </w:rPr>
        <w:t>Η έννοια της ισορροπίας σε ένα CGE πλαίσιο</w:t>
      </w:r>
    </w:p>
    <w:p w14:paraId="095FAFF7"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6EE5D50"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Η </w:t>
      </w:r>
      <w:r w:rsidRPr="00062384">
        <w:rPr>
          <w:rFonts w:ascii="Times New Roman" w:eastAsia="Times New Roman" w:hAnsi="Times New Roman" w:cs="Times New Roman"/>
          <w:b/>
          <w:bCs/>
          <w:kern w:val="0"/>
          <w:lang w:eastAsia="el-GR"/>
          <w14:ligatures w14:val="none"/>
        </w:rPr>
        <w:t>ισορροπία</w:t>
      </w:r>
      <w:r w:rsidRPr="00062384">
        <w:rPr>
          <w:rFonts w:ascii="Times New Roman" w:eastAsia="Times New Roman" w:hAnsi="Times New Roman" w:cs="Times New Roman"/>
          <w:kern w:val="0"/>
          <w:lang w:eastAsia="el-GR"/>
          <w14:ligatures w14:val="none"/>
        </w:rPr>
        <w:t xml:space="preserve"> σε ένα CGE μοντέλο επιτυγχάνεται όταν:</w:t>
      </w:r>
    </w:p>
    <w:p w14:paraId="717EA3F2"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Όλες οι αγορές αγαθών και υπηρεσιών ισορροπούν.</w:t>
      </w:r>
    </w:p>
    <w:p w14:paraId="22646B9C"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Όλες οι αγορές συντελεστών παραγωγής ισορροπούν (εργασία, κεφάλαιο).</w:t>
      </w:r>
    </w:p>
    <w:p w14:paraId="0180FA58"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Οι φορείς της οικονομίας (παραγωγοί, καταναλωτές, κράτος) ικανοποιούν τους στόχους τους εντός των περιορισμών τους.</w:t>
      </w:r>
    </w:p>
    <w:p w14:paraId="4C10BE10"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Τα συνολικά επίπεδα αποταμίευσης και επένδυσης είναι ίσα.</w:t>
      </w:r>
    </w:p>
    <w:p w14:paraId="39583937"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Η αξία των εισαγωγών ισούται με την αξία των εξαγωγών, υπό συγκεκριμένες υποθέσεις (π.χ. κλειστή ή ανοιχτή οικονομία).</w:t>
      </w:r>
    </w:p>
    <w:p w14:paraId="0897CA47"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237AA5C"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Όπως χαρακτηριστικά αναφέρει η Burfisher, το CGE μοντέλο είναι σαν ένα τραπέζι μπιλιάρδου: «ο μοντελιστής χτυπά ένα μπαλάκι (εξωγενής μεταβολή), και όλες οι άλλες μπάλες αρχίζουν να κινούνται. Όταν όλα σταματήσουν, έχουμε μια νέα ισορροπία» .</w:t>
      </w:r>
    </w:p>
    <w:p w14:paraId="6C8F5779"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21BA4CF"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b/>
          <w:bCs/>
          <w:kern w:val="0"/>
          <w:lang w:eastAsia="el-GR"/>
          <w14:ligatures w14:val="none"/>
        </w:rPr>
        <w:t>Η λειτουργική δομή ενός “τυπικού” CGE μοντέλου</w:t>
      </w:r>
    </w:p>
    <w:p w14:paraId="098E699A"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775E89A" w14:textId="77777777" w:rsidR="00062384" w:rsidRPr="00410E73"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410E73">
        <w:rPr>
          <w:rFonts w:ascii="Times New Roman" w:eastAsia="Times New Roman" w:hAnsi="Times New Roman" w:cs="Times New Roman"/>
          <w:kern w:val="0"/>
          <w:lang w:eastAsia="el-GR"/>
          <w14:ligatures w14:val="none"/>
        </w:rPr>
        <w:t>Το βιβλίο παρουσιάζει το υπόδειγμα ενός “standard CGE model”, το οποίο συνήθως είναι:</w:t>
      </w:r>
    </w:p>
    <w:p w14:paraId="41692381"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Στατικό</w:t>
      </w:r>
      <w:r w:rsidRPr="00062384">
        <w:rPr>
          <w:rFonts w:ascii="Times New Roman" w:eastAsia="Times New Roman" w:hAnsi="Times New Roman" w:cs="Times New Roman"/>
          <w:kern w:val="0"/>
          <w:lang w:eastAsia="el-GR"/>
          <w14:ligatures w14:val="none"/>
        </w:rPr>
        <w:t>: μοντελοποιεί μόνο την αρχική και την τελική κατάσταση ισορροπίας, χωρίς να περιγράφει τη μετάβαση (adjustment path).</w:t>
      </w:r>
    </w:p>
    <w:p w14:paraId="7983D13E"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Μονοχρονικό</w:t>
      </w:r>
      <w:r w:rsidRPr="00062384">
        <w:rPr>
          <w:rFonts w:ascii="Times New Roman" w:eastAsia="Times New Roman" w:hAnsi="Times New Roman" w:cs="Times New Roman"/>
          <w:kern w:val="0"/>
          <w:lang w:eastAsia="el-GR"/>
          <w14:ligatures w14:val="none"/>
        </w:rPr>
        <w:t>: αναφέρεται σε μία περίοδο (ή σε πριν/μετά από ένα σοκ).</w:t>
      </w:r>
    </w:p>
    <w:p w14:paraId="50FF3F5E"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lastRenderedPageBreak/>
        <w:t xml:space="preserve">• </w:t>
      </w:r>
      <w:r w:rsidRPr="00062384">
        <w:rPr>
          <w:rFonts w:ascii="Times New Roman" w:eastAsia="Times New Roman" w:hAnsi="Times New Roman" w:cs="Times New Roman"/>
          <w:b/>
          <w:bCs/>
          <w:kern w:val="0"/>
          <w:lang w:eastAsia="el-GR"/>
          <w14:ligatures w14:val="none"/>
        </w:rPr>
        <w:t>Μονοκρατικό ή πολυκρατικό</w:t>
      </w:r>
      <w:r w:rsidRPr="00062384">
        <w:rPr>
          <w:rFonts w:ascii="Times New Roman" w:eastAsia="Times New Roman" w:hAnsi="Times New Roman" w:cs="Times New Roman"/>
          <w:kern w:val="0"/>
          <w:lang w:eastAsia="el-GR"/>
          <w14:ligatures w14:val="none"/>
        </w:rPr>
        <w:t>: περιγράφει είτε μία μόνο χώρα είτε πολλές, συνδεδεμένες μέσω εμπορίου ή ροών συντελεστών.</w:t>
      </w:r>
    </w:p>
    <w:p w14:paraId="6B2EDF20"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 </w:t>
      </w:r>
      <w:r w:rsidRPr="00062384">
        <w:rPr>
          <w:rFonts w:ascii="Times New Roman" w:eastAsia="Times New Roman" w:hAnsi="Times New Roman" w:cs="Times New Roman"/>
          <w:b/>
          <w:bCs/>
          <w:kern w:val="0"/>
          <w:lang w:eastAsia="el-GR"/>
          <w14:ligatures w14:val="none"/>
        </w:rPr>
        <w:t>Με σταθερούς συντελεστές παραγωγής</w:t>
      </w:r>
      <w:r w:rsidRPr="00062384">
        <w:rPr>
          <w:rFonts w:ascii="Times New Roman" w:eastAsia="Times New Roman" w:hAnsi="Times New Roman" w:cs="Times New Roman"/>
          <w:kern w:val="0"/>
          <w:lang w:eastAsia="el-GR"/>
          <w14:ligatures w14:val="none"/>
        </w:rPr>
        <w:t>: δηλαδή υποθέτει ότι εργασία και κεφάλαιο είναι διαθέσιμα σε σταθερές ποσότητες, εκτός αν αλλάξουν σκόπιμα στο πείραμα.</w:t>
      </w:r>
    </w:p>
    <w:p w14:paraId="0032B0A3"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3AF00CF"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Το μοντέλο περιλαμβάνει εξισώσεις για την κατανάλωση, την παραγωγή, τις αγορές συντελεστών, το διεθνές εμπόριο και τη φορολογία. Κάθε μπλοκ εξισώσεων περιγράφει τη συμπεριφορά των φορέων και τις ισορροπίες στις επιμέρους αγορές .</w:t>
      </w:r>
    </w:p>
    <w:p w14:paraId="5BBEC364"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05AB26A"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b/>
          <w:bCs/>
          <w:kern w:val="0"/>
          <w:lang w:eastAsia="el-GR"/>
          <w14:ligatures w14:val="none"/>
        </w:rPr>
        <w:t>Εξισώσεις και παραμετροποίηση</w:t>
      </w:r>
    </w:p>
    <w:p w14:paraId="727B533D"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03536FC"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Οι εξισώσεις στα CGE μοντέλα διακρίνονται σε δύο τύπους:</w:t>
      </w:r>
    </w:p>
    <w:p w14:paraId="148B23B6"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1. </w:t>
      </w:r>
      <w:r w:rsidRPr="00062384">
        <w:rPr>
          <w:rFonts w:ascii="Times New Roman" w:eastAsia="Times New Roman" w:hAnsi="Times New Roman" w:cs="Times New Roman"/>
          <w:b/>
          <w:bCs/>
          <w:kern w:val="0"/>
          <w:lang w:eastAsia="el-GR"/>
          <w14:ligatures w14:val="none"/>
        </w:rPr>
        <w:t>Συμπεριφορικές (behavioral equations)</w:t>
      </w:r>
      <w:r w:rsidRPr="00062384">
        <w:rPr>
          <w:rFonts w:ascii="Times New Roman" w:eastAsia="Times New Roman" w:hAnsi="Times New Roman" w:cs="Times New Roman"/>
          <w:kern w:val="0"/>
          <w:lang w:eastAsia="el-GR"/>
          <w14:ligatures w14:val="none"/>
        </w:rPr>
        <w:t>: περιγράφουν τη συμπεριφορά των παραγόντων, όπως οι αποφάσεις κατανάλωσης και παραγωγής. Για παράδειγμα, μια επιχείρηση ελαχιστοποιεί το κόστος για δεδομένη παραγωγή, με βάση τις τιμές των εισροών και την τεχνολογία παραγωγής.</w:t>
      </w:r>
    </w:p>
    <w:p w14:paraId="38E5BF82"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 xml:space="preserve">2. </w:t>
      </w:r>
      <w:r w:rsidRPr="00062384">
        <w:rPr>
          <w:rFonts w:ascii="Times New Roman" w:eastAsia="Times New Roman" w:hAnsi="Times New Roman" w:cs="Times New Roman"/>
          <w:b/>
          <w:bCs/>
          <w:kern w:val="0"/>
          <w:lang w:eastAsia="el-GR"/>
          <w14:ligatures w14:val="none"/>
        </w:rPr>
        <w:t>Ταυτοτικές (identity equations)</w:t>
      </w:r>
      <w:r w:rsidRPr="00062384">
        <w:rPr>
          <w:rFonts w:ascii="Times New Roman" w:eastAsia="Times New Roman" w:hAnsi="Times New Roman" w:cs="Times New Roman"/>
          <w:kern w:val="0"/>
          <w:lang w:eastAsia="el-GR"/>
          <w14:ligatures w14:val="none"/>
        </w:rPr>
        <w:t>: αποτελούν λογιστικές εξισώσεις που συνδέουν μεταβλητές μέσω αριθμητικών σχέσεων. Για παράδειγμα, η τιμή καταναλωτή ισούται με την τιμή χονδρικής συν τον φόρο κατανάλωσης .</w:t>
      </w:r>
    </w:p>
    <w:p w14:paraId="60F09D85"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9D7EBAF" w14:textId="77777777" w:rsidR="00062384" w:rsidRPr="00062384" w:rsidRDefault="00062384" w:rsidP="00062384">
      <w:pPr>
        <w:spacing w:before="100" w:beforeAutospacing="1" w:after="100" w:afterAutospacing="1" w:line="240" w:lineRule="auto"/>
        <w:rPr>
          <w:rFonts w:ascii="Times New Roman" w:eastAsia="Times New Roman" w:hAnsi="Times New Roman" w:cs="Times New Roman"/>
          <w:kern w:val="0"/>
          <w:lang w:eastAsia="el-GR"/>
          <w14:ligatures w14:val="none"/>
        </w:rPr>
      </w:pPr>
      <w:r w:rsidRPr="00062384">
        <w:rPr>
          <w:rFonts w:ascii="Times New Roman" w:eastAsia="Times New Roman" w:hAnsi="Times New Roman" w:cs="Times New Roman"/>
          <w:kern w:val="0"/>
          <w:lang w:eastAsia="el-GR"/>
          <w14:ligatures w14:val="none"/>
        </w:rPr>
        <w:t>Στα περισσότερα μοντέλα, χρησιμοποιούνται τιμές σε σχετικούς όρους και ορίζεται ένας αριθμητικός “δείκτης τιμών” (numeraire), ώστε να αποφευχθεί το πρόβλημα της υπερπροσδιορισμένης εξίσωσης. Έτσι διασφαλίζεται ότι το σύστημα των εξισώσεων είναι “τετράγωνο” – δηλαδή έχει ίσο αριθμό εξισώσεων και αγνώστων.</w:t>
      </w:r>
    </w:p>
    <w:p w14:paraId="57EB359D" w14:textId="77777777" w:rsidR="0026784D" w:rsidRPr="00347208" w:rsidRDefault="0026784D" w:rsidP="00062384">
      <w:pPr>
        <w:rPr>
          <w:rFonts w:ascii="Times New Roman" w:hAnsi="Times New Roman" w:cs="Times New Roman"/>
        </w:rPr>
      </w:pPr>
    </w:p>
    <w:p w14:paraId="28DF4CAF" w14:textId="77777777" w:rsidR="0026784D" w:rsidRPr="00347208" w:rsidRDefault="0026784D" w:rsidP="00B6168F">
      <w:pPr>
        <w:jc w:val="center"/>
        <w:rPr>
          <w:rFonts w:ascii="Times New Roman" w:hAnsi="Times New Roman" w:cs="Times New Roman"/>
          <w:b/>
          <w:bCs/>
        </w:rPr>
      </w:pPr>
    </w:p>
    <w:p w14:paraId="233E2ADF" w14:textId="65ED4119" w:rsidR="00347208" w:rsidRPr="00410E73" w:rsidRDefault="00347208" w:rsidP="00E775ED">
      <w:pPr>
        <w:pStyle w:val="1"/>
        <w:rPr>
          <w:b/>
          <w:bCs/>
          <w:sz w:val="36"/>
          <w:szCs w:val="36"/>
        </w:rPr>
      </w:pPr>
      <w:r w:rsidRPr="00410E73">
        <w:rPr>
          <w:sz w:val="28"/>
          <w:szCs w:val="28"/>
        </w:rPr>
        <w:t xml:space="preserve"> </w:t>
      </w:r>
      <w:bookmarkStart w:id="4" w:name="_Toc195098679"/>
      <w:r w:rsidRPr="00410E73">
        <w:rPr>
          <w:b/>
          <w:bCs/>
          <w:sz w:val="36"/>
          <w:szCs w:val="36"/>
        </w:rPr>
        <w:t>Επισκόπηση του Μοντέλου GTAP</w:t>
      </w:r>
      <w:bookmarkEnd w:id="4"/>
    </w:p>
    <w:p w14:paraId="4B295175" w14:textId="22FF79D1" w:rsidR="00347208" w:rsidRPr="00347208" w:rsidRDefault="00347208" w:rsidP="00347208">
      <w:pPr>
        <w:spacing w:after="0" w:line="240" w:lineRule="auto"/>
        <w:rPr>
          <w:rFonts w:ascii="Times New Roman" w:eastAsia="Times New Roman" w:hAnsi="Times New Roman" w:cs="Times New Roman"/>
          <w:color w:val="000000"/>
          <w:kern w:val="0"/>
          <w:sz w:val="32"/>
          <w:szCs w:val="32"/>
          <w:lang w:eastAsia="el-GR"/>
          <w14:ligatures w14:val="none"/>
        </w:rPr>
      </w:pPr>
    </w:p>
    <w:p w14:paraId="416BFC5E" w14:textId="3DD94018" w:rsidR="00347208" w:rsidRPr="00410E73" w:rsidRDefault="00347208" w:rsidP="00E775ED">
      <w:pPr>
        <w:pStyle w:val="2"/>
        <w:rPr>
          <w:b/>
          <w:bCs/>
        </w:rPr>
      </w:pPr>
      <w:r w:rsidRPr="00410E73">
        <w:rPr>
          <w:b/>
          <w:bCs/>
        </w:rPr>
        <w:t xml:space="preserve"> </w:t>
      </w:r>
      <w:bookmarkStart w:id="5" w:name="_Toc195098680"/>
      <w:r w:rsidRPr="00410E73">
        <w:rPr>
          <w:b/>
          <w:bCs/>
        </w:rPr>
        <w:t>Ιστορία και εξέλιξη του μοντέλου GTAP</w:t>
      </w:r>
      <w:bookmarkEnd w:id="5"/>
    </w:p>
    <w:p w14:paraId="5DF53FB0" w14:textId="77777777" w:rsidR="00347208" w:rsidRPr="00347208" w:rsidRDefault="00347208" w:rsidP="00347208">
      <w:pPr>
        <w:pStyle w:val="p1"/>
        <w:rPr>
          <w:color w:val="auto"/>
          <w:sz w:val="24"/>
          <w:szCs w:val="24"/>
        </w:rPr>
      </w:pPr>
    </w:p>
    <w:p w14:paraId="2AB63A8F" w14:textId="66BD6AE7" w:rsidR="00347208" w:rsidRPr="00347208" w:rsidRDefault="00347208" w:rsidP="00347208">
      <w:pPr>
        <w:spacing w:after="0" w:line="240" w:lineRule="auto"/>
        <w:rPr>
          <w:rFonts w:ascii="Times New Roman" w:eastAsia="Times New Roman" w:hAnsi="Times New Roman" w:cs="Times New Roman"/>
          <w:color w:val="000000"/>
          <w:kern w:val="0"/>
          <w:lang w:eastAsia="el-GR"/>
          <w14:ligatures w14:val="none"/>
        </w:rPr>
      </w:pPr>
    </w:p>
    <w:p w14:paraId="2FA6096C"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lastRenderedPageBreak/>
        <w:t>Κατά την πρώιμη φάση διαμόρφωσης του GTAP, μία από τις μεγαλύτερες προκλήσεις ήταν η εξασφάλιση της θεσμικής και χρηματοδοτικής υποστήριξης για την εγκαθίδρυση της νέας πλατφόρμας. Το 1991, πραγματοποιήθηκαν παρουσιάσεις και διαβουλεύσεις με θεσμικούς εκπροσώπους από δημόσιους και διεθνείς οργανισμούς, στις οποίες αναδείχθηκε η συμβολή της εφαρμοσμένης γενικής ισορροπίας (AGE) στη χάραξη οικονομικής πολιτικής — ιδίως στην περίπτωση της Αυστραλίας, όπου η χρήση AGE μοντέλων είχε συμβάλει καθοριστικά στην αναθεώρηση των προστατευτιστικών πολιτικών.</w:t>
      </w:r>
    </w:p>
    <w:p w14:paraId="0FC43E6B"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769B3B9A"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Αν και οι πρώτες συζητήσεις δεν κατέληξαν άμεσα σε επίσημη στήριξη, αποτέλεσαν τη βάση για τη σταδιακή συγκρότηση ενός διεθνούς δικτύου υποστηρικτών. Σημαντικοί εταίροι που αναγνωρίστηκαν από νωρίς ήταν η Οικονομική Υπηρεσία του Υπουργείου Γεωργίας των ΗΠΑ (ERS/USDA) και η Παγκόσμια Τράπεζα, φορείς με τεχνογνωσία και ενδιαφέρον για την ανάλυση διεθνούς εμπορίου μέσω υποδειγμάτων γενικής ισορροπίας.</w:t>
      </w:r>
    </w:p>
    <w:p w14:paraId="3C4A6DA5"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D5C37D1" w14:textId="5FDE536E" w:rsidR="00CB274F" w:rsidRPr="00410E73"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Για την επίσημη θεσμοθέτηση της συνεργασίας, κρίθηκε απαραίτητο να ιδρυθεί μια κοινοπραξία φορέων (Consortium), γεγονός που απαιτούσε συντονισμό μεταξύ δημόσιων οργανισμών και του Πανεπιστημίου Purdue, το οποίο φιλοξενούσε το έργο. Μετά από διαπραγματεύσεις, το 1993 συγκροτήθηκε επίσημα η Συνομοσπονδία Εταίρων του GTAP (GTAP Research Consortium), με τη συμμετοχή οργανισμών από τις ΗΠΑ, την Αυστραλία και διεθνείς φορείς.</w:t>
      </w:r>
    </w:p>
    <w:p w14:paraId="787F9F40" w14:textId="530D5881" w:rsidR="00CB274F" w:rsidRPr="00CB274F" w:rsidRDefault="00CB274F" w:rsidP="00CB274F">
      <w:pPr>
        <w:spacing w:before="100" w:beforeAutospacing="1" w:after="100" w:afterAutospacing="1" w:line="240" w:lineRule="auto"/>
        <w:jc w:val="center"/>
        <w:rPr>
          <w:rFonts w:ascii="Times New Roman" w:eastAsia="Times New Roman" w:hAnsi="Times New Roman" w:cs="Times New Roman"/>
          <w:kern w:val="0"/>
          <w:sz w:val="21"/>
          <w:szCs w:val="21"/>
          <w:lang w:eastAsia="el-GR"/>
          <w14:ligatures w14:val="none"/>
        </w:rPr>
      </w:pPr>
      <w:r w:rsidRPr="00CB274F">
        <w:rPr>
          <w:rFonts w:ascii="Times New Roman" w:eastAsia="Times New Roman" w:hAnsi="Times New Roman" w:cs="Times New Roman"/>
          <w:noProof/>
          <w:kern w:val="0"/>
          <w:sz w:val="21"/>
          <w:szCs w:val="21"/>
          <w:lang w:eastAsia="el-GR"/>
        </w:rPr>
        <w:drawing>
          <wp:inline distT="0" distB="0" distL="0" distR="0" wp14:anchorId="4C7F6CF7" wp14:editId="2A8F9FFC">
            <wp:extent cx="4897677" cy="2164625"/>
            <wp:effectExtent l="0" t="0" r="5080" b="0"/>
            <wp:docPr id="1017279873" name="Εικόνα 2" descr="Εικόνα που περιέχει κείμενο, στιγμιότυπο οθόνης, γραμματοσειρά, αριθμό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79873" name="Εικόνα 2" descr="Εικόνα που περιέχει κείμενο, στιγμιότυπο οθόνης, γραμματοσειρά, αριθμός&#10;&#10;Το περιεχόμενο που δημιουργείται από τεχνολογία AI ενδέχεται να είναι εσφαλμένο."/>
                    <pic:cNvPicPr/>
                  </pic:nvPicPr>
                  <pic:blipFill>
                    <a:blip r:embed="rId8">
                      <a:extLst>
                        <a:ext uri="{28A0092B-C50C-407E-A947-70E740481C1C}">
                          <a14:useLocalDpi xmlns:a14="http://schemas.microsoft.com/office/drawing/2010/main" val="0"/>
                        </a:ext>
                      </a:extLst>
                    </a:blip>
                    <a:stretch>
                      <a:fillRect/>
                    </a:stretch>
                  </pic:blipFill>
                  <pic:spPr>
                    <a:xfrm>
                      <a:off x="0" y="0"/>
                      <a:ext cx="4996625" cy="2208357"/>
                    </a:xfrm>
                    <a:prstGeom prst="rect">
                      <a:avLst/>
                    </a:prstGeom>
                  </pic:spPr>
                </pic:pic>
              </a:graphicData>
            </a:graphic>
          </wp:inline>
        </w:drawing>
      </w:r>
    </w:p>
    <w:p w14:paraId="1F44DEAA" w14:textId="77777777" w:rsidR="00CB274F" w:rsidRPr="00CB274F" w:rsidRDefault="00CB274F" w:rsidP="00CB274F">
      <w:pPr>
        <w:spacing w:before="100" w:beforeAutospacing="1" w:after="100" w:afterAutospacing="1" w:line="240" w:lineRule="auto"/>
        <w:jc w:val="center"/>
        <w:rPr>
          <w:rFonts w:ascii="Times New Roman" w:eastAsia="Times New Roman" w:hAnsi="Times New Roman" w:cs="Times New Roman"/>
          <w:kern w:val="0"/>
          <w:sz w:val="20"/>
          <w:szCs w:val="20"/>
          <w:lang w:eastAsia="el-GR"/>
          <w14:ligatures w14:val="none"/>
        </w:rPr>
      </w:pPr>
      <w:r w:rsidRPr="00CB274F">
        <w:rPr>
          <w:rFonts w:ascii="Times New Roman" w:eastAsia="Times New Roman" w:hAnsi="Times New Roman" w:cs="Times New Roman"/>
          <w:b/>
          <w:bCs/>
          <w:kern w:val="0"/>
          <w:sz w:val="20"/>
          <w:szCs w:val="20"/>
          <w:lang w:eastAsia="el-GR"/>
          <w14:ligatures w14:val="none"/>
        </w:rPr>
        <w:t>Πίνακας 1 – Ιδρυτικά μέλη της Συνομοσπονδίας Εταίρων του GTAP (1993)</w:t>
      </w:r>
    </w:p>
    <w:p w14:paraId="7D0CC1E1" w14:textId="77777777" w:rsidR="00CB274F" w:rsidRPr="00CB274F" w:rsidRDefault="00CB274F" w:rsidP="00CB274F">
      <w:pPr>
        <w:spacing w:before="100" w:beforeAutospacing="1" w:after="100" w:afterAutospacing="1" w:line="240" w:lineRule="auto"/>
        <w:jc w:val="center"/>
        <w:rPr>
          <w:rFonts w:ascii="Times New Roman" w:eastAsia="Times New Roman" w:hAnsi="Times New Roman" w:cs="Times New Roman"/>
          <w:kern w:val="0"/>
          <w:lang w:eastAsia="el-GR"/>
          <w14:ligatures w14:val="none"/>
        </w:rPr>
      </w:pPr>
    </w:p>
    <w:p w14:paraId="05D6450A"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Το 1993 σηματοδότησε επίσης την ολοκλήρωση του πρώτου μοντέλου GTAP και της αντίστοιχης βάσης δεδομένων. Η ανάπτυξη πραγματοποιήθηκε μέσω συνεργασίας ερευνητών, φοιτητών και εξωτερικών συνεργατών. Καθοριστικής σημασίας ήταν η συμβολή λογισμικού όπως το FIT, το οποίο επέτρεπε την προσαρμογή εθνικών πινάκων εισροών-εκροών (I-O tables) ώστε να ευθυγραμμίζονται με τους διεθνείς στόχους της βάσης δεδομένων.</w:t>
      </w:r>
    </w:p>
    <w:p w14:paraId="08234AB5"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CF5AC76"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Ένα ακόμη σημείο-κλειδί αυτής της φάσης ήταν η συνεργασία με τον Robert McDougall, αρχιτέκτονα του SALTER model, ο οποίος αργότερα εντάχθηκε στην ομάδα του Purdue, αναλαμβάνοντας βασικό ρόλο στην ανάπτυξη της βάσης δεδομένων και των δυναμικών εκδόσεων του υποδείγματος GTAP.</w:t>
      </w:r>
    </w:p>
    <w:p w14:paraId="2F4B795B"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Μέχρι το 1997, η Συνομοσπονδία Εταίρων του GTAP είχε αυξηθεί σε 16 μέλη με οικονομική συμμετοχή. Είναι αξιοσημείωτο ότι τα μέλη από χώρες μεσαίου οικονομικού μεγέθους, όπως η Αυστραλία, η Δανία και η Ολλανδία, υπερτερούσαν αριθμητικά σε σχέση με τις Ηνωμένες Πολιτείες και την Ιαπωνία.</w:t>
      </w:r>
    </w:p>
    <w:p w14:paraId="7D7B74E4"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440510F"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Εννέα χρόνια αργότερα, δηλαδή το 2006, ο αριθμός των μελών είχε φτάσει τα 25, με αισθητή αύξηση τόσο των αμερικανικών οργανισμών όσο και των διεθνών φορέων που παρείχαν χρηματοδότηση στο έργο. Η αυξανόμενη αναγνώριση της σημασίας του GTAP σε ζητήματα εμπορικής πολιτικής και ανάλυσης παγκόσμιων επιπτώσεων οδήγησε περισσότερους οργανισμούς να επιδιώξουν συμμετοχή και πρόσβαση στη βάση δεδομένων και τα εργαλεία μοντελοποίησης του έργου.</w:t>
      </w:r>
    </w:p>
    <w:p w14:paraId="32725416" w14:textId="64FC1B97" w:rsidR="00CB274F" w:rsidRPr="00CB274F" w:rsidRDefault="00CB274F" w:rsidP="00CB274F">
      <w:pPr>
        <w:spacing w:before="100" w:beforeAutospacing="1" w:after="100" w:afterAutospacing="1" w:line="240" w:lineRule="auto"/>
        <w:jc w:val="center"/>
        <w:rPr>
          <w:rFonts w:ascii="Times New Roman" w:eastAsia="Times New Roman" w:hAnsi="Times New Roman" w:cs="Times New Roman"/>
          <w:kern w:val="0"/>
          <w:sz w:val="20"/>
          <w:szCs w:val="20"/>
          <w:lang w:eastAsia="el-GR"/>
          <w14:ligatures w14:val="none"/>
        </w:rPr>
      </w:pPr>
      <w:r w:rsidRPr="00CB274F">
        <w:rPr>
          <w:rFonts w:ascii="Times New Roman" w:eastAsia="Times New Roman" w:hAnsi="Times New Roman" w:cs="Times New Roman"/>
          <w:noProof/>
          <w:kern w:val="0"/>
          <w:sz w:val="20"/>
          <w:szCs w:val="20"/>
          <w:lang w:eastAsia="el-GR"/>
        </w:rPr>
        <w:lastRenderedPageBreak/>
        <w:drawing>
          <wp:inline distT="0" distB="0" distL="0" distR="0" wp14:anchorId="36BB5DDA" wp14:editId="5F515612">
            <wp:extent cx="5237888" cy="5636712"/>
            <wp:effectExtent l="0" t="0" r="0" b="2540"/>
            <wp:docPr id="1030521104" name="Εικόνα 3" descr="Εικόνα που περιέχει κείμενο, στιγμιότυπο οθόνης, διάγραμμα, πολυχρωμία&#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21104" name="Εικόνα 3" descr="Εικόνα που περιέχει κείμενο, στιγμιότυπο οθόνης, διάγραμμα, πολυχρωμία&#10;&#10;Το περιεχόμενο που δημιουργείται από τεχνολογία AI ενδέχεται να είναι εσφαλμένο."/>
                    <pic:cNvPicPr/>
                  </pic:nvPicPr>
                  <pic:blipFill>
                    <a:blip r:embed="rId9">
                      <a:extLst>
                        <a:ext uri="{28A0092B-C50C-407E-A947-70E740481C1C}">
                          <a14:useLocalDpi xmlns:a14="http://schemas.microsoft.com/office/drawing/2010/main" val="0"/>
                        </a:ext>
                      </a:extLst>
                    </a:blip>
                    <a:stretch>
                      <a:fillRect/>
                    </a:stretch>
                  </pic:blipFill>
                  <pic:spPr>
                    <a:xfrm>
                      <a:off x="0" y="0"/>
                      <a:ext cx="5247260" cy="5646798"/>
                    </a:xfrm>
                    <a:prstGeom prst="rect">
                      <a:avLst/>
                    </a:prstGeom>
                  </pic:spPr>
                </pic:pic>
              </a:graphicData>
            </a:graphic>
          </wp:inline>
        </w:drawing>
      </w:r>
    </w:p>
    <w:p w14:paraId="2DC5CAAF" w14:textId="77777777" w:rsidR="00CB274F" w:rsidRPr="00CB274F" w:rsidRDefault="00CB274F" w:rsidP="00CB274F">
      <w:pPr>
        <w:spacing w:before="100" w:beforeAutospacing="1" w:after="100" w:afterAutospacing="1" w:line="240" w:lineRule="auto"/>
        <w:jc w:val="center"/>
        <w:rPr>
          <w:rFonts w:ascii="Times New Roman" w:eastAsia="Times New Roman" w:hAnsi="Times New Roman" w:cs="Times New Roman"/>
          <w:kern w:val="0"/>
          <w:sz w:val="20"/>
          <w:szCs w:val="20"/>
          <w:lang w:eastAsia="el-GR"/>
          <w14:ligatures w14:val="none"/>
        </w:rPr>
      </w:pPr>
      <w:r w:rsidRPr="00CB274F">
        <w:rPr>
          <w:rFonts w:ascii="Times New Roman" w:eastAsia="Times New Roman" w:hAnsi="Times New Roman" w:cs="Times New Roman"/>
          <w:b/>
          <w:bCs/>
          <w:kern w:val="0"/>
          <w:sz w:val="20"/>
          <w:szCs w:val="20"/>
          <w:lang w:eastAsia="el-GR"/>
          <w14:ligatures w14:val="none"/>
        </w:rPr>
        <w:t>Σχήμα 1 – Σύνθεση της Συνομοσπονδίας Εταίρων του GTAP, 1997 και 2006</w:t>
      </w:r>
    </w:p>
    <w:p w14:paraId="05D17C3C" w14:textId="77777777" w:rsidR="00CB274F" w:rsidRDefault="00CB274F" w:rsidP="00CB274F">
      <w:pPr>
        <w:spacing w:before="100" w:beforeAutospacing="1" w:after="100" w:afterAutospacing="1" w:line="240" w:lineRule="auto"/>
        <w:jc w:val="center"/>
        <w:rPr>
          <w:rFonts w:ascii="Times New Roman" w:eastAsia="Times New Roman" w:hAnsi="Times New Roman" w:cs="Times New Roman"/>
          <w:kern w:val="0"/>
          <w:lang w:eastAsia="el-GR"/>
          <w14:ligatures w14:val="none"/>
        </w:rPr>
      </w:pPr>
    </w:p>
    <w:p w14:paraId="50A965F2"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097C331"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Το σχήμα παρουσιάζει τη σύνθεση της Συνομοσπονδίας κατά τα έτη 1997 και 2006, επιβεβαιώνοντας τη γεωγραφική και θεσμική διεύρυνση της πρωτοβουλίας. Παρατηρείται αύξηση των μελών τόσο από την Ευρώπη όσο και από διεθνείς οργανισμούς, γεγονός που αντανακλά την παγκόσμια διάσταση και αποδοχή του GTAP.</w:t>
      </w:r>
    </w:p>
    <w:p w14:paraId="69280DE2"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0A98433"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 xml:space="preserve">Η διεύρυνση του δικτύου συνδέεται άμεσα με τη ζήτηση για πιο εξειδικευμένα και διαφανή εργαλεία ποσοτικής ανάλυσης, ιδιαίτερα στο πεδίο της διεθνούς εμπορικής </w:t>
      </w:r>
      <w:r w:rsidRPr="00CB274F">
        <w:rPr>
          <w:rFonts w:ascii="Times New Roman" w:eastAsia="Times New Roman" w:hAnsi="Times New Roman" w:cs="Times New Roman"/>
          <w:kern w:val="0"/>
          <w:lang w:eastAsia="el-GR"/>
          <w14:ligatures w14:val="none"/>
        </w:rPr>
        <w:lastRenderedPageBreak/>
        <w:t>πολιτικής, καθώς και με την ανάγκη για παγκόσμιας εμβέλειας δεδομένα που να καλύπτουν κλάδους, χώρες και τομείς πολιτικής με συνέπεια και ακρίβεια.</w:t>
      </w:r>
    </w:p>
    <w:p w14:paraId="207355A8" w14:textId="77777777" w:rsidR="00347208" w:rsidRDefault="00347208" w:rsidP="00347208">
      <w:pPr>
        <w:spacing w:after="0" w:line="240" w:lineRule="auto"/>
        <w:rPr>
          <w:rFonts w:ascii="Times New Roman" w:eastAsia="Times New Roman" w:hAnsi="Times New Roman" w:cs="Times New Roman"/>
          <w:color w:val="000000"/>
          <w:kern w:val="0"/>
          <w:lang w:eastAsia="el-GR"/>
          <w14:ligatures w14:val="none"/>
        </w:rPr>
      </w:pPr>
    </w:p>
    <w:p w14:paraId="7980FCCA"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Η ανάγκη για αξιόπιστη και ενοποιημένη βάση δεδομένων αποτέλεσε τον βασικό λόγο δημιουργίας του GTAP. Στη δεκαετία του 1990, η παγκόσμια πολιτική και οικονομική συγκυρία ήταν ευνοϊκή για την ενίσχυση των εμπορικών και χρηματοοικονομικών δεσμών μεταξύ χωρών. Ωστόσο, η ποσοτική αποτίμηση των ωφελειών ή κόστους τέτοιων πολιτικών απαιτούσε ένα στιβαρό αναλυτικό πλαίσιο και μια συνεκτική βάση δεδομένων.</w:t>
      </w:r>
    </w:p>
    <w:p w14:paraId="646EC1D9"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80F9467"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Για να καταστεί δυνατή η μοντελοποίηση πολιτικών επιλογών σε παγκόσμιο επίπεδο, απαιτούνταν πλήρη και συνεπή δεδομένα που να απεικονίζουν:</w:t>
      </w:r>
    </w:p>
    <w:p w14:paraId="58BCDC7A"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 τις διμερείς εμπορικές ροές μεταξύ χωρών,</w:t>
      </w:r>
    </w:p>
    <w:p w14:paraId="606322D6"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 τα επίπεδα προστασίας (δασμοί κ.ά.),</w:t>
      </w:r>
    </w:p>
    <w:p w14:paraId="563C68DF"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 τη δομή παραγωγής κάθε οικονομίας,</w:t>
      </w:r>
    </w:p>
    <w:p w14:paraId="669019E3"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 την κατανομή των παραγωγικών πόρων,</w:t>
      </w:r>
    </w:p>
    <w:p w14:paraId="413E025D"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 τις καταναλωτικές και αποταμιευτικές συμπεριφορές, καθώς και</w:t>
      </w:r>
    </w:p>
    <w:p w14:paraId="02ED8F04"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 τη φορολογική πολιτική κάθε χώρας.</w:t>
      </w:r>
    </w:p>
    <w:p w14:paraId="6E944F23"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AACE4E2"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Τα εθνικά στατιστικά στοιχεία, αν και χρήσιμα, συχνά περιείχαν ασυνέπειες, ιδίως όσον αφορά τις διμερείς ροές (π.χ. οι εξαγωγές της χώρας Α προς τη χώρα Β δεν ισοδυναμούσαν με τις εισαγωγές της χώρας Β από τη χώρα Α). Η αντιμετώπιση αυτής της ασυμφωνίας υπήρξε μία από τις σημαντικότερες τεχνικές προκλήσεις του έργου.</w:t>
      </w:r>
    </w:p>
    <w:p w14:paraId="65D5838C"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B247CB5"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 xml:space="preserve">Η ανάπτυξη της πρώτης βάσης δεδομένων του GTAP έγινε με συνδυασμό υπαρχόντων εθνικών πινάκων εισροών-εκροών και συμφωνημένων στόχων. Καθοριστική ήταν η χρήση του προγράμματος </w:t>
      </w:r>
      <w:r w:rsidRPr="00CB274F">
        <w:rPr>
          <w:rFonts w:ascii="Times New Roman" w:eastAsia="Times New Roman" w:hAnsi="Times New Roman" w:cs="Times New Roman"/>
          <w:b/>
          <w:bCs/>
          <w:kern w:val="0"/>
          <w:lang w:eastAsia="el-GR"/>
          <w14:ligatures w14:val="none"/>
        </w:rPr>
        <w:t>FIT</w:t>
      </w:r>
      <w:r w:rsidRPr="00CB274F">
        <w:rPr>
          <w:rFonts w:ascii="Times New Roman" w:eastAsia="Times New Roman" w:hAnsi="Times New Roman" w:cs="Times New Roman"/>
          <w:kern w:val="0"/>
          <w:lang w:eastAsia="el-GR"/>
          <w14:ligatures w14:val="none"/>
        </w:rPr>
        <w:t>, το οποίο βασιζόταν σε θεωρία εντροπίας για την ανανέωση και εναρμόνιση των δεδομένων, εξασφαλίζοντας συνεκτικότητα μεταξύ εισροών-εκροών, εμπορίου, μακροοικονομικών και ενεργειακών στοιχείων. Αυτή η συνεκτικότητα αποτελεί και τη βασική προστιθέμενη αξία της βάσης δεδομένων GTAP.</w:t>
      </w:r>
    </w:p>
    <w:p w14:paraId="51D10657"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73B4C20" w14:textId="63FC880A" w:rsid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Pr>
          <w:rFonts w:ascii="Times New Roman" w:eastAsia="Times New Roman" w:hAnsi="Times New Roman" w:cs="Times New Roman"/>
          <w:noProof/>
          <w:kern w:val="0"/>
          <w:lang w:val="en-US" w:eastAsia="el-GR"/>
        </w:rPr>
        <w:lastRenderedPageBreak/>
        <w:drawing>
          <wp:inline distT="0" distB="0" distL="0" distR="0" wp14:anchorId="69FBD76C" wp14:editId="60500145">
            <wp:extent cx="5274310" cy="1546225"/>
            <wp:effectExtent l="0" t="0" r="0" b="3175"/>
            <wp:docPr id="767716490" name="Εικόνα 4" descr="Εικόνα που περιέχει κείμενο, γραμματοσειρά, διάγραμμα, στιγμιότυπο οθόνη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16490" name="Εικόνα 4" descr="Εικόνα που περιέχει κείμενο, γραμματοσειρά, διάγραμμα, στιγμιότυπο οθόνης&#10;&#10;Το περιεχόμενο που δημιουργείται από τεχνολογία AI ενδέχεται να είναι εσφαλμένο."/>
                    <pic:cNvPicPr/>
                  </pic:nvPicPr>
                  <pic:blipFill>
                    <a:blip r:embed="rId10">
                      <a:extLst>
                        <a:ext uri="{28A0092B-C50C-407E-A947-70E740481C1C}">
                          <a14:useLocalDpi xmlns:a14="http://schemas.microsoft.com/office/drawing/2010/main" val="0"/>
                        </a:ext>
                      </a:extLst>
                    </a:blip>
                    <a:stretch>
                      <a:fillRect/>
                    </a:stretch>
                  </pic:blipFill>
                  <pic:spPr>
                    <a:xfrm>
                      <a:off x="0" y="0"/>
                      <a:ext cx="5298131" cy="1553208"/>
                    </a:xfrm>
                    <a:prstGeom prst="rect">
                      <a:avLst/>
                    </a:prstGeom>
                  </pic:spPr>
                </pic:pic>
              </a:graphicData>
            </a:graphic>
          </wp:inline>
        </w:drawing>
      </w:r>
    </w:p>
    <w:p w14:paraId="3CAB4E2A"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sz w:val="20"/>
          <w:szCs w:val="20"/>
          <w:lang w:eastAsia="el-GR"/>
          <w14:ligatures w14:val="none"/>
        </w:rPr>
      </w:pPr>
      <w:r w:rsidRPr="00CB274F">
        <w:rPr>
          <w:rFonts w:ascii="Times New Roman" w:eastAsia="Times New Roman" w:hAnsi="Times New Roman" w:cs="Times New Roman"/>
          <w:b/>
          <w:bCs/>
          <w:kern w:val="0"/>
          <w:sz w:val="20"/>
          <w:szCs w:val="20"/>
          <w:lang w:eastAsia="el-GR"/>
          <w14:ligatures w14:val="none"/>
        </w:rPr>
        <w:t>Σχήμα 2 – Εξέλιξη της τομεακής και γεωγραφικής λεπτομέρειας στις εκδόσεις 2 έως 6 της βάσης δεδομένων GTAP</w:t>
      </w:r>
    </w:p>
    <w:p w14:paraId="51DC93DE" w14:textId="77777777" w:rsidR="00CB274F" w:rsidRDefault="00CB274F" w:rsidP="00CB274F">
      <w:pPr>
        <w:spacing w:before="100" w:beforeAutospacing="1" w:after="100" w:afterAutospacing="1" w:line="240" w:lineRule="auto"/>
        <w:jc w:val="center"/>
        <w:rPr>
          <w:rFonts w:ascii="Times New Roman" w:eastAsia="Times New Roman" w:hAnsi="Times New Roman" w:cs="Times New Roman"/>
          <w:kern w:val="0"/>
          <w:lang w:eastAsia="el-GR"/>
          <w14:ligatures w14:val="none"/>
        </w:rPr>
      </w:pPr>
    </w:p>
    <w:p w14:paraId="1F72596E"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8E43999"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Το σχήμα δείχνει την εξέλιξη της ανάλυσης τομεακής και γεωγραφικής λεπτομέρειας από τις πρώτες έως τις μεταγενέστερες εκδόσεις της βάσης δεδομένων. Παρατηρείται σταδιακή αύξηση τόσο στον αριθμό των περιοχών όσο και στον αριθμό των κλάδων που περιλαμβάνονται. Ιδιαίτερα η γεωγραφική εξειδίκευση βελτιώθηκε ταχύτερα, καθώς η προσθήκη νέων περιοχών μπορούσε να πραγματοποιηθεί χωρίς τροποποίηση των υπαρχόντων δεδομένων, σε αντίθεση με τη διαδικασία τομεακής αποσύνθεσης που απαιτεί αναδιάρθρωση των εθνικών πινάκων.</w:t>
      </w:r>
    </w:p>
    <w:p w14:paraId="0682717C"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5485FC9"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Η αυξανόμενη πολυπλοκότητα των δεδομένων κατέστησε αναγκαία τη χρήση ευφυούς αυτοματισμού. Για παράδειγμα, προγραμματιστικά εργαλεία όπως το SplitCom επιτρέπουν σε ερευνητές να διαχωρίζουν κλάδους «επί τόπου», με βάση επιμέρους συντελεστές και δομές κόστους.</w:t>
      </w:r>
    </w:p>
    <w:p w14:paraId="548F95A2"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236C4C1C" w14:textId="77777777" w:rsidR="00CB274F" w:rsidRPr="00CB274F" w:rsidRDefault="00CB274F" w:rsidP="00CB274F">
      <w:pPr>
        <w:spacing w:before="100" w:beforeAutospacing="1" w:after="100" w:afterAutospacing="1" w:line="240" w:lineRule="auto"/>
        <w:rPr>
          <w:rFonts w:ascii="Times New Roman" w:eastAsia="Times New Roman" w:hAnsi="Times New Roman" w:cs="Times New Roman"/>
          <w:kern w:val="0"/>
          <w:lang w:eastAsia="el-GR"/>
          <w14:ligatures w14:val="none"/>
        </w:rPr>
      </w:pPr>
      <w:r w:rsidRPr="00CB274F">
        <w:rPr>
          <w:rFonts w:ascii="Times New Roman" w:eastAsia="Times New Roman" w:hAnsi="Times New Roman" w:cs="Times New Roman"/>
          <w:kern w:val="0"/>
          <w:lang w:eastAsia="el-GR"/>
          <w14:ligatures w14:val="none"/>
        </w:rPr>
        <w:t>Η ενσωμάτωση νέων χωρών και η υποστήριξη ανάλυσης σε ειδικές πολιτικές περιοχές (π.χ. ενέργεια, εκπομπές αερίων του θερμοκηπίου, μετανάστευση) οδήγησε στη διαρκή επέκταση της βάσης δεδομένων, η οποία πλέον περιλαμβάνει εκατοντάδες περιοχές και τομείς.</w:t>
      </w:r>
    </w:p>
    <w:p w14:paraId="3922B905"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Η σταδιακή ενίσχυση της βάσης δεδομένων GTAP και η βελτίωση της τεχνολογικής υποδομής συνοδεύτηκαν από την αυξανόμενη αξιοποίησή της σε ποσοτικές εφαρμογές πολιτικής. Ένα ορόσημο σε αυτήν την πορεία αποτέλεσε η δημοσίευση το 1997 της συλλογικής έκδοσης Global Trade Analysis: Modeling and Applications, η οποία παρείχε αναλυτική τεκμηρίωση της βάσης δεδομένων και του βασικού υποδείγματος GTAP, ενώ ταυτόχρονα παρουσίασε συγκεκριμένες εφαρμογές σε κρίσιμα ζητήματα διεθνούς εμπορίου.</w:t>
      </w:r>
    </w:p>
    <w:p w14:paraId="0420CC1D"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E26C680" w14:textId="1C704105" w:rsid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Pr>
          <w:rFonts w:ascii="Times New Roman" w:eastAsia="Times New Roman" w:hAnsi="Times New Roman" w:cs="Times New Roman"/>
          <w:noProof/>
          <w:kern w:val="0"/>
          <w:lang w:val="en-US" w:eastAsia="el-GR"/>
        </w:rPr>
        <w:lastRenderedPageBreak/>
        <w:drawing>
          <wp:inline distT="0" distB="0" distL="0" distR="0" wp14:anchorId="197B1D8F" wp14:editId="617D3945">
            <wp:extent cx="5274310" cy="2541270"/>
            <wp:effectExtent l="0" t="0" r="0" b="0"/>
            <wp:docPr id="51550658" name="Εικόνα 5" descr="Εικόνα που περιέχει κείμενο, στιγμιότυπο οθόνης, γραμματοσειρά, αριθμό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0658" name="Εικόνα 5" descr="Εικόνα που περιέχει κείμενο, στιγμιότυπο οθόνης, γραμματοσειρά, αριθμός&#10;&#10;Το περιεχόμενο που δημιουργείται από τεχνολογία AI ενδέχεται να είναι εσφαλμένο."/>
                    <pic:cNvPicPr/>
                  </pic:nvPicPr>
                  <pic:blipFill>
                    <a:blip r:embed="rId11">
                      <a:extLst>
                        <a:ext uri="{28A0092B-C50C-407E-A947-70E740481C1C}">
                          <a14:useLocalDpi xmlns:a14="http://schemas.microsoft.com/office/drawing/2010/main" val="0"/>
                        </a:ext>
                      </a:extLst>
                    </a:blip>
                    <a:stretch>
                      <a:fillRect/>
                    </a:stretch>
                  </pic:blipFill>
                  <pic:spPr>
                    <a:xfrm>
                      <a:off x="0" y="0"/>
                      <a:ext cx="5274310" cy="2541270"/>
                    </a:xfrm>
                    <a:prstGeom prst="rect">
                      <a:avLst/>
                    </a:prstGeom>
                  </pic:spPr>
                </pic:pic>
              </a:graphicData>
            </a:graphic>
          </wp:inline>
        </w:drawing>
      </w:r>
    </w:p>
    <w:p w14:paraId="672D968E" w14:textId="77777777" w:rsidR="005D0A6F" w:rsidRPr="005D0A6F" w:rsidRDefault="005D0A6F" w:rsidP="005D0A6F">
      <w:pPr>
        <w:spacing w:before="100" w:beforeAutospacing="1" w:after="100" w:afterAutospacing="1" w:line="240" w:lineRule="auto"/>
        <w:jc w:val="center"/>
        <w:rPr>
          <w:rFonts w:ascii="Times New Roman" w:eastAsia="Times New Roman" w:hAnsi="Times New Roman" w:cs="Times New Roman"/>
          <w:kern w:val="0"/>
          <w:sz w:val="20"/>
          <w:szCs w:val="20"/>
          <w:lang w:eastAsia="el-GR"/>
          <w14:ligatures w14:val="none"/>
        </w:rPr>
      </w:pPr>
      <w:r w:rsidRPr="005D0A6F">
        <w:rPr>
          <w:rFonts w:ascii="Times New Roman" w:eastAsia="Times New Roman" w:hAnsi="Times New Roman" w:cs="Times New Roman"/>
          <w:b/>
          <w:bCs/>
          <w:kern w:val="0"/>
          <w:sz w:val="20"/>
          <w:szCs w:val="20"/>
          <w:lang w:eastAsia="el-GR"/>
          <w14:ligatures w14:val="none"/>
        </w:rPr>
        <w:t>Πίνακας 4 – Ενδεικτικές πρώιμες εφαρμογές του υποδείγματος GTAP (1997)</w:t>
      </w:r>
    </w:p>
    <w:p w14:paraId="6CB4DDD3" w14:textId="77777777" w:rsidR="005D0A6F" w:rsidRPr="005D0A6F" w:rsidRDefault="005D0A6F" w:rsidP="005D0A6F">
      <w:pPr>
        <w:spacing w:before="100" w:beforeAutospacing="1" w:after="100" w:afterAutospacing="1" w:line="240" w:lineRule="auto"/>
        <w:jc w:val="center"/>
        <w:rPr>
          <w:rFonts w:ascii="Times New Roman" w:eastAsia="Times New Roman" w:hAnsi="Times New Roman" w:cs="Times New Roman"/>
          <w:kern w:val="0"/>
          <w:lang w:eastAsia="el-GR"/>
          <w14:ligatures w14:val="none"/>
        </w:rPr>
      </w:pPr>
    </w:p>
    <w:p w14:paraId="5099DE10"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Ο πίνακας αυτός παρουσιάζει ενδεικτικά τις πρώτες εφαρμογές του υποδείγματος GTAP, καλύπτοντας ένα ευρύ φάσμα θεμάτων, όπως:</w:t>
      </w:r>
    </w:p>
    <w:p w14:paraId="39E8E32E"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η επίδραση της εμπορικής ολοκλήρωσης στις αναπτυσσόμενες χώρες και στις αμοιβές στις ανεπτυγμένες οικονομίες,</w:t>
      </w:r>
    </w:p>
    <w:p w14:paraId="36602D9C"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η αξιολόγηση στρατηγικών της Ομάδας του Cairns κατά τον Γύρο της Ουρουγουάης,</w:t>
      </w:r>
    </w:p>
    <w:p w14:paraId="22C2819B"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η επίδραση της κατάργησης της Συμφωνίας για τα Κλωστοϋφαντουργικά Προϊόντα (MFA),</w:t>
      </w:r>
    </w:p>
    <w:p w14:paraId="1AF2D92C"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η σχέση μεταξύ διεθνούς εμπορίου και περιβαλλοντικής πολιτικής,</w:t>
      </w:r>
    </w:p>
    <w:p w14:paraId="718239DC"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και η παγκόσμια επίδραση της τεχνολογικής προόδου στη γεωργική παραγωγή.</w:t>
      </w:r>
    </w:p>
    <w:p w14:paraId="2BF294B3"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43F6089"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Επιπλέον, η βάση δεδομένων GTAP αξιοποιήθηκε ταχύτατα από ανεξάρτητους ερευνητές. Ενδεικτικά, οι Harrison, Rutherford και Tarr χρησιμοποίησαν την έκδοση 2 για να αναλύσουν τις επιπτώσεις του Γύρου της Ουρουγουάης, ενώ οι Anderson, Dimaranan, Hertel και Martin χρησιμοποίησαν την έκδοση 3 για να μελετήσουν τις προοπτικές των αγορών τροφίμων στον Ασιατικό-Ειρηνικό χώρο μέχρι το 2005.</w:t>
      </w:r>
    </w:p>
    <w:p w14:paraId="5E672283"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5A3E504"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xml:space="preserve">Η πρώιμη χρήση του GTAP υπογράμμισε την ευελιξία του υποδείγματος, την ποιότητα των δεδομένων, αλλά και τη χρησιμότητα μιας κοινής πλατφόρμας που επέτρεπε την αντιπαραβολή, αναπαραγωγή και επέκταση πολιτικών αναλύσεων από διαφορετικές ερευνητικές ομάδες. Η διεπιστημονική και διεθνής απήχηση του έργου συνέβαλε στη σταδιακή διαμόρφωση μιας παγκόσμιας κοινότητας ερευνητών </w:t>
      </w:r>
      <w:r w:rsidRPr="005D0A6F">
        <w:rPr>
          <w:rFonts w:ascii="Times New Roman" w:eastAsia="Times New Roman" w:hAnsi="Times New Roman" w:cs="Times New Roman"/>
          <w:kern w:val="0"/>
          <w:lang w:eastAsia="el-GR"/>
          <w14:ligatures w14:val="none"/>
        </w:rPr>
        <w:lastRenderedPageBreak/>
        <w:t>εφαρμοσμένης γενικής ισορροπίας με κοινά εργαλεία, μεθοδολογίες και αναλυτικά πρότυπα.</w:t>
      </w:r>
    </w:p>
    <w:p w14:paraId="49C92C6E"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Μετά τη δημοσίευση του 1997 και την αναγνώριση των πρώτων εφαρμογών του, το GTAP εισήλθε σε μία νέα φάση κατά την οποία διευρύνθηκε τόσο ως προς την κάλυψη χωρών και τομέων, όσο και ως προς το φάσμα των θεματικών πεδίων που μπορούσε να υποστηρίξει.</w:t>
      </w:r>
    </w:p>
    <w:p w14:paraId="45BA564C"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88D6F63"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Η βάση δεδομένων του GTAP εμπλουτίστηκε σημαντικά, τόσο σε γεωγραφική όσο και σε τομεακή ανάλυση. Η αυξανόμενη διαθεσιμότητα εθνικών δεδομένων, σε συνδυασμό με την ενεργή συμμετοχή των μελών του δικτύου GTAP, επέτρεψε την ενσωμάτωση περισσότερων χωρών και προϊόντων, δίνοντας τη δυνατότητα για πιο εξειδικευμένες αναλύσεις.</w:t>
      </w:r>
    </w:p>
    <w:p w14:paraId="04F6F146"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092C8C6"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Πέραν των βασικών εμπορικών πολιτικών, το υπόδειγμα και τα δεδομένα του GTAP προσαρμόστηκαν ώστε να καλύπτουν νέες παγκόσμιες προκλήσεις όπως:</w:t>
      </w:r>
    </w:p>
    <w:p w14:paraId="6A2D0C33"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οι περιβαλλοντικές επιπτώσεις του εμπορίου και της παραγωγής,</w:t>
      </w:r>
    </w:p>
    <w:p w14:paraId="5D39EA2D"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η διεθνής κινητικότητα εργατικού δυναμικού,</w:t>
      </w:r>
    </w:p>
    <w:p w14:paraId="11D99E89"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οι επιπτώσεις της κλιματικής αλλαγής,</w:t>
      </w:r>
    </w:p>
    <w:p w14:paraId="64A3AD9B"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και η διαπραγμάτευση νέων εμπορικών συμφωνιών (π.χ. ο Γύρος της Ντόχα).</w:t>
      </w:r>
    </w:p>
    <w:p w14:paraId="76480A38"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4BCEA4C"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Ενδεικτικό παράδειγμα αποτελεί η ανάπτυξη μιας εξειδικευμένης βάσης δεδομένων για τη χρήση γης και τις εκπομπές αερίων του θερμοκηπίου (GHGs), στο πλαίσιο συνεργασίας με την Υπηρεσία Προστασίας Περιβάλλοντος των ΗΠΑ. Παράλληλα, το υπόδειγμα GTAP προσαρμόστηκε ώστε να περιλαμβάνει διαπεριφερειακές μετακινήσεις πληθυσμού και εργατικού δυναμικού.</w:t>
      </w:r>
    </w:p>
    <w:p w14:paraId="1E754B4A"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4D61C05"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Σε συνεργασία με πανεπιστημιακά και ερευνητικά κέντρα, καθώς και διεθνείς οργανισμούς όπως η Παγκόσμια Τράπεζα και το Κέντρο Έρευνας για τη Μετανάστευση (DRC) του Πανεπιστημίου του Sussex, δημιουργήθηκε το υπόδειγμα GMig2, το οποίο περιλαμβάνει λεπτομερή στοιχεία για:</w:t>
      </w:r>
    </w:p>
    <w:p w14:paraId="74FD9FE3"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ροές μεταναστών (σε μήτρα 226 x 226 χωρών),</w:t>
      </w:r>
    </w:p>
    <w:p w14:paraId="40EBD0E2"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μεταναστευτικά εισοδήματα ανά δεξιότητα και χώρα προορισμού,</w:t>
      </w:r>
    </w:p>
    <w:p w14:paraId="31B94CE3"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 και διακρατικές ροές εμβασμάτων.</w:t>
      </w:r>
    </w:p>
    <w:p w14:paraId="2CC771B0"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7A6142E1"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Η διεύρυνση αυτή κατέστησε το GTAP κατάλληλο εργαλείο για την ανάλυση παγκόσμιων πολιτικών όχι μόνο στον τομέα του εμπορίου, αλλά και σε εκείνους της ανάπτυξης, του περιβάλλοντος και της αγοράς εργασίας. Ωστόσο, η πολυπλοκότητα αυτών των επεκτάσεων αύξησε και τις απαιτήσεις σε ανθρώπινο δυναμικό και χρηματοδότηση.</w:t>
      </w:r>
    </w:p>
    <w:p w14:paraId="004F98B2"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8A187CF" w14:textId="77777777" w:rsidR="005D0A6F" w:rsidRPr="005D0A6F" w:rsidRDefault="005D0A6F" w:rsidP="005D0A6F">
      <w:pPr>
        <w:spacing w:before="100" w:beforeAutospacing="1" w:after="100" w:afterAutospacing="1" w:line="240" w:lineRule="auto"/>
        <w:rPr>
          <w:rFonts w:ascii="Times New Roman" w:eastAsia="Times New Roman" w:hAnsi="Times New Roman" w:cs="Times New Roman"/>
          <w:kern w:val="0"/>
          <w:lang w:eastAsia="el-GR"/>
          <w14:ligatures w14:val="none"/>
        </w:rPr>
      </w:pPr>
      <w:r w:rsidRPr="005D0A6F">
        <w:rPr>
          <w:rFonts w:ascii="Times New Roman" w:eastAsia="Times New Roman" w:hAnsi="Times New Roman" w:cs="Times New Roman"/>
          <w:kern w:val="0"/>
          <w:lang w:eastAsia="el-GR"/>
          <w14:ligatures w14:val="none"/>
        </w:rPr>
        <w:t>Παρά το σχετικά περιορισμένο μέγεθος της κεντρικής ερευνητικής ομάδας του GTAP στο Purdue (περίπου 7 άτομα πλήρους απασχόλησης και 6 μεταπτυχιακοί φοιτητές), η ενεργοποίηση και η συνεργασία μελών του διεθνούς δικτύου επέτρεψε την πρόοδο σε πολλά νέα πεδία, αναδεικνύοντας τη δυναμική του συνεργατικού χαρακτήρα του έργου.</w:t>
      </w:r>
    </w:p>
    <w:p w14:paraId="162D8CA5" w14:textId="77777777" w:rsidR="00CB274F" w:rsidRPr="00CB274F" w:rsidRDefault="00CB274F" w:rsidP="00347208">
      <w:pPr>
        <w:spacing w:after="0" w:line="240" w:lineRule="auto"/>
        <w:rPr>
          <w:rFonts w:ascii="Times New Roman" w:eastAsia="Times New Roman" w:hAnsi="Times New Roman" w:cs="Times New Roman"/>
          <w:color w:val="000000"/>
          <w:kern w:val="0"/>
          <w:lang w:eastAsia="el-GR"/>
          <w14:ligatures w14:val="none"/>
        </w:rPr>
      </w:pPr>
    </w:p>
    <w:p w14:paraId="5C25D4AC" w14:textId="77777777" w:rsidR="0026784D" w:rsidRPr="00347208" w:rsidRDefault="0026784D" w:rsidP="00347208">
      <w:pPr>
        <w:rPr>
          <w:rFonts w:ascii="Times New Roman" w:hAnsi="Times New Roman" w:cs="Times New Roman"/>
          <w:b/>
          <w:bCs/>
          <w:sz w:val="22"/>
          <w:szCs w:val="22"/>
          <w:u w:val="single"/>
        </w:rPr>
      </w:pPr>
    </w:p>
    <w:p w14:paraId="0D0ADA28" w14:textId="0C010F8B" w:rsidR="00347208" w:rsidRPr="00410E73" w:rsidRDefault="00347208" w:rsidP="00E775ED">
      <w:pPr>
        <w:pStyle w:val="2"/>
        <w:rPr>
          <w:b/>
          <w:bCs/>
        </w:rPr>
      </w:pPr>
      <w:r w:rsidRPr="00410E73">
        <w:rPr>
          <w:b/>
          <w:bCs/>
        </w:rPr>
        <w:t xml:space="preserve"> </w:t>
      </w:r>
      <w:bookmarkStart w:id="6" w:name="_Toc195098681"/>
      <w:r w:rsidRPr="00410E73">
        <w:rPr>
          <w:b/>
          <w:bCs/>
        </w:rPr>
        <w:t>Η δομή του μοντέλου GTAP και της βάσης δεδομένων του</w:t>
      </w:r>
      <w:bookmarkEnd w:id="6"/>
    </w:p>
    <w:p w14:paraId="2A5B4796" w14:textId="77777777" w:rsidR="00347208" w:rsidRPr="00347208" w:rsidRDefault="00347208" w:rsidP="00347208">
      <w:pPr>
        <w:pStyle w:val="p1"/>
        <w:rPr>
          <w:color w:val="auto"/>
          <w:sz w:val="24"/>
          <w:szCs w:val="24"/>
        </w:rPr>
      </w:pPr>
    </w:p>
    <w:p w14:paraId="6CCA729E"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Το GTAP ιδρύθηκε το 1992, με στόχο τη μείωση του κόστους εισόδου για όσους επιθυμούν να διεξάγουν ποσοτικές αναλύσεις διεθνών οικονομικών ζητημάτων σε ένα πλαίσιο ολοκληρωμένης οικονομίας. Το έργο αποτελείται από αρκετά στοιχεία:</w:t>
      </w:r>
    </w:p>
    <w:p w14:paraId="2D9BF7D5"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μια πλήρως τεκμηριωμένη, δημοσίως διαθέσιμη, παγκόσμια βάση δεδομένων,</w:t>
      </w:r>
    </w:p>
    <w:p w14:paraId="537F7786"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ένα πρότυπο πλαίσιο μοντελοποίησης γενικής ισορροπίας,</w:t>
      </w:r>
    </w:p>
    <w:p w14:paraId="5C194504"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λογισμικό για τη διαχείριση των δεδομένων και την εφαρμογή του πρότυπου μοντέλου,</w:t>
      </w:r>
    </w:p>
    <w:p w14:paraId="50799586"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μια συλλογή μαθημάτων (GTAP-U) που προσφέρει εκπαίδευση στα μέλη του δικτύου, ξεκινώντας από τα βασικά της μοντελοποίησης GTAP (GTAP-101) έως μαθήματα για προχωρημένα θέματα.</w:t>
      </w:r>
    </w:p>
    <w:p w14:paraId="636A252C"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ένα παγκόσμιο δίκτυο περισσότερων από 28,000 ερευνητών σε περισσότερες από 179 χώρες με κοινό ενδιαφέρον για την παγκόσμια οικονομική ανάλυση του εμπορίου, των πόρων και του περιβάλλοντος,</w:t>
      </w:r>
    </w:p>
    <w:p w14:paraId="7A20ED9C"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ένα κονσόρτσιουμ εθνικών και διεθνών οργανισμών που παρέχουν ηγεσία και μια βασική επίπεδο υποστήριξης για το Έργο, και</w:t>
      </w:r>
    </w:p>
    <w:p w14:paraId="5C4877B3"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έναν ιστότοπο για τη διάδοση δεδομένων, λογισμικού και πληροφοριών σχετικών με το έργο (www.gtap.org).</w:t>
      </w:r>
    </w:p>
    <w:p w14:paraId="67BCBCDA" w14:textId="77777777" w:rsid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lastRenderedPageBreak/>
        <w:t>Καθώς η παγκόσμια οικονομία γίνεται όλο και πιο συνδεδεμένη, υπάρχει αυξανόμενη ζήτηση για ποσοτικές αναλύσεις πολιτικών ζητημάτων σε παγκόσμια βάση. Λόγω της ευρείας κάλυψης της οικονομίας, το GTAP είναι ιδιαίτερα χρήσιμο για την ανάλυση θεμάτων που διαπερνούν πολλούς διαφορετικούς τομείς. Αυτή η βάση δεδομένων είναι ιδιαίτερα δημοφιλής μεταξύ των ερευνητών που αναλύουν τις πιθανές επιπτώσεις των: (α) παγκόσμιων ζητημάτων εμπορίου, (β) περιφερειακών εμπορικών συμφωνιών, (γ) οικονομικών συνεπειών των προσπαθειών μείωσης των εκπομπών διοξειδίου του άνθρακα μέσω φόρων άνθρακα, (δ) πολιτικών ενέργειας και γεωργίας, (ε) ζητημάτων τροφίμων, διατροφής και βιωσιμότητας, (στ) οικονομικών επιπτώσεων της κλιματικής αλλαγής, και (ζ) κατανεμητικών συνεπειών των εγχώριων και διεθνών παρεμβάσεων πολιτικής. Οι αναλύσεις ανά τομέα αυτών των ερωτημάτων μπορούν να παρέχουν πολύτιμη είσοδο στις μελέτες αυτών των θεμάτων. Ωστόσο, λόγω της φύσης τους, αυτού του είδους οι παρεμβάσεις πολιτικής και οι εξωτερικές διαταραχές επηρεάζουν γενικά όλους τους τομείς και πολλές περιοχές του κόσμου, επομένως δεν υπάρχει τρόπος να αποφύγουμε τη χρήση μιας βάσης δεδομένων που είναι εξαντλητική στην κάλυψη εμπορευμάτων και χωρών. Το Global Trade Analysis Project σχεδιάστηκε για να διευκολύνει τέτοιες πολυχώρες, ολοκληρωμένες αναλύσεις.</w:t>
      </w:r>
    </w:p>
    <w:p w14:paraId="4F3CD0F7"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Το κεντρικό συστατικό στην επιτυχία του GTAP έχει υπάρξει η παγκόσμια βάση δεδομένων. Αυτή συνδυάζει λεπτομερή δεδομένα διμερούς εμπορίου, μεταφοράς και προστασίας που χαρακτηρίζουν τις οικονομικές συνδέσεις μεταξύ των περιοχών, μαζί με βάσεις δεδομένων εισόδου-εξόδου από κάθε χώρα, οι οποίες λογαριάζουν τις διατομεακές συνδέσεις εντός περιοχών. Η κατασκευή και συντήρηση αυτής της βάσης ακολουθεί τις ακόλουθες αρχές:</w:t>
      </w:r>
    </w:p>
    <w:p w14:paraId="6B29609B"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1. </w:t>
      </w:r>
      <w:r w:rsidRPr="00347208">
        <w:rPr>
          <w:rFonts w:ascii="Times New Roman" w:eastAsia="Times New Roman" w:hAnsi="Times New Roman" w:cs="Times New Roman"/>
          <w:b/>
          <w:bCs/>
          <w:kern w:val="0"/>
          <w:lang w:eastAsia="el-GR"/>
          <w14:ligatures w14:val="none"/>
        </w:rPr>
        <w:t>Δημόσια Διαθεσιμότητα:</w:t>
      </w:r>
      <w:r w:rsidRPr="00347208">
        <w:rPr>
          <w:rFonts w:ascii="Times New Roman" w:eastAsia="Times New Roman" w:hAnsi="Times New Roman" w:cs="Times New Roman"/>
          <w:kern w:val="0"/>
          <w:lang w:eastAsia="el-GR"/>
          <w14:ligatures w14:val="none"/>
        </w:rPr>
        <w:t xml:space="preserve"> Η βάση δεδομένων είναι διαθέσιμη σε οποιονδήποτε τη ζητήσει, με μια μικρή χρέωση. Αυτό αποτρέπει την άσκοπη επανάληψη προσπαθειών στη δημιουργία αυτού του δημοσίου αγαθού. Χρεώνοντας για τη βάση δεδομένων, καλύπτεται επίσης ένα μέρος των δαπανών που προκύπτουν κατά την κατασκευή της. Ωστόσο, όσοι συνεισφέρουν σημαντικά στη δημιουργία αυτής της βάσης τη λαμβάνουν δωρεάν και έχουν πρόσβαση σε προκαταρκτικές εκδόσεις, μαζί με τα μέλη του Συνδέσμου GTAP που παρέχουν το μεγαλύτερο μέρος της χρηματοδοτικής υποστήριξης μέσω των ετήσιων συνεισφορών τους στο έργο.</w:t>
      </w:r>
    </w:p>
    <w:p w14:paraId="2D6C0216"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2. </w:t>
      </w:r>
      <w:r w:rsidRPr="00347208">
        <w:rPr>
          <w:rFonts w:ascii="Times New Roman" w:eastAsia="Times New Roman" w:hAnsi="Times New Roman" w:cs="Times New Roman"/>
          <w:b/>
          <w:bCs/>
          <w:kern w:val="0"/>
          <w:lang w:eastAsia="el-GR"/>
          <w14:ligatures w14:val="none"/>
        </w:rPr>
        <w:t>Τακτικές Ενημερώσεις:</w:t>
      </w:r>
      <w:r w:rsidRPr="00347208">
        <w:rPr>
          <w:rFonts w:ascii="Times New Roman" w:eastAsia="Times New Roman" w:hAnsi="Times New Roman" w:cs="Times New Roman"/>
          <w:kern w:val="0"/>
          <w:lang w:eastAsia="el-GR"/>
          <w14:ligatures w14:val="none"/>
        </w:rPr>
        <w:t xml:space="preserve"> Η τρέχουσα έκδοση είναι η ένδεκατη (GTAP 11 Data Base) από το 1993. Η μέση διάρκεια ζωής μιας έκδοσης είναι περίπου τρία χρόνια.</w:t>
      </w:r>
    </w:p>
    <w:p w14:paraId="2398CF80"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3. </w:t>
      </w:r>
      <w:r w:rsidRPr="00347208">
        <w:rPr>
          <w:rFonts w:ascii="Times New Roman" w:eastAsia="Times New Roman" w:hAnsi="Times New Roman" w:cs="Times New Roman"/>
          <w:b/>
          <w:bCs/>
          <w:kern w:val="0"/>
          <w:lang w:eastAsia="el-GR"/>
          <w14:ligatures w14:val="none"/>
        </w:rPr>
        <w:t>Ευρεία Συμμετοχή:</w:t>
      </w:r>
      <w:r w:rsidRPr="00347208">
        <w:rPr>
          <w:rFonts w:ascii="Times New Roman" w:eastAsia="Times New Roman" w:hAnsi="Times New Roman" w:cs="Times New Roman"/>
          <w:kern w:val="0"/>
          <w:lang w:eastAsia="el-GR"/>
          <w14:ligatures w14:val="none"/>
        </w:rPr>
        <w:t xml:space="preserve"> Το δίκτυο των χρηστών GTAP αποτελεί μια εξαιρετική πηγή για την επέκταση της βάσης δεδομένων. Ένα άλλο οφέλος από την ευρεία συμμετοχή είναι η εκτενής εξέταση στην οποία υπόκειται η βάση δεδομένων. Όσοι εντοπίζουν περιοχές για βελτίωση ή επέκταση της βάσης δεδομένων είναι ελεύθεροι να κάνουν τις προτάσεις τους διαθέσιμες στο προσωπικό του GTAP, ώστε να ληφθούν υπόψη για ένταξη στην επόμενη έκδοση της βάσης δεδομένων. Η λειτουργική ιδέα είναι “αν δεν σας αρέσει, βοηθήστε να το διορθώσετε!”</w:t>
      </w:r>
    </w:p>
    <w:p w14:paraId="385D1C3F"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4. </w:t>
      </w:r>
      <w:r w:rsidRPr="00347208">
        <w:rPr>
          <w:rFonts w:ascii="Times New Roman" w:eastAsia="Times New Roman" w:hAnsi="Times New Roman" w:cs="Times New Roman"/>
          <w:b/>
          <w:bCs/>
          <w:kern w:val="0"/>
          <w:lang w:eastAsia="el-GR"/>
          <w14:ligatures w14:val="none"/>
        </w:rPr>
        <w:t>Συγκριτικό Πλεονέκτημα:</w:t>
      </w:r>
      <w:r w:rsidRPr="00347208">
        <w:rPr>
          <w:rFonts w:ascii="Times New Roman" w:eastAsia="Times New Roman" w:hAnsi="Times New Roman" w:cs="Times New Roman"/>
          <w:kern w:val="0"/>
          <w:lang w:eastAsia="el-GR"/>
          <w14:ligatures w14:val="none"/>
        </w:rPr>
        <w:t xml:space="preserve"> Κάνοντας τη βάση δεδομένων δημοσίως διαθέσιμη και προσφέροντας να ενσωματώσει βελτιώσεις που παρέχονται από μέλη του δικτύου, κάθε άτομο είναι σε θέση να εργάζεται με βάση το δικό του συγκριτικό πλεονέκτημα, ενώ ταυτόχρονα αξιοποιεί τις συνεισφορές των άλλων.</w:t>
      </w:r>
    </w:p>
    <w:p w14:paraId="2F6DCFF3"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6C3988F"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Τεκμηρίωση και Επαναληψιμότητα. Μία απαίτηση για τις νέες συνεισφορές στη βάση δεδομένων GTAP είναι να παρέχονται οι πηγές και οι διαδικασίες που χρησιμοποιήθηκαν για τη δημιουργία τους μαζί με τα δεδομένα. Αυτή η δημοσίευση αποτελεί μια περίληψη της τεκμηρίωσης για τη βάση δεδομένων GTAP. Επιπλέον λεπτομέρειες μπορούν να βρεθούν στον ιστότοπο GTAP, ή στην τεκμηρίωση προηγούμενων εκδόσεων του GTAP. Παρόλα αυτά, παρά την εκτεταμένη τεκμηρίωση, μπορεί να προκύψουν άλλες ερωτήσεις σχετικά με τις πηγές δεδομένων και τις μεθόδους. Επομένως, παραπέμπουμε τους ενδιαφερόμενους χρήστες στους συγγραφείς των κεφαλαίων όπου αυτό το έγγραφο δεν είναι αρκετά λεπτομερές. Συχνά, μόνο μέσω διμερούς αλληλογραφίας αυτού του είδους μπορούν να εντοπιστούν και να διορθωθούν σωστά τα περιορισμένα δεδομένα της βάσης. Αυτό μας οδηγεί στο τελικό συστατικό της βάσης δεδομένων GTAP, δηλαδή τον έλεγχο ποιότητας.</w:t>
      </w:r>
    </w:p>
    <w:p w14:paraId="18C06AE3"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475C4911" w14:textId="77777777" w:rsidR="00347208" w:rsidRPr="00347208" w:rsidRDefault="00347208" w:rsidP="00347208">
      <w:pPr>
        <w:pStyle w:val="p1"/>
        <w:rPr>
          <w:color w:val="auto"/>
          <w:sz w:val="24"/>
          <w:szCs w:val="24"/>
        </w:rPr>
      </w:pPr>
      <w:r w:rsidRPr="00C17B37">
        <w:rPr>
          <w:sz w:val="24"/>
          <w:szCs w:val="24"/>
        </w:rPr>
        <w:t xml:space="preserve">Διασφάλιση Ποιότητας. Καθώς η βάση δεδομένων GTAP έχει γίνει πιο ευρέως χρησιμοποιημένη και οι αναλύσεις πολιτικής που βασίζονται σε αυτή την πλατφόρμα έχουν γίνει πιο </w:t>
      </w:r>
      <w:proofErr w:type="spellStart"/>
      <w:r w:rsidRPr="00C17B37">
        <w:rPr>
          <w:sz w:val="24"/>
          <w:szCs w:val="24"/>
        </w:rPr>
        <w:t>επιδραστικές</w:t>
      </w:r>
      <w:proofErr w:type="spellEnd"/>
      <w:r w:rsidRPr="00C17B37">
        <w:rPr>
          <w:sz w:val="24"/>
          <w:szCs w:val="24"/>
        </w:rPr>
        <w:t xml:space="preserve">, οι απαιτήσεις για βελτιωμένο έλεγχο ποιότητας έχουν επίσης αυξηθεί. Το τελευταίο δεκαετία, αυτό έχει εμφανιστεί ως η κύρια προτεραιότητα των μελών του κονσόρτσιουμ και το Κέντρο έχει συνεπώς αφιερώσει αυξανόμενους πόρους και προσοχή σε αυτό το θέμα. Υπάρχουν διάφοροι τρόποι με τους οποίους το Κέντρο επιδιώκει να </w:t>
      </w:r>
      <w:r w:rsidRPr="00C17B37">
        <w:rPr>
          <w:color w:val="auto"/>
          <w:sz w:val="24"/>
          <w:szCs w:val="24"/>
        </w:rPr>
        <w:t xml:space="preserve">παρέχει διασφάλιση ποιότητας. Αυτό ξεκινά με την τεκμηρίωση και την </w:t>
      </w:r>
      <w:proofErr w:type="spellStart"/>
      <w:r w:rsidRPr="00C17B37">
        <w:rPr>
          <w:color w:val="auto"/>
          <w:sz w:val="24"/>
          <w:szCs w:val="24"/>
        </w:rPr>
        <w:t>επαναληψιμότητα</w:t>
      </w:r>
      <w:proofErr w:type="spellEnd"/>
      <w:r w:rsidRPr="00C17B37">
        <w:rPr>
          <w:color w:val="auto"/>
          <w:sz w:val="24"/>
          <w:szCs w:val="24"/>
        </w:rPr>
        <w:t>. Αν οι χρήστες δεν γνωρίζουν τι περιέχει η</w:t>
      </w:r>
      <w:r w:rsidRPr="00347208">
        <w:rPr>
          <w:color w:val="auto"/>
          <w:sz w:val="24"/>
          <w:szCs w:val="24"/>
        </w:rPr>
        <w:t xml:space="preserve"> βάση δεδομένων και πώς έχει κατασκευαστεί, δεν μπορούν να την κρίνουν εύλογα.</w:t>
      </w:r>
    </w:p>
    <w:p w14:paraId="3A6BEB17"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5926A9FF"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Η προσέγγιση στον έλεγχο ποιότητας διαφέρει κάπως μεταξύ των διεθνών βάσεων δεδομένων (δεδομένα εμπορίου, δασμοί, όγκοι ενέργειας κ.λπ.) και των εθνικών βάσεων δεδομένων (κυρίως οι εθνικοί πίνακες εισροών-εκροών).</w:t>
      </w:r>
    </w:p>
    <w:p w14:paraId="3B5470E8"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17C42E2" w14:textId="6D1796FE" w:rsid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Ο έλεγχος ποιότητας για τις εισροές της διεθνούς βάσης δεδομένων είναι μερικές φορές ευκολότερος. Εδώ συχνά έχουμε εναλλακτικές βάσεις δεδομένων για να συγκρίνουμε τα πηγαία δεδομένα που προμηθεύονται στο GTAP. Για παράδειγμα, πριν από την απόφαση για το πού θα προέλθουν τα δεδομένα δασμών για τη βάση δεδομένων GTAP 8, συγκρίναμε δύο διαφορετικές διεθνείς βάσεις δεδομένων, η καθεμία από τις οποίες συντηρείται από διαφορετικό μέλος του κονσόρτσιουμ. Έχουμε επίσης μια πολιτική που δίνει προτεραιότητα στη συνέχεια των προμηθευτών. Αναγνωρίζοντας ότι οι βάσεις δεδομένων βελτιώνονται μόνο μέσω της χρήσης, της αναθεώρησης και της περαιτέρω χρήσης, δεν αλλάζουμε εύκολα πηγές. Για παράδειγμα, η διεθνής βάση δεδομένων εμπορίου στη βάση δεδομένων GTAP 11 προμηθεύεται από τον ίδιο άτομο (Mark Gehlhar, βλέπε Gehlhar 1996) που έχει προμηθεύσει δεδομένα εμπορίου για τις εκδόσεις 1 έως 10 της βάσης. Με την πάροδο του χρόνου, μέσω εκτενούς ανατροφοδότησης από τους χρήστες, η μεθοδολογία που χρησιμοποιείται</w:t>
      </w:r>
      <w:r>
        <w:rPr>
          <w:rFonts w:ascii="Times New Roman" w:eastAsia="Times New Roman" w:hAnsi="Times New Roman" w:cs="Times New Roman"/>
          <w:kern w:val="0"/>
          <w:lang w:eastAsia="el-GR"/>
          <w14:ligatures w14:val="none"/>
        </w:rPr>
        <w:t>.</w:t>
      </w:r>
    </w:p>
    <w:p w14:paraId="0CD8A9DD" w14:textId="77777777" w:rsid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8A4CC4E"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Οι μελλοντικές αναπτύξεις της βάσης δεδομένων επηρεάζονται σημαντικά από το GTAP Advisory Board. Αυτή η ομάδα αποτελείται από εκπροσώπους από κάθε έναν από τους οργανισμούς του Συνδέσμου GTAP. Η συνεχιζόμενη καθοδήγησή τους διασφαλίζει ότι η βάση δεδομένων θα εξελιχθεί για να ανταποκριθεί στις μεταβαλλόμενες ανάγκες των πολιτικών φορέων που ασχολούνται με τα παγκόσμια οικονομικά ζητήματα. Όπως αναφέρθηκε παραπάνω, η εξασφάλιση ποιότητας είναι κορυφαία προτεραιότητα. Ωστόσο, υπάρχουν κάποιοι τομείς όπου αναμένουμε σημαντικές καινοτομίες στο άμεσο μέλλον.</w:t>
      </w:r>
    </w:p>
    <w:p w14:paraId="153EAE0C"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20A7B071"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Στο GTAP 11 συνεχίζουμε να επεκτείνουμε τη χρονική διάσταση, παράγοντας ένα σύνολο δεδομένων χρονοσειρών με συνεπείς πηγές και μεθοδολογίες διαχρονικά. Αυτή τη στιγμή περιλαμβάνει πέντε βασικά έτη, από το 2004 έως το 2017, και αυτή η διαδικασία είναι προκλητική, καθώς περιλαμβάνει την επανεξέταση κάθε προηγούμενου έτους με ενημερωμένες μεθόδους και πηγές δεδομένων (καθώς αυτές αλλάζουν με τον καιρό). Παρόλα αυτά, θα συνεχίσουμε να επεκτείνουμε τη βάση δεδομένων χρονοσειρών GTAP, βασιζόμενοι στην εμπειρία μας από την παραγωγή της τρέχουσας έκδοσης.</w:t>
      </w:r>
    </w:p>
    <w:p w14:paraId="5C28ADB9"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1F9D87C6"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Η γεωγραφική κάλυψη της βάσης δεδομένων GTAP 11 έχει αυξηθεί σε 160 περιοχές—141 ατομικές χώρες και 19 σύνθετες περιοχές—με την προσθήκη 20 νέων χωρών κυρίως από τη Μέση Ανατολή και την Αφρική. Η κατασκευή της βασίζεται σε συνεισφορές δεδομένων από ένα μεγάλο δίκτυο ατόμων, μέλη του συμβουλίου GTAP, και ιδρύματα από όλο τον κόσμο.</w:t>
      </w:r>
    </w:p>
    <w:p w14:paraId="1B821799"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Η αύξηση της αναπαράστασης των χωρών και των τομέων στο GTAP εξαρτάται από τη διαθεσιμότητα δεδομένων. Επιπλέον, για να βελτιωθεί η χρονοσειριακή διάσταση της βάσης δεδομένων, η συνεχής ανάπτυξη και συνεισφορά των IOT (Input-Output Tables) είναι κρίσιμη για την αποτύπωση των δομικών αλλαγών με την πάροδο του χρόνου. Για ιστορικά έτη αναφοράς (π.χ., 2004, 2007, 2011 και 2014), αναδομούμε τη βάση δεδομένων GTAP με τις τελευταίες μεθοδολογίες και ενημερωμένες εισροές. Για παράδειγμα, το έτος αναφοράς 2014 που είναι διαθέσιμο και στις εκδόσεις GTAP Data Base 10 και 11 θα εμφανίζει διαφορές λόγω νέων πηγών για δεδομένα εμπορίου υπηρεσιών, διαφορετικής αντιμετώπισης των δεδομένων ενέργειας, ή επειδή το IOT ενημερώθηκε στο GTAP 11.</w:t>
      </w:r>
    </w:p>
    <w:p w14:paraId="68CFFB75"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DEE9E29"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Περαιτέρω βελτιώσεις της βάσης δεδομένων GTAP επηρεάζονται επίσης από την ποιότητα και τη διαθεσιμότητα των διεθνών πηγών δεδομένων. Ο στόχος μας είναι να συμφιλιώσουμε τις διαθέσιμες πληροφορίες, με κύριο στόχο τη βελτίωση των αρχικών δεδομένων των χωρών για να πληρούν τις απαιτήσεις της παγκόσμιας οικονομικής μοντελοποίησης. Η εικόνα της παγκόσμιας οικονομίας που έχουμε κατασκευάσει μπορεί και πρέπει να επεκταθεί για να ανταποκρίνεται καλύτερα στις ανάγκες της έρευνας και των πολιτικών στόχων. Μπορεί να τεθεί μεγαλύτερη έμφαση </w:t>
      </w:r>
      <w:r w:rsidRPr="00347208">
        <w:rPr>
          <w:rFonts w:ascii="Times New Roman" w:eastAsia="Times New Roman" w:hAnsi="Times New Roman" w:cs="Times New Roman"/>
          <w:kern w:val="0"/>
          <w:lang w:eastAsia="el-GR"/>
          <w14:ligatures w14:val="none"/>
        </w:rPr>
        <w:lastRenderedPageBreak/>
        <w:t>σε ένα συγκεκριμένο κράτος, για να πραγματοποιηθεί στη συνέχεια υποπεριφερειακή μοντελοποίηση ή να αντικατοπτρίσει πιο πρόσφατες τάσεις.</w:t>
      </w:r>
    </w:p>
    <w:p w14:paraId="16363887"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39235E46"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Στο GTAP 11, τα δεδομένα εμπορίου υπηρεσιών βασίζονται τώρα σε νέες πηγές (Wettstein et al. 2021). Εάν αυτές οι πηγές δεδομένων δεν διατηρηθούν, θα χρειαστεί να βασιστούμε σε διαφορετική πηγή για το GTAP 12. Αυτά και άλλα παρόμοια περιστατικά τονίζουν την ιδιαίτερη σημασία της συνεπούς συντήρησης και τακτικών ενημερώσεων των βασικών πηγών δεδομένων που αναπτύσσονται από στατιστικές υπηρεσίες και άλλους οργανισμούς σε όλο τον κόσμο.</w:t>
      </w:r>
    </w:p>
    <w:p w14:paraId="43E60619"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Ένα από τα βασικά χαρακτηριστικά της βάσης δεδομένων GTAP περιλαμβάνει τη συμφιλίωση και την ενοποίηση πολλαπλών σετ δεδομένων σε μια προσπάθεια να παρέχει μια πιο συνεπή αναπαράσταση των παγκόσμιων οικονομικών ροών. Σε αυτό το πλαίσιο, διερευνούμε συνεχώς νέα σετ δεδομένων που μπορούν να χρησιμοποιηθούν για να συμπληρώσουν τις τρέχουσες διαδικασίες. Όπως και στην προσέγγισή μας στην αγροτική παραγωγή, εξετάζουμε τη χρήση στατιστικών από τον Οργανισμό Βιομηχανικής Ανάπτυξης του ΟΗΕ για τον στοχασμό της παραγωγής επεξεργασμένων αγαθών στο GTAP 12, για να παρέχουμε καλύτερη αναπαράσταση της παραγωγής σε αυτούς τους τομείς της οικονομίας.</w:t>
      </w:r>
    </w:p>
    <w:p w14:paraId="6A84D215"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047C6A24"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Η βάση δεδομένων GTAP είναι μια δυναμική οντότητα που εξελίσσεται ανταποκρινόμενη στις ανάγκες και την υποστήριξη των μεμονωμένων χρηστών καθώς και των δημοσίων οργανισμών με ενδιαφέρον για το διεθνές εμπόριο, τους φυσικούς πόρους και το περιβάλλον. Σας ενθαρρύνουμε να συμμετάσχετε σε αυτό το δίκτυο, εγγραφόμενοι στη λίστα συζητήσεων, πιθανώς παρακολουθώντας το σύντομο μάθημα και χρησιμοποιώντας αυτήν τη βάση δεδομένων.</w:t>
      </w:r>
    </w:p>
    <w:p w14:paraId="41DDEECC" w14:textId="77777777" w:rsidR="00347208" w:rsidRDefault="00347208" w:rsidP="00347208">
      <w:pPr>
        <w:pStyle w:val="p1"/>
        <w:rPr>
          <w:b/>
          <w:bCs/>
          <w:sz w:val="28"/>
          <w:szCs w:val="28"/>
          <w:u w:val="single"/>
        </w:rPr>
      </w:pPr>
    </w:p>
    <w:p w14:paraId="0C002DC6" w14:textId="77777777" w:rsidR="00347208" w:rsidRDefault="00347208" w:rsidP="00347208">
      <w:pPr>
        <w:pStyle w:val="p1"/>
        <w:rPr>
          <w:b/>
          <w:bCs/>
          <w:sz w:val="28"/>
          <w:szCs w:val="28"/>
          <w:u w:val="single"/>
        </w:rPr>
      </w:pPr>
    </w:p>
    <w:p w14:paraId="58A33578" w14:textId="4213A95D" w:rsidR="00347208" w:rsidRPr="00410E73" w:rsidRDefault="00347208" w:rsidP="00E775ED">
      <w:pPr>
        <w:pStyle w:val="2"/>
        <w:rPr>
          <w:b/>
          <w:bCs/>
        </w:rPr>
      </w:pPr>
      <w:r w:rsidRPr="00410E73">
        <w:rPr>
          <w:b/>
          <w:bCs/>
        </w:rPr>
        <w:t xml:space="preserve"> </w:t>
      </w:r>
      <w:bookmarkStart w:id="7" w:name="_Toc195098682"/>
      <w:r w:rsidRPr="00410E73">
        <w:rPr>
          <w:b/>
          <w:bCs/>
        </w:rPr>
        <w:t>Ο ρόλος του GTAP στην ανάλυση του παγκόσμιου εμπορίου</w:t>
      </w:r>
      <w:bookmarkEnd w:id="7"/>
    </w:p>
    <w:p w14:paraId="312257D3" w14:textId="0847214D" w:rsidR="00347208" w:rsidRPr="00347208" w:rsidRDefault="00347208" w:rsidP="00347208">
      <w:pPr>
        <w:pStyle w:val="p1"/>
        <w:rPr>
          <w:b/>
          <w:bCs/>
          <w:color w:val="auto"/>
          <w:sz w:val="28"/>
          <w:szCs w:val="28"/>
          <w:u w:val="single"/>
        </w:rPr>
      </w:pPr>
    </w:p>
    <w:p w14:paraId="2C10BCDE" w14:textId="0AF392B5" w:rsidR="00347208" w:rsidRDefault="00347208" w:rsidP="0026784D">
      <w:pPr>
        <w:rPr>
          <w:rFonts w:ascii="Times New Roman" w:eastAsia="Times New Roman" w:hAnsi="Times New Roman" w:cs="Times New Roman"/>
          <w:kern w:val="0"/>
          <w:lang w:eastAsia="el-GR"/>
          <w14:ligatures w14:val="none"/>
        </w:rPr>
      </w:pPr>
    </w:p>
    <w:p w14:paraId="68DF469C" w14:textId="0DE0FB3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Το Global Trade Analysis Project (GTAP</w:t>
      </w:r>
      <w:r>
        <w:rPr>
          <w:rFonts w:ascii="Times New Roman" w:eastAsia="Times New Roman" w:hAnsi="Times New Roman" w:cs="Times New Roman"/>
          <w:kern w:val="0"/>
          <w:lang w:eastAsia="el-GR"/>
          <w14:ligatures w14:val="none"/>
        </w:rPr>
        <w:t xml:space="preserve">) </w:t>
      </w:r>
      <w:r w:rsidRPr="00347208">
        <w:rPr>
          <w:rFonts w:ascii="Times New Roman" w:eastAsia="Times New Roman" w:hAnsi="Times New Roman" w:cs="Times New Roman"/>
          <w:kern w:val="0"/>
          <w:lang w:eastAsia="el-GR"/>
          <w14:ligatures w14:val="none"/>
        </w:rPr>
        <w:t>αποτελεί μία κρίσιμη πηγή για την ποσοτική ανάλυση των παγκόσμιων οικονομικών θεμάτων. Ο ρόλος του GTAP στην ανάλυση του παγκόσμιου εμπορίου είναι πολυεπίπεδος και έχει βαθιά επίδραση σε παγκόσμια κλίμακα μέσω τριών βασικών τομέων:</w:t>
      </w:r>
    </w:p>
    <w:p w14:paraId="58A4B6BE"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1. </w:t>
      </w:r>
      <w:r w:rsidRPr="00347208">
        <w:rPr>
          <w:rFonts w:ascii="Times New Roman" w:eastAsia="Times New Roman" w:hAnsi="Times New Roman" w:cs="Times New Roman"/>
          <w:b/>
          <w:bCs/>
          <w:kern w:val="0"/>
          <w:lang w:eastAsia="el-GR"/>
          <w14:ligatures w14:val="none"/>
        </w:rPr>
        <w:t>Ανάπτυξη και Διάχυση Δεδομένων και Μοντέλων</w:t>
      </w:r>
      <w:r w:rsidRPr="00347208">
        <w:rPr>
          <w:rFonts w:ascii="Times New Roman" w:eastAsia="Times New Roman" w:hAnsi="Times New Roman" w:cs="Times New Roman"/>
          <w:kern w:val="0"/>
          <w:lang w:eastAsia="el-GR"/>
          <w14:ligatures w14:val="none"/>
        </w:rPr>
        <w:t xml:space="preserve">: Το GTAP διαθέτει μια σειρά από βάσεις δεδομένων και οικονομικά μοντέλα, τα οποία έχουν γίνει σημαντικά εργαλεία για την ανάλυση πολιτικών εμπορίου, ενεργειακών και γεωργικών πολιτικών, κλιματικών αλλαγών και πολλών άλλων. Αυτά τα εργαλεία έχουν </w:t>
      </w:r>
      <w:r w:rsidRPr="00347208">
        <w:rPr>
          <w:rFonts w:ascii="Times New Roman" w:eastAsia="Times New Roman" w:hAnsi="Times New Roman" w:cs="Times New Roman"/>
          <w:kern w:val="0"/>
          <w:lang w:eastAsia="el-GR"/>
          <w14:ligatures w14:val="none"/>
        </w:rPr>
        <w:lastRenderedPageBreak/>
        <w:t>καταστήσει δυνατή τη διεξαγωγή υψηλού επιπέδου οικονομικής έρευνας και έχουν επιτρέψει σε ένα ευρύ φάσμα ιδρυμάτων σε όλο τον κόσμο να συμμετέχουν σε περίπλοκες οικονομικές αναλύσεις.</w:t>
      </w:r>
    </w:p>
    <w:p w14:paraId="42036938"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2. </w:t>
      </w:r>
      <w:r w:rsidRPr="00347208">
        <w:rPr>
          <w:rFonts w:ascii="Times New Roman" w:eastAsia="Times New Roman" w:hAnsi="Times New Roman" w:cs="Times New Roman"/>
          <w:b/>
          <w:bCs/>
          <w:kern w:val="0"/>
          <w:lang w:eastAsia="el-GR"/>
          <w14:ligatures w14:val="none"/>
        </w:rPr>
        <w:t>Έρευνα και Συνεργασία</w:t>
      </w:r>
      <w:r w:rsidRPr="00347208">
        <w:rPr>
          <w:rFonts w:ascii="Times New Roman" w:eastAsia="Times New Roman" w:hAnsi="Times New Roman" w:cs="Times New Roman"/>
          <w:kern w:val="0"/>
          <w:lang w:eastAsia="el-GR"/>
          <w14:ligatures w14:val="none"/>
        </w:rPr>
        <w:t>: Το GTAP δεν είναι απλώς ένα αποθετήριο δεδομένων, αλλά και ένας ζωντανός ερευνητικός κόμβος που διευκολύνει μια ευρεία γκάμα ερευνών σχετικά με θέματα όπως τα εμπορικά και βιομηχανικά πολιτικά σχήματα, οι ενεργειακές μεταβάσεις, η οικονομική ανάπτυξη και η διατήρηση της βιοποικιλότητας. Αυτή η έρευνα είναι συχνά συνεργατική, διεξάγεται από το εκτεταμένο δίκτυο του GTAP και συμβάλλει στην παγκόσμια κατανόηση των οικονομικών πολιτικών και των επιπτώσεών τους.</w:t>
      </w:r>
    </w:p>
    <w:p w14:paraId="17E86D27"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 xml:space="preserve">3. </w:t>
      </w:r>
      <w:r w:rsidRPr="00347208">
        <w:rPr>
          <w:rFonts w:ascii="Times New Roman" w:eastAsia="Times New Roman" w:hAnsi="Times New Roman" w:cs="Times New Roman"/>
          <w:b/>
          <w:bCs/>
          <w:kern w:val="0"/>
          <w:lang w:eastAsia="el-GR"/>
          <w14:ligatures w14:val="none"/>
        </w:rPr>
        <w:t>Εκπαίδευση και Κατάρτιση</w:t>
      </w:r>
      <w:r w:rsidRPr="00347208">
        <w:rPr>
          <w:rFonts w:ascii="Times New Roman" w:eastAsia="Times New Roman" w:hAnsi="Times New Roman" w:cs="Times New Roman"/>
          <w:kern w:val="0"/>
          <w:lang w:eastAsia="el-GR"/>
          <w14:ligatures w14:val="none"/>
        </w:rPr>
        <w:t>: Μέσω διαφόρων προγραμμάτων και μαθημάτων, το GTAP ενισχύει την ικανότητα ερευνητών, πολιτικών χαρακτηριστικών και ακαδημαϊκών. Αυτές οι εκπαιδευτικές πρωτοβουλίες κυμαίνονται από εισαγωγικά μαθήματα μέχρι πιο εξειδικευμένα, με στόχο την βαθύτερη κατανόηση και χρήση των μοντέλων και των βάσεων δεδομένων του GTAP.</w:t>
      </w:r>
    </w:p>
    <w:p w14:paraId="4AB0228C"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p>
    <w:p w14:paraId="622A233C" w14:textId="77777777" w:rsidR="00347208" w:rsidRPr="00347208" w:rsidRDefault="00347208" w:rsidP="00347208">
      <w:pPr>
        <w:spacing w:before="100" w:beforeAutospacing="1" w:after="100" w:afterAutospacing="1" w:line="240" w:lineRule="auto"/>
        <w:rPr>
          <w:rFonts w:ascii="Times New Roman" w:eastAsia="Times New Roman" w:hAnsi="Times New Roman" w:cs="Times New Roman"/>
          <w:kern w:val="0"/>
          <w:lang w:eastAsia="el-GR"/>
          <w14:ligatures w14:val="none"/>
        </w:rPr>
      </w:pPr>
      <w:r w:rsidRPr="00347208">
        <w:rPr>
          <w:rFonts w:ascii="Times New Roman" w:eastAsia="Times New Roman" w:hAnsi="Times New Roman" w:cs="Times New Roman"/>
          <w:kern w:val="0"/>
          <w:lang w:eastAsia="el-GR"/>
          <w14:ligatures w14:val="none"/>
        </w:rPr>
        <w:t>Συνολικά, η συμβολή του GTAP στην παγκόσμια οικονομική ανάλυση ξεπερνά την απλή προσφορά δεδομένων, καθώς διευκολύνει ένα σύνθετο οικοσύστημα που υποστηρίζει την ενημερωμένη διαμόρφωση πολιτικής και προάγει τον τομέα της παγκόσμιας οικονομικής ανάλυσης μέσω της συνεργασίας, της καινοτομίας και της εκπαίδευσης.</w:t>
      </w:r>
    </w:p>
    <w:p w14:paraId="3BE1325D" w14:textId="77777777" w:rsidR="00347208" w:rsidRPr="00347208" w:rsidRDefault="00347208" w:rsidP="0026784D">
      <w:pPr>
        <w:rPr>
          <w:rFonts w:ascii="Times New Roman" w:eastAsia="Times New Roman" w:hAnsi="Times New Roman" w:cs="Times New Roman"/>
          <w:kern w:val="0"/>
          <w:lang w:eastAsia="el-GR"/>
          <w14:ligatures w14:val="none"/>
        </w:rPr>
      </w:pPr>
    </w:p>
    <w:p w14:paraId="029B055A" w14:textId="2706FDFC" w:rsidR="00347208" w:rsidRDefault="00347208" w:rsidP="0026784D">
      <w:pPr>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524A72E7" wp14:editId="39791EFC">
            <wp:extent cx="5274310" cy="3169285"/>
            <wp:effectExtent l="0" t="0" r="0" b="5715"/>
            <wp:docPr id="1900233134" name="Εικόνα 4" descr="Εικόνα που περιέχει χάρτης, κείμενο, Άτλα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33134" name="Εικόνα 4" descr="Εικόνα που περιέχει χάρτης, κείμενο, Άτλας&#10;&#10;Το περιεχόμενο που δημιουργείται από τεχνολογία AI ενδέχεται να είναι εσφαλμένο."/>
                    <pic:cNvPicPr/>
                  </pic:nvPicPr>
                  <pic:blipFill>
                    <a:blip r:embed="rId12">
                      <a:extLst>
                        <a:ext uri="{28A0092B-C50C-407E-A947-70E740481C1C}">
                          <a14:useLocalDpi xmlns:a14="http://schemas.microsoft.com/office/drawing/2010/main" val="0"/>
                        </a:ext>
                      </a:extLst>
                    </a:blip>
                    <a:stretch>
                      <a:fillRect/>
                    </a:stretch>
                  </pic:blipFill>
                  <pic:spPr>
                    <a:xfrm>
                      <a:off x="0" y="0"/>
                      <a:ext cx="5274310" cy="3169285"/>
                    </a:xfrm>
                    <a:prstGeom prst="rect">
                      <a:avLst/>
                    </a:prstGeom>
                  </pic:spPr>
                </pic:pic>
              </a:graphicData>
            </a:graphic>
          </wp:inline>
        </w:drawing>
      </w:r>
    </w:p>
    <w:p w14:paraId="6A1A2085" w14:textId="0BE2E7CC" w:rsidR="00347208" w:rsidRDefault="00347208" w:rsidP="00724E96">
      <w:pPr>
        <w:spacing w:before="100" w:beforeAutospacing="1" w:after="100" w:afterAutospacing="1" w:line="240" w:lineRule="auto"/>
        <w:jc w:val="center"/>
        <w:rPr>
          <w:rFonts w:ascii="Times New Roman" w:eastAsia="Times New Roman" w:hAnsi="Times New Roman" w:cs="Times New Roman"/>
          <w:kern w:val="0"/>
          <w:sz w:val="20"/>
          <w:szCs w:val="20"/>
          <w:lang w:val="en-US" w:eastAsia="el-GR"/>
          <w14:ligatures w14:val="none"/>
        </w:rPr>
      </w:pPr>
      <w:r w:rsidRPr="00347208">
        <w:rPr>
          <w:rFonts w:ascii="Times New Roman" w:eastAsia="Times New Roman" w:hAnsi="Times New Roman" w:cs="Times New Roman"/>
          <w:kern w:val="0"/>
          <w:sz w:val="20"/>
          <w:szCs w:val="20"/>
          <w:lang w:eastAsia="el-GR"/>
          <w14:ligatures w14:val="none"/>
        </w:rPr>
        <w:t xml:space="preserve">Οι χώρες με πράσινο χρώμα ανήκουν στο GTAP 11. Το πιο σκούρο πράσινο υποδηλώνει μια χώρα που έχει πρόσφατα αποσπαστεί από μια σύνθετη περιοχή, βασισμένη σε νέα διαθέσιμα Διασυνδεδεμένα Τρίμηνα Οικονομικά Τετράγωνα (IOTs). Το ανοιχτότερο πράσινο αντιπροσωπεύει τις χώρες που έχουν </w:t>
      </w:r>
      <w:r w:rsidRPr="00347208">
        <w:rPr>
          <w:rFonts w:ascii="Times New Roman" w:eastAsia="Times New Roman" w:hAnsi="Times New Roman" w:cs="Times New Roman"/>
          <w:kern w:val="0"/>
          <w:sz w:val="20"/>
          <w:szCs w:val="20"/>
          <w:lang w:eastAsia="el-GR"/>
          <w14:ligatures w14:val="none"/>
        </w:rPr>
        <w:lastRenderedPageBreak/>
        <w:t>ενημερωθεί για την έκδοση 11. Το μεσαίο πράσινο είναι για υπάρχουσες χώρες χωρίς ενημερώσεις IOT. Οι άλλες χώρες (σε μπεζ χρώμα) εκπροσωπούνται στις περιοχές ‘Υπόλοιπο του’ του GTAP.</w:t>
      </w:r>
    </w:p>
    <w:p w14:paraId="60EE39E7" w14:textId="77777777" w:rsidR="00724E96" w:rsidRDefault="00724E96" w:rsidP="00952A0E">
      <w:pPr>
        <w:spacing w:before="100" w:beforeAutospacing="1" w:after="100" w:afterAutospacing="1" w:line="240" w:lineRule="auto"/>
        <w:rPr>
          <w:rFonts w:ascii="Times New Roman" w:eastAsia="Times New Roman" w:hAnsi="Times New Roman" w:cs="Times New Roman"/>
          <w:kern w:val="0"/>
          <w:sz w:val="20"/>
          <w:szCs w:val="20"/>
          <w:lang w:val="en-US" w:eastAsia="el-GR"/>
          <w14:ligatures w14:val="none"/>
        </w:rPr>
      </w:pPr>
    </w:p>
    <w:p w14:paraId="54769313" w14:textId="77777777" w:rsidR="00952A0E" w:rsidRDefault="00952A0E" w:rsidP="00952A0E">
      <w:pPr>
        <w:spacing w:before="100" w:beforeAutospacing="1" w:after="100" w:afterAutospacing="1" w:line="240" w:lineRule="auto"/>
        <w:rPr>
          <w:rFonts w:ascii="Times New Roman" w:eastAsia="Times New Roman" w:hAnsi="Times New Roman" w:cs="Times New Roman"/>
          <w:kern w:val="0"/>
          <w:sz w:val="20"/>
          <w:szCs w:val="20"/>
          <w:lang w:val="en-US" w:eastAsia="el-GR"/>
          <w14:ligatures w14:val="none"/>
        </w:rPr>
      </w:pPr>
    </w:p>
    <w:p w14:paraId="4DC0F5FF" w14:textId="77777777" w:rsidR="00952A0E" w:rsidRDefault="00952A0E" w:rsidP="00952A0E">
      <w:pPr>
        <w:spacing w:before="100" w:beforeAutospacing="1" w:after="100" w:afterAutospacing="1" w:line="240" w:lineRule="auto"/>
        <w:rPr>
          <w:rFonts w:ascii="Times New Roman" w:eastAsia="Times New Roman" w:hAnsi="Times New Roman" w:cs="Times New Roman"/>
          <w:kern w:val="0"/>
          <w:sz w:val="20"/>
          <w:szCs w:val="20"/>
          <w:lang w:val="en-US" w:eastAsia="el-GR"/>
          <w14:ligatures w14:val="none"/>
        </w:rPr>
      </w:pPr>
    </w:p>
    <w:p w14:paraId="5D08AB84" w14:textId="77777777" w:rsidR="00952A0E" w:rsidRDefault="00952A0E" w:rsidP="00952A0E">
      <w:pPr>
        <w:spacing w:before="100" w:beforeAutospacing="1" w:after="100" w:afterAutospacing="1" w:line="240" w:lineRule="auto"/>
        <w:rPr>
          <w:rFonts w:ascii="Times New Roman" w:eastAsia="Times New Roman" w:hAnsi="Times New Roman" w:cs="Times New Roman"/>
          <w:kern w:val="0"/>
          <w:sz w:val="20"/>
          <w:szCs w:val="20"/>
          <w:lang w:val="en-US" w:eastAsia="el-GR"/>
          <w14:ligatures w14:val="none"/>
        </w:rPr>
      </w:pPr>
    </w:p>
    <w:p w14:paraId="5948CBC1" w14:textId="77777777" w:rsidR="00952A0E" w:rsidRDefault="00952A0E" w:rsidP="00952A0E">
      <w:pPr>
        <w:spacing w:before="100" w:beforeAutospacing="1" w:after="100" w:afterAutospacing="1" w:line="240" w:lineRule="auto"/>
        <w:rPr>
          <w:rFonts w:ascii="Times New Roman" w:eastAsia="Times New Roman" w:hAnsi="Times New Roman" w:cs="Times New Roman"/>
          <w:kern w:val="0"/>
          <w:sz w:val="20"/>
          <w:szCs w:val="20"/>
          <w:lang w:val="en-US" w:eastAsia="el-GR"/>
          <w14:ligatures w14:val="none"/>
        </w:rPr>
      </w:pPr>
    </w:p>
    <w:p w14:paraId="7DE0E56D" w14:textId="77777777" w:rsidR="00952A0E" w:rsidRDefault="00952A0E" w:rsidP="00952A0E">
      <w:pPr>
        <w:spacing w:before="100" w:beforeAutospacing="1" w:after="100" w:afterAutospacing="1" w:line="240" w:lineRule="auto"/>
        <w:rPr>
          <w:rFonts w:ascii="Times New Roman" w:eastAsia="Times New Roman" w:hAnsi="Times New Roman" w:cs="Times New Roman"/>
          <w:kern w:val="0"/>
          <w:sz w:val="20"/>
          <w:szCs w:val="20"/>
          <w:lang w:val="en-US" w:eastAsia="el-GR"/>
          <w14:ligatures w14:val="none"/>
        </w:rPr>
      </w:pPr>
    </w:p>
    <w:p w14:paraId="0589E117" w14:textId="77777777" w:rsidR="00952A0E" w:rsidRDefault="00952A0E" w:rsidP="00952A0E">
      <w:pPr>
        <w:spacing w:before="100" w:beforeAutospacing="1" w:after="100" w:afterAutospacing="1" w:line="240" w:lineRule="auto"/>
        <w:rPr>
          <w:rFonts w:ascii="Times New Roman" w:eastAsia="Times New Roman" w:hAnsi="Times New Roman" w:cs="Times New Roman"/>
          <w:kern w:val="0"/>
          <w:sz w:val="20"/>
          <w:szCs w:val="20"/>
          <w:lang w:val="en-US" w:eastAsia="el-GR"/>
          <w14:ligatures w14:val="none"/>
        </w:rPr>
      </w:pPr>
    </w:p>
    <w:p w14:paraId="59906F6B" w14:textId="77777777" w:rsidR="00952A0E" w:rsidRDefault="00952A0E" w:rsidP="00952A0E">
      <w:pPr>
        <w:spacing w:before="100" w:beforeAutospacing="1" w:after="100" w:afterAutospacing="1" w:line="240" w:lineRule="auto"/>
        <w:rPr>
          <w:rFonts w:ascii="Times New Roman" w:eastAsia="Times New Roman" w:hAnsi="Times New Roman" w:cs="Times New Roman"/>
          <w:kern w:val="0"/>
          <w:sz w:val="20"/>
          <w:szCs w:val="20"/>
          <w:lang w:val="en-US" w:eastAsia="el-GR"/>
          <w14:ligatures w14:val="none"/>
        </w:rPr>
      </w:pPr>
    </w:p>
    <w:p w14:paraId="07498DBA" w14:textId="77777777" w:rsidR="00952A0E" w:rsidRDefault="00952A0E" w:rsidP="00952A0E">
      <w:pPr>
        <w:spacing w:before="100" w:beforeAutospacing="1" w:after="100" w:afterAutospacing="1" w:line="240" w:lineRule="auto"/>
        <w:rPr>
          <w:rFonts w:ascii="Times New Roman" w:eastAsia="Times New Roman" w:hAnsi="Times New Roman" w:cs="Times New Roman"/>
          <w:kern w:val="0"/>
          <w:sz w:val="20"/>
          <w:szCs w:val="20"/>
          <w:lang w:val="en-US" w:eastAsia="el-GR"/>
          <w14:ligatures w14:val="none"/>
        </w:rPr>
      </w:pPr>
    </w:p>
    <w:p w14:paraId="38B5CBAD" w14:textId="77777777" w:rsidR="00952A0E" w:rsidRDefault="00952A0E" w:rsidP="00952A0E">
      <w:pPr>
        <w:spacing w:before="100" w:beforeAutospacing="1" w:after="100" w:afterAutospacing="1" w:line="240" w:lineRule="auto"/>
        <w:rPr>
          <w:rFonts w:ascii="Times New Roman" w:eastAsia="Times New Roman" w:hAnsi="Times New Roman" w:cs="Times New Roman"/>
          <w:kern w:val="0"/>
          <w:sz w:val="20"/>
          <w:szCs w:val="20"/>
          <w:lang w:val="en-US" w:eastAsia="el-GR"/>
          <w14:ligatures w14:val="none"/>
        </w:rPr>
      </w:pPr>
    </w:p>
    <w:p w14:paraId="05C056D3" w14:textId="6AF15F61" w:rsidR="00952A0E" w:rsidRDefault="00077204" w:rsidP="00077204">
      <w:pPr>
        <w:pStyle w:val="1"/>
        <w:rPr>
          <w:lang w:eastAsia="el-GR"/>
        </w:rPr>
      </w:pPr>
      <w:bookmarkStart w:id="8" w:name="_Toc195098683"/>
      <w:r>
        <w:rPr>
          <w:lang w:eastAsia="el-GR"/>
        </w:rPr>
        <w:t>Βιβλιογραφία</w:t>
      </w:r>
      <w:bookmarkEnd w:id="8"/>
    </w:p>
    <w:p w14:paraId="12B9E3A7" w14:textId="77777777" w:rsidR="00077204" w:rsidRPr="00077204" w:rsidRDefault="00077204" w:rsidP="00077204">
      <w:pPr>
        <w:rPr>
          <w:lang w:eastAsia="el-GR"/>
        </w:rPr>
      </w:pPr>
    </w:p>
    <w:p w14:paraId="6A26AEBA" w14:textId="77777777" w:rsidR="00952A0E" w:rsidRPr="00724E96" w:rsidRDefault="00952A0E" w:rsidP="00952A0E">
      <w:pPr>
        <w:spacing w:before="100" w:beforeAutospacing="1" w:after="100" w:afterAutospacing="1" w:line="240" w:lineRule="auto"/>
        <w:rPr>
          <w:rFonts w:ascii="Times New Roman" w:eastAsia="Times New Roman" w:hAnsi="Times New Roman" w:cs="Times New Roman"/>
          <w:kern w:val="0"/>
          <w:sz w:val="20"/>
          <w:szCs w:val="20"/>
          <w:lang w:val="en-US" w:eastAsia="el-GR"/>
          <w14:ligatures w14:val="none"/>
        </w:rPr>
      </w:pPr>
    </w:p>
    <w:sectPr w:rsidR="00952A0E" w:rsidRPr="00724E96">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EC1181"/>
    <w:multiLevelType w:val="multilevel"/>
    <w:tmpl w:val="0408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 w15:restartNumberingAfterBreak="0">
    <w:nsid w:val="578439E3"/>
    <w:multiLevelType w:val="hybridMultilevel"/>
    <w:tmpl w:val="415E2200"/>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63377EF2"/>
    <w:multiLevelType w:val="hybridMultilevel"/>
    <w:tmpl w:val="9258BFEE"/>
    <w:lvl w:ilvl="0" w:tplc="DEC8224E">
      <w:start w:val="1"/>
      <w:numFmt w:val="bullet"/>
      <w:lvlText w:val="-"/>
      <w:lvlJc w:val="left"/>
      <w:pPr>
        <w:ind w:left="720" w:hanging="360"/>
      </w:pPr>
      <w:rPr>
        <w:rFonts w:ascii="Times New Roman" w:eastAsia="Times New Roman" w:hAnsi="Times New Roman" w:cs="Times New Roman"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 w15:restartNumberingAfterBreak="0">
    <w:nsid w:val="6A8A7D20"/>
    <w:multiLevelType w:val="hybridMultilevel"/>
    <w:tmpl w:val="7F1CEAEA"/>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1097365079">
    <w:abstractNumId w:val="3"/>
  </w:num>
  <w:num w:numId="2" w16cid:durableId="676734405">
    <w:abstractNumId w:val="1"/>
  </w:num>
  <w:num w:numId="3" w16cid:durableId="2096199393">
    <w:abstractNumId w:val="2"/>
  </w:num>
  <w:num w:numId="4" w16cid:durableId="1377660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644"/>
    <w:rsid w:val="00062384"/>
    <w:rsid w:val="00077204"/>
    <w:rsid w:val="0009029F"/>
    <w:rsid w:val="000E356D"/>
    <w:rsid w:val="001576A1"/>
    <w:rsid w:val="00197BC7"/>
    <w:rsid w:val="0026784D"/>
    <w:rsid w:val="00347208"/>
    <w:rsid w:val="00381C85"/>
    <w:rsid w:val="00410E73"/>
    <w:rsid w:val="005D0A6F"/>
    <w:rsid w:val="00724E96"/>
    <w:rsid w:val="007B65F4"/>
    <w:rsid w:val="007D5644"/>
    <w:rsid w:val="007F1A14"/>
    <w:rsid w:val="00846297"/>
    <w:rsid w:val="008841CF"/>
    <w:rsid w:val="00925126"/>
    <w:rsid w:val="00934BD2"/>
    <w:rsid w:val="00952A0E"/>
    <w:rsid w:val="009549B2"/>
    <w:rsid w:val="00A7710C"/>
    <w:rsid w:val="00B33A8D"/>
    <w:rsid w:val="00B6168F"/>
    <w:rsid w:val="00C17B37"/>
    <w:rsid w:val="00CB274F"/>
    <w:rsid w:val="00CC620F"/>
    <w:rsid w:val="00CF486D"/>
    <w:rsid w:val="00DA3621"/>
    <w:rsid w:val="00E775ED"/>
    <w:rsid w:val="00EC31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2B416"/>
  <w15:chartTrackingRefBased/>
  <w15:docId w15:val="{4A2F10F1-FD9F-234A-804B-68C3FE968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7D5644"/>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E775ED"/>
    <w:pPr>
      <w:keepNext/>
      <w:keepLines/>
      <w:numPr>
        <w:ilvl w:val="1"/>
        <w:numId w:val="4"/>
      </w:numPr>
      <w:spacing w:before="160" w:after="80"/>
      <w:outlineLvl w:val="1"/>
    </w:pPr>
    <w:rPr>
      <w:rFonts w:asciiTheme="majorHAnsi" w:eastAsiaTheme="majorEastAsia" w:hAnsiTheme="majorHAnsi" w:cstheme="majorBidi"/>
      <w:color w:val="000000" w:themeColor="text1"/>
      <w:sz w:val="32"/>
      <w:szCs w:val="32"/>
    </w:rPr>
  </w:style>
  <w:style w:type="paragraph" w:styleId="3">
    <w:name w:val="heading 3"/>
    <w:basedOn w:val="a"/>
    <w:next w:val="a"/>
    <w:link w:val="3Char"/>
    <w:uiPriority w:val="9"/>
    <w:semiHidden/>
    <w:unhideWhenUsed/>
    <w:qFormat/>
    <w:rsid w:val="007D5644"/>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7D5644"/>
    <w:pPr>
      <w:keepNext/>
      <w:keepLines/>
      <w:numPr>
        <w:ilvl w:val="3"/>
        <w:numId w:val="4"/>
      </w:numPr>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7D5644"/>
    <w:pPr>
      <w:keepNext/>
      <w:keepLines/>
      <w:numPr>
        <w:ilvl w:val="4"/>
        <w:numId w:val="4"/>
      </w:numPr>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7D5644"/>
    <w:pPr>
      <w:keepNext/>
      <w:keepLines/>
      <w:numPr>
        <w:ilvl w:val="5"/>
        <w:numId w:val="4"/>
      </w:numPr>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7D5644"/>
    <w:pPr>
      <w:keepNext/>
      <w:keepLines/>
      <w:numPr>
        <w:ilvl w:val="6"/>
        <w:numId w:val="4"/>
      </w:numPr>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7D5644"/>
    <w:pPr>
      <w:keepNext/>
      <w:keepLines/>
      <w:numPr>
        <w:ilvl w:val="7"/>
        <w:numId w:val="4"/>
      </w:numPr>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7D5644"/>
    <w:pPr>
      <w:keepNext/>
      <w:keepLines/>
      <w:numPr>
        <w:ilvl w:val="8"/>
        <w:numId w:val="4"/>
      </w:numPr>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7D5644"/>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rsid w:val="00E775ED"/>
    <w:rPr>
      <w:rFonts w:asciiTheme="majorHAnsi" w:eastAsiaTheme="majorEastAsia" w:hAnsiTheme="majorHAnsi" w:cstheme="majorBidi"/>
      <w:color w:val="000000" w:themeColor="text1"/>
      <w:sz w:val="32"/>
      <w:szCs w:val="32"/>
    </w:rPr>
  </w:style>
  <w:style w:type="character" w:customStyle="1" w:styleId="3Char">
    <w:name w:val="Επικεφαλίδα 3 Char"/>
    <w:basedOn w:val="a0"/>
    <w:link w:val="3"/>
    <w:uiPriority w:val="9"/>
    <w:semiHidden/>
    <w:rsid w:val="007D5644"/>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7D5644"/>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7D5644"/>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7D5644"/>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7D5644"/>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7D5644"/>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7D5644"/>
    <w:rPr>
      <w:rFonts w:eastAsiaTheme="majorEastAsia" w:cstheme="majorBidi"/>
      <w:color w:val="272727" w:themeColor="text1" w:themeTint="D8"/>
    </w:rPr>
  </w:style>
  <w:style w:type="paragraph" w:styleId="a3">
    <w:name w:val="Title"/>
    <w:basedOn w:val="a"/>
    <w:next w:val="a"/>
    <w:link w:val="Char"/>
    <w:uiPriority w:val="10"/>
    <w:qFormat/>
    <w:rsid w:val="007D56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7D564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7D5644"/>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7D5644"/>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7D5644"/>
    <w:pPr>
      <w:spacing w:before="160"/>
      <w:jc w:val="center"/>
    </w:pPr>
    <w:rPr>
      <w:i/>
      <w:iCs/>
      <w:color w:val="404040" w:themeColor="text1" w:themeTint="BF"/>
    </w:rPr>
  </w:style>
  <w:style w:type="character" w:customStyle="1" w:styleId="Char1">
    <w:name w:val="Απόσπασμα Char"/>
    <w:basedOn w:val="a0"/>
    <w:link w:val="a5"/>
    <w:uiPriority w:val="29"/>
    <w:rsid w:val="007D5644"/>
    <w:rPr>
      <w:i/>
      <w:iCs/>
      <w:color w:val="404040" w:themeColor="text1" w:themeTint="BF"/>
    </w:rPr>
  </w:style>
  <w:style w:type="paragraph" w:styleId="a6">
    <w:name w:val="List Paragraph"/>
    <w:basedOn w:val="a"/>
    <w:uiPriority w:val="34"/>
    <w:qFormat/>
    <w:rsid w:val="007D5644"/>
    <w:pPr>
      <w:ind w:left="720"/>
      <w:contextualSpacing/>
    </w:pPr>
  </w:style>
  <w:style w:type="character" w:styleId="a7">
    <w:name w:val="Intense Emphasis"/>
    <w:basedOn w:val="a0"/>
    <w:uiPriority w:val="21"/>
    <w:qFormat/>
    <w:rsid w:val="007D5644"/>
    <w:rPr>
      <w:i/>
      <w:iCs/>
      <w:color w:val="0F4761" w:themeColor="accent1" w:themeShade="BF"/>
    </w:rPr>
  </w:style>
  <w:style w:type="paragraph" w:styleId="a8">
    <w:name w:val="Intense Quote"/>
    <w:basedOn w:val="a"/>
    <w:next w:val="a"/>
    <w:link w:val="Char2"/>
    <w:uiPriority w:val="30"/>
    <w:qFormat/>
    <w:rsid w:val="007D56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7D5644"/>
    <w:rPr>
      <w:i/>
      <w:iCs/>
      <w:color w:val="0F4761" w:themeColor="accent1" w:themeShade="BF"/>
    </w:rPr>
  </w:style>
  <w:style w:type="character" w:styleId="a9">
    <w:name w:val="Intense Reference"/>
    <w:basedOn w:val="a0"/>
    <w:uiPriority w:val="32"/>
    <w:qFormat/>
    <w:rsid w:val="007D5644"/>
    <w:rPr>
      <w:b/>
      <w:bCs/>
      <w:smallCaps/>
      <w:color w:val="0F4761" w:themeColor="accent1" w:themeShade="BF"/>
      <w:spacing w:val="5"/>
    </w:rPr>
  </w:style>
  <w:style w:type="paragraph" w:customStyle="1" w:styleId="p1">
    <w:name w:val="p1"/>
    <w:basedOn w:val="a"/>
    <w:rsid w:val="00934BD2"/>
    <w:pPr>
      <w:spacing w:after="0" w:line="240" w:lineRule="auto"/>
    </w:pPr>
    <w:rPr>
      <w:rFonts w:ascii="Times New Roman" w:eastAsia="Times New Roman" w:hAnsi="Times New Roman" w:cs="Times New Roman"/>
      <w:color w:val="000000"/>
      <w:kern w:val="0"/>
      <w:sz w:val="20"/>
      <w:szCs w:val="20"/>
      <w:lang w:eastAsia="el-GR"/>
      <w14:ligatures w14:val="none"/>
    </w:rPr>
  </w:style>
  <w:style w:type="paragraph" w:customStyle="1" w:styleId="p2">
    <w:name w:val="p2"/>
    <w:basedOn w:val="a"/>
    <w:rsid w:val="00934BD2"/>
    <w:pPr>
      <w:spacing w:after="0" w:line="240" w:lineRule="auto"/>
    </w:pPr>
    <w:rPr>
      <w:rFonts w:ascii="Times New Roman" w:eastAsia="Times New Roman" w:hAnsi="Times New Roman" w:cs="Times New Roman"/>
      <w:color w:val="000000"/>
      <w:kern w:val="0"/>
      <w:sz w:val="17"/>
      <w:szCs w:val="17"/>
      <w:lang w:eastAsia="el-GR"/>
      <w14:ligatures w14:val="none"/>
    </w:rPr>
  </w:style>
  <w:style w:type="character" w:customStyle="1" w:styleId="s1">
    <w:name w:val="s1"/>
    <w:basedOn w:val="a0"/>
    <w:rsid w:val="00934BD2"/>
    <w:rPr>
      <w:rFonts w:ascii="Times New Roman" w:hAnsi="Times New Roman" w:cs="Times New Roman" w:hint="default"/>
      <w:sz w:val="24"/>
      <w:szCs w:val="24"/>
    </w:rPr>
  </w:style>
  <w:style w:type="character" w:customStyle="1" w:styleId="s2">
    <w:name w:val="s2"/>
    <w:basedOn w:val="a0"/>
    <w:rsid w:val="00934BD2"/>
    <w:rPr>
      <w:rFonts w:ascii="Times New Roman" w:hAnsi="Times New Roman" w:cs="Times New Roman" w:hint="default"/>
      <w:sz w:val="21"/>
      <w:szCs w:val="21"/>
    </w:rPr>
  </w:style>
  <w:style w:type="paragraph" w:customStyle="1" w:styleId="p3">
    <w:name w:val="p3"/>
    <w:basedOn w:val="a"/>
    <w:rsid w:val="001576A1"/>
    <w:pPr>
      <w:spacing w:before="100" w:beforeAutospacing="1" w:after="100" w:afterAutospacing="1" w:line="240" w:lineRule="auto"/>
    </w:pPr>
    <w:rPr>
      <w:rFonts w:ascii="Times New Roman" w:eastAsia="Times New Roman" w:hAnsi="Times New Roman" w:cs="Times New Roman"/>
      <w:kern w:val="0"/>
      <w:lang w:eastAsia="el-GR"/>
      <w14:ligatures w14:val="none"/>
    </w:rPr>
  </w:style>
  <w:style w:type="character" w:customStyle="1" w:styleId="apple-tab-span">
    <w:name w:val="apple-tab-span"/>
    <w:basedOn w:val="a0"/>
    <w:rsid w:val="001576A1"/>
  </w:style>
  <w:style w:type="paragraph" w:customStyle="1" w:styleId="p4">
    <w:name w:val="p4"/>
    <w:basedOn w:val="a"/>
    <w:rsid w:val="001576A1"/>
    <w:pPr>
      <w:spacing w:before="100" w:beforeAutospacing="1" w:after="100" w:afterAutospacing="1" w:line="240" w:lineRule="auto"/>
    </w:pPr>
    <w:rPr>
      <w:rFonts w:ascii="Times New Roman" w:eastAsia="Times New Roman" w:hAnsi="Times New Roman" w:cs="Times New Roman"/>
      <w:kern w:val="0"/>
      <w:lang w:eastAsia="el-GR"/>
      <w14:ligatures w14:val="none"/>
    </w:rPr>
  </w:style>
  <w:style w:type="paragraph" w:customStyle="1" w:styleId="p5">
    <w:name w:val="p5"/>
    <w:basedOn w:val="a"/>
    <w:rsid w:val="00062384"/>
    <w:pPr>
      <w:spacing w:before="100" w:beforeAutospacing="1" w:after="100" w:afterAutospacing="1" w:line="240" w:lineRule="auto"/>
    </w:pPr>
    <w:rPr>
      <w:rFonts w:ascii="Times New Roman" w:eastAsia="Times New Roman" w:hAnsi="Times New Roman" w:cs="Times New Roman"/>
      <w:kern w:val="0"/>
      <w:lang w:eastAsia="el-GR"/>
      <w14:ligatures w14:val="none"/>
    </w:rPr>
  </w:style>
  <w:style w:type="paragraph" w:customStyle="1" w:styleId="p6">
    <w:name w:val="p6"/>
    <w:basedOn w:val="a"/>
    <w:rsid w:val="00062384"/>
    <w:pPr>
      <w:spacing w:before="100" w:beforeAutospacing="1" w:after="100" w:afterAutospacing="1" w:line="240" w:lineRule="auto"/>
    </w:pPr>
    <w:rPr>
      <w:rFonts w:ascii="Times New Roman" w:eastAsia="Times New Roman" w:hAnsi="Times New Roman" w:cs="Times New Roman"/>
      <w:kern w:val="0"/>
      <w:lang w:eastAsia="el-GR"/>
      <w14:ligatures w14:val="none"/>
    </w:rPr>
  </w:style>
  <w:style w:type="paragraph" w:styleId="aa">
    <w:name w:val="TOC Heading"/>
    <w:basedOn w:val="1"/>
    <w:next w:val="a"/>
    <w:uiPriority w:val="39"/>
    <w:unhideWhenUsed/>
    <w:qFormat/>
    <w:rsid w:val="009549B2"/>
    <w:pPr>
      <w:numPr>
        <w:numId w:val="0"/>
      </w:numPr>
      <w:spacing w:before="480" w:after="0" w:line="276" w:lineRule="auto"/>
      <w:outlineLvl w:val="9"/>
    </w:pPr>
    <w:rPr>
      <w:b/>
      <w:bCs/>
      <w:kern w:val="0"/>
      <w:sz w:val="28"/>
      <w:szCs w:val="28"/>
      <w:lang w:eastAsia="el-GR"/>
      <w14:ligatures w14:val="none"/>
    </w:rPr>
  </w:style>
  <w:style w:type="paragraph" w:styleId="10">
    <w:name w:val="toc 1"/>
    <w:basedOn w:val="a"/>
    <w:next w:val="a"/>
    <w:autoRedefine/>
    <w:uiPriority w:val="39"/>
    <w:unhideWhenUsed/>
    <w:rsid w:val="009549B2"/>
    <w:pPr>
      <w:spacing w:before="240" w:after="120"/>
    </w:pPr>
    <w:rPr>
      <w:b/>
      <w:bCs/>
      <w:sz w:val="20"/>
      <w:szCs w:val="20"/>
    </w:rPr>
  </w:style>
  <w:style w:type="paragraph" w:styleId="20">
    <w:name w:val="toc 2"/>
    <w:basedOn w:val="a"/>
    <w:next w:val="a"/>
    <w:autoRedefine/>
    <w:uiPriority w:val="39"/>
    <w:unhideWhenUsed/>
    <w:rsid w:val="009549B2"/>
    <w:pPr>
      <w:spacing w:before="120" w:after="0"/>
      <w:ind w:left="240"/>
    </w:pPr>
    <w:rPr>
      <w:i/>
      <w:iCs/>
      <w:sz w:val="20"/>
      <w:szCs w:val="20"/>
    </w:rPr>
  </w:style>
  <w:style w:type="character" w:styleId="-">
    <w:name w:val="Hyperlink"/>
    <w:basedOn w:val="a0"/>
    <w:uiPriority w:val="99"/>
    <w:unhideWhenUsed/>
    <w:rsid w:val="009549B2"/>
    <w:rPr>
      <w:color w:val="467886" w:themeColor="hyperlink"/>
      <w:u w:val="single"/>
    </w:rPr>
  </w:style>
  <w:style w:type="paragraph" w:styleId="30">
    <w:name w:val="toc 3"/>
    <w:basedOn w:val="a"/>
    <w:next w:val="a"/>
    <w:autoRedefine/>
    <w:uiPriority w:val="39"/>
    <w:semiHidden/>
    <w:unhideWhenUsed/>
    <w:rsid w:val="009549B2"/>
    <w:pPr>
      <w:spacing w:after="0"/>
      <w:ind w:left="480"/>
    </w:pPr>
    <w:rPr>
      <w:sz w:val="20"/>
      <w:szCs w:val="20"/>
    </w:rPr>
  </w:style>
  <w:style w:type="paragraph" w:styleId="40">
    <w:name w:val="toc 4"/>
    <w:basedOn w:val="a"/>
    <w:next w:val="a"/>
    <w:autoRedefine/>
    <w:uiPriority w:val="39"/>
    <w:semiHidden/>
    <w:unhideWhenUsed/>
    <w:rsid w:val="009549B2"/>
    <w:pPr>
      <w:spacing w:after="0"/>
      <w:ind w:left="720"/>
    </w:pPr>
    <w:rPr>
      <w:sz w:val="20"/>
      <w:szCs w:val="20"/>
    </w:rPr>
  </w:style>
  <w:style w:type="paragraph" w:styleId="50">
    <w:name w:val="toc 5"/>
    <w:basedOn w:val="a"/>
    <w:next w:val="a"/>
    <w:autoRedefine/>
    <w:uiPriority w:val="39"/>
    <w:semiHidden/>
    <w:unhideWhenUsed/>
    <w:rsid w:val="009549B2"/>
    <w:pPr>
      <w:spacing w:after="0"/>
      <w:ind w:left="960"/>
    </w:pPr>
    <w:rPr>
      <w:sz w:val="20"/>
      <w:szCs w:val="20"/>
    </w:rPr>
  </w:style>
  <w:style w:type="paragraph" w:styleId="60">
    <w:name w:val="toc 6"/>
    <w:basedOn w:val="a"/>
    <w:next w:val="a"/>
    <w:autoRedefine/>
    <w:uiPriority w:val="39"/>
    <w:semiHidden/>
    <w:unhideWhenUsed/>
    <w:rsid w:val="009549B2"/>
    <w:pPr>
      <w:spacing w:after="0"/>
      <w:ind w:left="1200"/>
    </w:pPr>
    <w:rPr>
      <w:sz w:val="20"/>
      <w:szCs w:val="20"/>
    </w:rPr>
  </w:style>
  <w:style w:type="paragraph" w:styleId="70">
    <w:name w:val="toc 7"/>
    <w:basedOn w:val="a"/>
    <w:next w:val="a"/>
    <w:autoRedefine/>
    <w:uiPriority w:val="39"/>
    <w:semiHidden/>
    <w:unhideWhenUsed/>
    <w:rsid w:val="009549B2"/>
    <w:pPr>
      <w:spacing w:after="0"/>
      <w:ind w:left="1440"/>
    </w:pPr>
    <w:rPr>
      <w:sz w:val="20"/>
      <w:szCs w:val="20"/>
    </w:rPr>
  </w:style>
  <w:style w:type="paragraph" w:styleId="80">
    <w:name w:val="toc 8"/>
    <w:basedOn w:val="a"/>
    <w:next w:val="a"/>
    <w:autoRedefine/>
    <w:uiPriority w:val="39"/>
    <w:semiHidden/>
    <w:unhideWhenUsed/>
    <w:rsid w:val="009549B2"/>
    <w:pPr>
      <w:spacing w:after="0"/>
      <w:ind w:left="1680"/>
    </w:pPr>
    <w:rPr>
      <w:sz w:val="20"/>
      <w:szCs w:val="20"/>
    </w:rPr>
  </w:style>
  <w:style w:type="paragraph" w:styleId="90">
    <w:name w:val="toc 9"/>
    <w:basedOn w:val="a"/>
    <w:next w:val="a"/>
    <w:autoRedefine/>
    <w:uiPriority w:val="39"/>
    <w:semiHidden/>
    <w:unhideWhenUsed/>
    <w:rsid w:val="009549B2"/>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00335">
      <w:bodyDiv w:val="1"/>
      <w:marLeft w:val="0"/>
      <w:marRight w:val="0"/>
      <w:marTop w:val="0"/>
      <w:marBottom w:val="0"/>
      <w:divBdr>
        <w:top w:val="none" w:sz="0" w:space="0" w:color="auto"/>
        <w:left w:val="none" w:sz="0" w:space="0" w:color="auto"/>
        <w:bottom w:val="none" w:sz="0" w:space="0" w:color="auto"/>
        <w:right w:val="none" w:sz="0" w:space="0" w:color="auto"/>
      </w:divBdr>
    </w:div>
    <w:div w:id="147521680">
      <w:bodyDiv w:val="1"/>
      <w:marLeft w:val="0"/>
      <w:marRight w:val="0"/>
      <w:marTop w:val="0"/>
      <w:marBottom w:val="0"/>
      <w:divBdr>
        <w:top w:val="none" w:sz="0" w:space="0" w:color="auto"/>
        <w:left w:val="none" w:sz="0" w:space="0" w:color="auto"/>
        <w:bottom w:val="none" w:sz="0" w:space="0" w:color="auto"/>
        <w:right w:val="none" w:sz="0" w:space="0" w:color="auto"/>
      </w:divBdr>
    </w:div>
    <w:div w:id="165479574">
      <w:bodyDiv w:val="1"/>
      <w:marLeft w:val="0"/>
      <w:marRight w:val="0"/>
      <w:marTop w:val="0"/>
      <w:marBottom w:val="0"/>
      <w:divBdr>
        <w:top w:val="none" w:sz="0" w:space="0" w:color="auto"/>
        <w:left w:val="none" w:sz="0" w:space="0" w:color="auto"/>
        <w:bottom w:val="none" w:sz="0" w:space="0" w:color="auto"/>
        <w:right w:val="none" w:sz="0" w:space="0" w:color="auto"/>
      </w:divBdr>
    </w:div>
    <w:div w:id="203949511">
      <w:bodyDiv w:val="1"/>
      <w:marLeft w:val="0"/>
      <w:marRight w:val="0"/>
      <w:marTop w:val="0"/>
      <w:marBottom w:val="0"/>
      <w:divBdr>
        <w:top w:val="none" w:sz="0" w:space="0" w:color="auto"/>
        <w:left w:val="none" w:sz="0" w:space="0" w:color="auto"/>
        <w:bottom w:val="none" w:sz="0" w:space="0" w:color="auto"/>
        <w:right w:val="none" w:sz="0" w:space="0" w:color="auto"/>
      </w:divBdr>
    </w:div>
    <w:div w:id="240914223">
      <w:bodyDiv w:val="1"/>
      <w:marLeft w:val="0"/>
      <w:marRight w:val="0"/>
      <w:marTop w:val="0"/>
      <w:marBottom w:val="0"/>
      <w:divBdr>
        <w:top w:val="none" w:sz="0" w:space="0" w:color="auto"/>
        <w:left w:val="none" w:sz="0" w:space="0" w:color="auto"/>
        <w:bottom w:val="none" w:sz="0" w:space="0" w:color="auto"/>
        <w:right w:val="none" w:sz="0" w:space="0" w:color="auto"/>
      </w:divBdr>
    </w:div>
    <w:div w:id="266928689">
      <w:bodyDiv w:val="1"/>
      <w:marLeft w:val="0"/>
      <w:marRight w:val="0"/>
      <w:marTop w:val="0"/>
      <w:marBottom w:val="0"/>
      <w:divBdr>
        <w:top w:val="none" w:sz="0" w:space="0" w:color="auto"/>
        <w:left w:val="none" w:sz="0" w:space="0" w:color="auto"/>
        <w:bottom w:val="none" w:sz="0" w:space="0" w:color="auto"/>
        <w:right w:val="none" w:sz="0" w:space="0" w:color="auto"/>
      </w:divBdr>
    </w:div>
    <w:div w:id="272834706">
      <w:bodyDiv w:val="1"/>
      <w:marLeft w:val="0"/>
      <w:marRight w:val="0"/>
      <w:marTop w:val="0"/>
      <w:marBottom w:val="0"/>
      <w:divBdr>
        <w:top w:val="none" w:sz="0" w:space="0" w:color="auto"/>
        <w:left w:val="none" w:sz="0" w:space="0" w:color="auto"/>
        <w:bottom w:val="none" w:sz="0" w:space="0" w:color="auto"/>
        <w:right w:val="none" w:sz="0" w:space="0" w:color="auto"/>
      </w:divBdr>
    </w:div>
    <w:div w:id="344481097">
      <w:bodyDiv w:val="1"/>
      <w:marLeft w:val="0"/>
      <w:marRight w:val="0"/>
      <w:marTop w:val="0"/>
      <w:marBottom w:val="0"/>
      <w:divBdr>
        <w:top w:val="none" w:sz="0" w:space="0" w:color="auto"/>
        <w:left w:val="none" w:sz="0" w:space="0" w:color="auto"/>
        <w:bottom w:val="none" w:sz="0" w:space="0" w:color="auto"/>
        <w:right w:val="none" w:sz="0" w:space="0" w:color="auto"/>
      </w:divBdr>
    </w:div>
    <w:div w:id="355811108">
      <w:bodyDiv w:val="1"/>
      <w:marLeft w:val="0"/>
      <w:marRight w:val="0"/>
      <w:marTop w:val="0"/>
      <w:marBottom w:val="0"/>
      <w:divBdr>
        <w:top w:val="none" w:sz="0" w:space="0" w:color="auto"/>
        <w:left w:val="none" w:sz="0" w:space="0" w:color="auto"/>
        <w:bottom w:val="none" w:sz="0" w:space="0" w:color="auto"/>
        <w:right w:val="none" w:sz="0" w:space="0" w:color="auto"/>
      </w:divBdr>
    </w:div>
    <w:div w:id="424880987">
      <w:bodyDiv w:val="1"/>
      <w:marLeft w:val="0"/>
      <w:marRight w:val="0"/>
      <w:marTop w:val="0"/>
      <w:marBottom w:val="0"/>
      <w:divBdr>
        <w:top w:val="none" w:sz="0" w:space="0" w:color="auto"/>
        <w:left w:val="none" w:sz="0" w:space="0" w:color="auto"/>
        <w:bottom w:val="none" w:sz="0" w:space="0" w:color="auto"/>
        <w:right w:val="none" w:sz="0" w:space="0" w:color="auto"/>
      </w:divBdr>
    </w:div>
    <w:div w:id="492722157">
      <w:bodyDiv w:val="1"/>
      <w:marLeft w:val="0"/>
      <w:marRight w:val="0"/>
      <w:marTop w:val="0"/>
      <w:marBottom w:val="0"/>
      <w:divBdr>
        <w:top w:val="none" w:sz="0" w:space="0" w:color="auto"/>
        <w:left w:val="none" w:sz="0" w:space="0" w:color="auto"/>
        <w:bottom w:val="none" w:sz="0" w:space="0" w:color="auto"/>
        <w:right w:val="none" w:sz="0" w:space="0" w:color="auto"/>
      </w:divBdr>
    </w:div>
    <w:div w:id="497229791">
      <w:bodyDiv w:val="1"/>
      <w:marLeft w:val="0"/>
      <w:marRight w:val="0"/>
      <w:marTop w:val="0"/>
      <w:marBottom w:val="0"/>
      <w:divBdr>
        <w:top w:val="none" w:sz="0" w:space="0" w:color="auto"/>
        <w:left w:val="none" w:sz="0" w:space="0" w:color="auto"/>
        <w:bottom w:val="none" w:sz="0" w:space="0" w:color="auto"/>
        <w:right w:val="none" w:sz="0" w:space="0" w:color="auto"/>
      </w:divBdr>
    </w:div>
    <w:div w:id="513811815">
      <w:bodyDiv w:val="1"/>
      <w:marLeft w:val="0"/>
      <w:marRight w:val="0"/>
      <w:marTop w:val="0"/>
      <w:marBottom w:val="0"/>
      <w:divBdr>
        <w:top w:val="none" w:sz="0" w:space="0" w:color="auto"/>
        <w:left w:val="none" w:sz="0" w:space="0" w:color="auto"/>
        <w:bottom w:val="none" w:sz="0" w:space="0" w:color="auto"/>
        <w:right w:val="none" w:sz="0" w:space="0" w:color="auto"/>
      </w:divBdr>
    </w:div>
    <w:div w:id="545141188">
      <w:bodyDiv w:val="1"/>
      <w:marLeft w:val="0"/>
      <w:marRight w:val="0"/>
      <w:marTop w:val="0"/>
      <w:marBottom w:val="0"/>
      <w:divBdr>
        <w:top w:val="none" w:sz="0" w:space="0" w:color="auto"/>
        <w:left w:val="none" w:sz="0" w:space="0" w:color="auto"/>
        <w:bottom w:val="none" w:sz="0" w:space="0" w:color="auto"/>
        <w:right w:val="none" w:sz="0" w:space="0" w:color="auto"/>
      </w:divBdr>
    </w:div>
    <w:div w:id="556359980">
      <w:bodyDiv w:val="1"/>
      <w:marLeft w:val="0"/>
      <w:marRight w:val="0"/>
      <w:marTop w:val="0"/>
      <w:marBottom w:val="0"/>
      <w:divBdr>
        <w:top w:val="none" w:sz="0" w:space="0" w:color="auto"/>
        <w:left w:val="none" w:sz="0" w:space="0" w:color="auto"/>
        <w:bottom w:val="none" w:sz="0" w:space="0" w:color="auto"/>
        <w:right w:val="none" w:sz="0" w:space="0" w:color="auto"/>
      </w:divBdr>
    </w:div>
    <w:div w:id="702826824">
      <w:bodyDiv w:val="1"/>
      <w:marLeft w:val="0"/>
      <w:marRight w:val="0"/>
      <w:marTop w:val="0"/>
      <w:marBottom w:val="0"/>
      <w:divBdr>
        <w:top w:val="none" w:sz="0" w:space="0" w:color="auto"/>
        <w:left w:val="none" w:sz="0" w:space="0" w:color="auto"/>
        <w:bottom w:val="none" w:sz="0" w:space="0" w:color="auto"/>
        <w:right w:val="none" w:sz="0" w:space="0" w:color="auto"/>
      </w:divBdr>
    </w:div>
    <w:div w:id="707413490">
      <w:bodyDiv w:val="1"/>
      <w:marLeft w:val="0"/>
      <w:marRight w:val="0"/>
      <w:marTop w:val="0"/>
      <w:marBottom w:val="0"/>
      <w:divBdr>
        <w:top w:val="none" w:sz="0" w:space="0" w:color="auto"/>
        <w:left w:val="none" w:sz="0" w:space="0" w:color="auto"/>
        <w:bottom w:val="none" w:sz="0" w:space="0" w:color="auto"/>
        <w:right w:val="none" w:sz="0" w:space="0" w:color="auto"/>
      </w:divBdr>
    </w:div>
    <w:div w:id="708922308">
      <w:bodyDiv w:val="1"/>
      <w:marLeft w:val="0"/>
      <w:marRight w:val="0"/>
      <w:marTop w:val="0"/>
      <w:marBottom w:val="0"/>
      <w:divBdr>
        <w:top w:val="none" w:sz="0" w:space="0" w:color="auto"/>
        <w:left w:val="none" w:sz="0" w:space="0" w:color="auto"/>
        <w:bottom w:val="none" w:sz="0" w:space="0" w:color="auto"/>
        <w:right w:val="none" w:sz="0" w:space="0" w:color="auto"/>
      </w:divBdr>
    </w:div>
    <w:div w:id="780874768">
      <w:bodyDiv w:val="1"/>
      <w:marLeft w:val="0"/>
      <w:marRight w:val="0"/>
      <w:marTop w:val="0"/>
      <w:marBottom w:val="0"/>
      <w:divBdr>
        <w:top w:val="none" w:sz="0" w:space="0" w:color="auto"/>
        <w:left w:val="none" w:sz="0" w:space="0" w:color="auto"/>
        <w:bottom w:val="none" w:sz="0" w:space="0" w:color="auto"/>
        <w:right w:val="none" w:sz="0" w:space="0" w:color="auto"/>
      </w:divBdr>
    </w:div>
    <w:div w:id="800532864">
      <w:bodyDiv w:val="1"/>
      <w:marLeft w:val="0"/>
      <w:marRight w:val="0"/>
      <w:marTop w:val="0"/>
      <w:marBottom w:val="0"/>
      <w:divBdr>
        <w:top w:val="none" w:sz="0" w:space="0" w:color="auto"/>
        <w:left w:val="none" w:sz="0" w:space="0" w:color="auto"/>
        <w:bottom w:val="none" w:sz="0" w:space="0" w:color="auto"/>
        <w:right w:val="none" w:sz="0" w:space="0" w:color="auto"/>
      </w:divBdr>
    </w:div>
    <w:div w:id="848905975">
      <w:bodyDiv w:val="1"/>
      <w:marLeft w:val="0"/>
      <w:marRight w:val="0"/>
      <w:marTop w:val="0"/>
      <w:marBottom w:val="0"/>
      <w:divBdr>
        <w:top w:val="none" w:sz="0" w:space="0" w:color="auto"/>
        <w:left w:val="none" w:sz="0" w:space="0" w:color="auto"/>
        <w:bottom w:val="none" w:sz="0" w:space="0" w:color="auto"/>
        <w:right w:val="none" w:sz="0" w:space="0" w:color="auto"/>
      </w:divBdr>
    </w:div>
    <w:div w:id="872574342">
      <w:bodyDiv w:val="1"/>
      <w:marLeft w:val="0"/>
      <w:marRight w:val="0"/>
      <w:marTop w:val="0"/>
      <w:marBottom w:val="0"/>
      <w:divBdr>
        <w:top w:val="none" w:sz="0" w:space="0" w:color="auto"/>
        <w:left w:val="none" w:sz="0" w:space="0" w:color="auto"/>
        <w:bottom w:val="none" w:sz="0" w:space="0" w:color="auto"/>
        <w:right w:val="none" w:sz="0" w:space="0" w:color="auto"/>
      </w:divBdr>
    </w:div>
    <w:div w:id="881360240">
      <w:bodyDiv w:val="1"/>
      <w:marLeft w:val="0"/>
      <w:marRight w:val="0"/>
      <w:marTop w:val="0"/>
      <w:marBottom w:val="0"/>
      <w:divBdr>
        <w:top w:val="none" w:sz="0" w:space="0" w:color="auto"/>
        <w:left w:val="none" w:sz="0" w:space="0" w:color="auto"/>
        <w:bottom w:val="none" w:sz="0" w:space="0" w:color="auto"/>
        <w:right w:val="none" w:sz="0" w:space="0" w:color="auto"/>
      </w:divBdr>
    </w:div>
    <w:div w:id="926305253">
      <w:bodyDiv w:val="1"/>
      <w:marLeft w:val="0"/>
      <w:marRight w:val="0"/>
      <w:marTop w:val="0"/>
      <w:marBottom w:val="0"/>
      <w:divBdr>
        <w:top w:val="none" w:sz="0" w:space="0" w:color="auto"/>
        <w:left w:val="none" w:sz="0" w:space="0" w:color="auto"/>
        <w:bottom w:val="none" w:sz="0" w:space="0" w:color="auto"/>
        <w:right w:val="none" w:sz="0" w:space="0" w:color="auto"/>
      </w:divBdr>
    </w:div>
    <w:div w:id="934674805">
      <w:bodyDiv w:val="1"/>
      <w:marLeft w:val="0"/>
      <w:marRight w:val="0"/>
      <w:marTop w:val="0"/>
      <w:marBottom w:val="0"/>
      <w:divBdr>
        <w:top w:val="none" w:sz="0" w:space="0" w:color="auto"/>
        <w:left w:val="none" w:sz="0" w:space="0" w:color="auto"/>
        <w:bottom w:val="none" w:sz="0" w:space="0" w:color="auto"/>
        <w:right w:val="none" w:sz="0" w:space="0" w:color="auto"/>
      </w:divBdr>
    </w:div>
    <w:div w:id="951398136">
      <w:bodyDiv w:val="1"/>
      <w:marLeft w:val="0"/>
      <w:marRight w:val="0"/>
      <w:marTop w:val="0"/>
      <w:marBottom w:val="0"/>
      <w:divBdr>
        <w:top w:val="none" w:sz="0" w:space="0" w:color="auto"/>
        <w:left w:val="none" w:sz="0" w:space="0" w:color="auto"/>
        <w:bottom w:val="none" w:sz="0" w:space="0" w:color="auto"/>
        <w:right w:val="none" w:sz="0" w:space="0" w:color="auto"/>
      </w:divBdr>
    </w:div>
    <w:div w:id="1016735069">
      <w:bodyDiv w:val="1"/>
      <w:marLeft w:val="0"/>
      <w:marRight w:val="0"/>
      <w:marTop w:val="0"/>
      <w:marBottom w:val="0"/>
      <w:divBdr>
        <w:top w:val="none" w:sz="0" w:space="0" w:color="auto"/>
        <w:left w:val="none" w:sz="0" w:space="0" w:color="auto"/>
        <w:bottom w:val="none" w:sz="0" w:space="0" w:color="auto"/>
        <w:right w:val="none" w:sz="0" w:space="0" w:color="auto"/>
      </w:divBdr>
    </w:div>
    <w:div w:id="1064985590">
      <w:bodyDiv w:val="1"/>
      <w:marLeft w:val="0"/>
      <w:marRight w:val="0"/>
      <w:marTop w:val="0"/>
      <w:marBottom w:val="0"/>
      <w:divBdr>
        <w:top w:val="none" w:sz="0" w:space="0" w:color="auto"/>
        <w:left w:val="none" w:sz="0" w:space="0" w:color="auto"/>
        <w:bottom w:val="none" w:sz="0" w:space="0" w:color="auto"/>
        <w:right w:val="none" w:sz="0" w:space="0" w:color="auto"/>
      </w:divBdr>
    </w:div>
    <w:div w:id="1088238153">
      <w:bodyDiv w:val="1"/>
      <w:marLeft w:val="0"/>
      <w:marRight w:val="0"/>
      <w:marTop w:val="0"/>
      <w:marBottom w:val="0"/>
      <w:divBdr>
        <w:top w:val="none" w:sz="0" w:space="0" w:color="auto"/>
        <w:left w:val="none" w:sz="0" w:space="0" w:color="auto"/>
        <w:bottom w:val="none" w:sz="0" w:space="0" w:color="auto"/>
        <w:right w:val="none" w:sz="0" w:space="0" w:color="auto"/>
      </w:divBdr>
    </w:div>
    <w:div w:id="1126506180">
      <w:bodyDiv w:val="1"/>
      <w:marLeft w:val="0"/>
      <w:marRight w:val="0"/>
      <w:marTop w:val="0"/>
      <w:marBottom w:val="0"/>
      <w:divBdr>
        <w:top w:val="none" w:sz="0" w:space="0" w:color="auto"/>
        <w:left w:val="none" w:sz="0" w:space="0" w:color="auto"/>
        <w:bottom w:val="none" w:sz="0" w:space="0" w:color="auto"/>
        <w:right w:val="none" w:sz="0" w:space="0" w:color="auto"/>
      </w:divBdr>
    </w:div>
    <w:div w:id="1239942560">
      <w:bodyDiv w:val="1"/>
      <w:marLeft w:val="0"/>
      <w:marRight w:val="0"/>
      <w:marTop w:val="0"/>
      <w:marBottom w:val="0"/>
      <w:divBdr>
        <w:top w:val="none" w:sz="0" w:space="0" w:color="auto"/>
        <w:left w:val="none" w:sz="0" w:space="0" w:color="auto"/>
        <w:bottom w:val="none" w:sz="0" w:space="0" w:color="auto"/>
        <w:right w:val="none" w:sz="0" w:space="0" w:color="auto"/>
      </w:divBdr>
    </w:div>
    <w:div w:id="1349913883">
      <w:bodyDiv w:val="1"/>
      <w:marLeft w:val="0"/>
      <w:marRight w:val="0"/>
      <w:marTop w:val="0"/>
      <w:marBottom w:val="0"/>
      <w:divBdr>
        <w:top w:val="none" w:sz="0" w:space="0" w:color="auto"/>
        <w:left w:val="none" w:sz="0" w:space="0" w:color="auto"/>
        <w:bottom w:val="none" w:sz="0" w:space="0" w:color="auto"/>
        <w:right w:val="none" w:sz="0" w:space="0" w:color="auto"/>
      </w:divBdr>
    </w:div>
    <w:div w:id="1360859157">
      <w:bodyDiv w:val="1"/>
      <w:marLeft w:val="0"/>
      <w:marRight w:val="0"/>
      <w:marTop w:val="0"/>
      <w:marBottom w:val="0"/>
      <w:divBdr>
        <w:top w:val="none" w:sz="0" w:space="0" w:color="auto"/>
        <w:left w:val="none" w:sz="0" w:space="0" w:color="auto"/>
        <w:bottom w:val="none" w:sz="0" w:space="0" w:color="auto"/>
        <w:right w:val="none" w:sz="0" w:space="0" w:color="auto"/>
      </w:divBdr>
    </w:div>
    <w:div w:id="1407529780">
      <w:bodyDiv w:val="1"/>
      <w:marLeft w:val="0"/>
      <w:marRight w:val="0"/>
      <w:marTop w:val="0"/>
      <w:marBottom w:val="0"/>
      <w:divBdr>
        <w:top w:val="none" w:sz="0" w:space="0" w:color="auto"/>
        <w:left w:val="none" w:sz="0" w:space="0" w:color="auto"/>
        <w:bottom w:val="none" w:sz="0" w:space="0" w:color="auto"/>
        <w:right w:val="none" w:sz="0" w:space="0" w:color="auto"/>
      </w:divBdr>
    </w:div>
    <w:div w:id="1411123163">
      <w:bodyDiv w:val="1"/>
      <w:marLeft w:val="0"/>
      <w:marRight w:val="0"/>
      <w:marTop w:val="0"/>
      <w:marBottom w:val="0"/>
      <w:divBdr>
        <w:top w:val="none" w:sz="0" w:space="0" w:color="auto"/>
        <w:left w:val="none" w:sz="0" w:space="0" w:color="auto"/>
        <w:bottom w:val="none" w:sz="0" w:space="0" w:color="auto"/>
        <w:right w:val="none" w:sz="0" w:space="0" w:color="auto"/>
      </w:divBdr>
    </w:div>
    <w:div w:id="1416198246">
      <w:bodyDiv w:val="1"/>
      <w:marLeft w:val="0"/>
      <w:marRight w:val="0"/>
      <w:marTop w:val="0"/>
      <w:marBottom w:val="0"/>
      <w:divBdr>
        <w:top w:val="none" w:sz="0" w:space="0" w:color="auto"/>
        <w:left w:val="none" w:sz="0" w:space="0" w:color="auto"/>
        <w:bottom w:val="none" w:sz="0" w:space="0" w:color="auto"/>
        <w:right w:val="none" w:sz="0" w:space="0" w:color="auto"/>
      </w:divBdr>
    </w:div>
    <w:div w:id="1435395208">
      <w:bodyDiv w:val="1"/>
      <w:marLeft w:val="0"/>
      <w:marRight w:val="0"/>
      <w:marTop w:val="0"/>
      <w:marBottom w:val="0"/>
      <w:divBdr>
        <w:top w:val="none" w:sz="0" w:space="0" w:color="auto"/>
        <w:left w:val="none" w:sz="0" w:space="0" w:color="auto"/>
        <w:bottom w:val="none" w:sz="0" w:space="0" w:color="auto"/>
        <w:right w:val="none" w:sz="0" w:space="0" w:color="auto"/>
      </w:divBdr>
    </w:div>
    <w:div w:id="1461611871">
      <w:bodyDiv w:val="1"/>
      <w:marLeft w:val="0"/>
      <w:marRight w:val="0"/>
      <w:marTop w:val="0"/>
      <w:marBottom w:val="0"/>
      <w:divBdr>
        <w:top w:val="none" w:sz="0" w:space="0" w:color="auto"/>
        <w:left w:val="none" w:sz="0" w:space="0" w:color="auto"/>
        <w:bottom w:val="none" w:sz="0" w:space="0" w:color="auto"/>
        <w:right w:val="none" w:sz="0" w:space="0" w:color="auto"/>
      </w:divBdr>
    </w:div>
    <w:div w:id="1501776685">
      <w:bodyDiv w:val="1"/>
      <w:marLeft w:val="0"/>
      <w:marRight w:val="0"/>
      <w:marTop w:val="0"/>
      <w:marBottom w:val="0"/>
      <w:divBdr>
        <w:top w:val="none" w:sz="0" w:space="0" w:color="auto"/>
        <w:left w:val="none" w:sz="0" w:space="0" w:color="auto"/>
        <w:bottom w:val="none" w:sz="0" w:space="0" w:color="auto"/>
        <w:right w:val="none" w:sz="0" w:space="0" w:color="auto"/>
      </w:divBdr>
    </w:div>
    <w:div w:id="1548486944">
      <w:bodyDiv w:val="1"/>
      <w:marLeft w:val="0"/>
      <w:marRight w:val="0"/>
      <w:marTop w:val="0"/>
      <w:marBottom w:val="0"/>
      <w:divBdr>
        <w:top w:val="none" w:sz="0" w:space="0" w:color="auto"/>
        <w:left w:val="none" w:sz="0" w:space="0" w:color="auto"/>
        <w:bottom w:val="none" w:sz="0" w:space="0" w:color="auto"/>
        <w:right w:val="none" w:sz="0" w:space="0" w:color="auto"/>
      </w:divBdr>
    </w:div>
    <w:div w:id="1549681222">
      <w:bodyDiv w:val="1"/>
      <w:marLeft w:val="0"/>
      <w:marRight w:val="0"/>
      <w:marTop w:val="0"/>
      <w:marBottom w:val="0"/>
      <w:divBdr>
        <w:top w:val="none" w:sz="0" w:space="0" w:color="auto"/>
        <w:left w:val="none" w:sz="0" w:space="0" w:color="auto"/>
        <w:bottom w:val="none" w:sz="0" w:space="0" w:color="auto"/>
        <w:right w:val="none" w:sz="0" w:space="0" w:color="auto"/>
      </w:divBdr>
    </w:div>
    <w:div w:id="1724793402">
      <w:bodyDiv w:val="1"/>
      <w:marLeft w:val="0"/>
      <w:marRight w:val="0"/>
      <w:marTop w:val="0"/>
      <w:marBottom w:val="0"/>
      <w:divBdr>
        <w:top w:val="none" w:sz="0" w:space="0" w:color="auto"/>
        <w:left w:val="none" w:sz="0" w:space="0" w:color="auto"/>
        <w:bottom w:val="none" w:sz="0" w:space="0" w:color="auto"/>
        <w:right w:val="none" w:sz="0" w:space="0" w:color="auto"/>
      </w:divBdr>
    </w:div>
    <w:div w:id="1808011384">
      <w:bodyDiv w:val="1"/>
      <w:marLeft w:val="0"/>
      <w:marRight w:val="0"/>
      <w:marTop w:val="0"/>
      <w:marBottom w:val="0"/>
      <w:divBdr>
        <w:top w:val="none" w:sz="0" w:space="0" w:color="auto"/>
        <w:left w:val="none" w:sz="0" w:space="0" w:color="auto"/>
        <w:bottom w:val="none" w:sz="0" w:space="0" w:color="auto"/>
        <w:right w:val="none" w:sz="0" w:space="0" w:color="auto"/>
      </w:divBdr>
    </w:div>
    <w:div w:id="1868251133">
      <w:bodyDiv w:val="1"/>
      <w:marLeft w:val="0"/>
      <w:marRight w:val="0"/>
      <w:marTop w:val="0"/>
      <w:marBottom w:val="0"/>
      <w:divBdr>
        <w:top w:val="none" w:sz="0" w:space="0" w:color="auto"/>
        <w:left w:val="none" w:sz="0" w:space="0" w:color="auto"/>
        <w:bottom w:val="none" w:sz="0" w:space="0" w:color="auto"/>
        <w:right w:val="none" w:sz="0" w:space="0" w:color="auto"/>
      </w:divBdr>
    </w:div>
    <w:div w:id="1893467984">
      <w:bodyDiv w:val="1"/>
      <w:marLeft w:val="0"/>
      <w:marRight w:val="0"/>
      <w:marTop w:val="0"/>
      <w:marBottom w:val="0"/>
      <w:divBdr>
        <w:top w:val="none" w:sz="0" w:space="0" w:color="auto"/>
        <w:left w:val="none" w:sz="0" w:space="0" w:color="auto"/>
        <w:bottom w:val="none" w:sz="0" w:space="0" w:color="auto"/>
        <w:right w:val="none" w:sz="0" w:space="0" w:color="auto"/>
      </w:divBdr>
    </w:div>
    <w:div w:id="1934512015">
      <w:bodyDiv w:val="1"/>
      <w:marLeft w:val="0"/>
      <w:marRight w:val="0"/>
      <w:marTop w:val="0"/>
      <w:marBottom w:val="0"/>
      <w:divBdr>
        <w:top w:val="none" w:sz="0" w:space="0" w:color="auto"/>
        <w:left w:val="none" w:sz="0" w:space="0" w:color="auto"/>
        <w:bottom w:val="none" w:sz="0" w:space="0" w:color="auto"/>
        <w:right w:val="none" w:sz="0" w:space="0" w:color="auto"/>
      </w:divBdr>
    </w:div>
    <w:div w:id="2008970618">
      <w:bodyDiv w:val="1"/>
      <w:marLeft w:val="0"/>
      <w:marRight w:val="0"/>
      <w:marTop w:val="0"/>
      <w:marBottom w:val="0"/>
      <w:divBdr>
        <w:top w:val="none" w:sz="0" w:space="0" w:color="auto"/>
        <w:left w:val="none" w:sz="0" w:space="0" w:color="auto"/>
        <w:bottom w:val="none" w:sz="0" w:space="0" w:color="auto"/>
        <w:right w:val="none" w:sz="0" w:space="0" w:color="auto"/>
      </w:divBdr>
    </w:div>
    <w:div w:id="2033409029">
      <w:bodyDiv w:val="1"/>
      <w:marLeft w:val="0"/>
      <w:marRight w:val="0"/>
      <w:marTop w:val="0"/>
      <w:marBottom w:val="0"/>
      <w:divBdr>
        <w:top w:val="none" w:sz="0" w:space="0" w:color="auto"/>
        <w:left w:val="none" w:sz="0" w:space="0" w:color="auto"/>
        <w:bottom w:val="none" w:sz="0" w:space="0" w:color="auto"/>
        <w:right w:val="none" w:sz="0" w:space="0" w:color="auto"/>
      </w:divBdr>
    </w:div>
    <w:div w:id="2048944661">
      <w:bodyDiv w:val="1"/>
      <w:marLeft w:val="0"/>
      <w:marRight w:val="0"/>
      <w:marTop w:val="0"/>
      <w:marBottom w:val="0"/>
      <w:divBdr>
        <w:top w:val="none" w:sz="0" w:space="0" w:color="auto"/>
        <w:left w:val="none" w:sz="0" w:space="0" w:color="auto"/>
        <w:bottom w:val="none" w:sz="0" w:space="0" w:color="auto"/>
        <w:right w:val="none" w:sz="0" w:space="0" w:color="auto"/>
      </w:divBdr>
    </w:div>
    <w:div w:id="2117748164">
      <w:bodyDiv w:val="1"/>
      <w:marLeft w:val="0"/>
      <w:marRight w:val="0"/>
      <w:marTop w:val="0"/>
      <w:marBottom w:val="0"/>
      <w:divBdr>
        <w:top w:val="none" w:sz="0" w:space="0" w:color="auto"/>
        <w:left w:val="none" w:sz="0" w:space="0" w:color="auto"/>
        <w:bottom w:val="none" w:sz="0" w:space="0" w:color="auto"/>
        <w:right w:val="none" w:sz="0" w:space="0" w:color="auto"/>
      </w:divBdr>
    </w:div>
    <w:div w:id="2133016385">
      <w:bodyDiv w:val="1"/>
      <w:marLeft w:val="0"/>
      <w:marRight w:val="0"/>
      <w:marTop w:val="0"/>
      <w:marBottom w:val="0"/>
      <w:divBdr>
        <w:top w:val="none" w:sz="0" w:space="0" w:color="auto"/>
        <w:left w:val="none" w:sz="0" w:space="0" w:color="auto"/>
        <w:bottom w:val="none" w:sz="0" w:space="0" w:color="auto"/>
        <w:right w:val="none" w:sz="0" w:space="0" w:color="auto"/>
      </w:divBdr>
    </w:div>
    <w:div w:id="2145155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D1244-0C2D-F541-8D97-0C810A829C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2681</TotalTime>
  <Pages>30</Pages>
  <Words>8133</Words>
  <Characters>43919</Characters>
  <Application>Microsoft Office Word</Application>
  <DocSecurity>0</DocSecurity>
  <Lines>365</Lines>
  <Paragraphs>103</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51949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Γεωργιος Βαρβερης</dc:creator>
  <cp:keywords/>
  <dc:description/>
  <cp:lastModifiedBy>Γεωργιος Βαρβερης</cp:lastModifiedBy>
  <cp:revision>11</cp:revision>
  <dcterms:created xsi:type="dcterms:W3CDTF">2025-03-14T14:10:00Z</dcterms:created>
  <dcterms:modified xsi:type="dcterms:W3CDTF">2025-04-10T11:33:00Z</dcterms:modified>
</cp:coreProperties>
</file>