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№7: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11</w:t>
      </w:r>
      <w:r>
        <w:t xml:space="preserve"> </w:t>
      </w:r>
      <w:r>
        <w:t xml:space="preserve">December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5" w:name="выполнение-работы"/>
    <w:p>
      <w:pPr>
        <w:pStyle w:val="Heading1"/>
      </w:pPr>
      <w:r>
        <w:t xml:space="preserve">Выполнение работы</w:t>
      </w:r>
    </w:p>
    <w:bookmarkStart w:id="23" w:name="алфавит"/>
    <w:p>
      <w:pPr>
        <w:pStyle w:val="Heading2"/>
      </w:pPr>
      <w:r>
        <w:t xml:space="preserve">Алфавит</w:t>
      </w:r>
    </w:p>
    <w:p>
      <w:pPr>
        <w:pStyle w:val="FirstParagraph"/>
      </w:pPr>
      <w:r>
        <w:t xml:space="preserve">Задала алфавит из русских букв и алфавит из соответствующих им шестнадцетиричных чисел.</w:t>
      </w:r>
    </w:p>
    <w:p>
      <w:pPr>
        <w:pStyle w:val="CaptionedFigure"/>
      </w:pPr>
      <w:bookmarkStart w:id="22" w:name="fig:001"/>
      <w:r>
        <w:drawing>
          <wp:inline>
            <wp:extent cx="5334000" cy="1105876"/>
            <wp:effectExtent b="0" l="0" r="0" t="0"/>
            <wp:docPr descr="Figure 1: Алфавиты" title="" id="1" name="Picture"/>
            <a:graphic>
              <a:graphicData uri="http://schemas.openxmlformats.org/drawingml/2006/picture">
                <pic:pic>
                  <pic:nvPicPr>
                    <pic:cNvPr descr="images/lab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Алфавиты</w:t>
      </w:r>
    </w:p>
    <w:bookmarkEnd w:id="23"/>
    <w:bookmarkStart w:id="26" w:name="сообщение"/>
    <w:p>
      <w:pPr>
        <w:pStyle w:val="Heading2"/>
      </w:pPr>
      <w:r>
        <w:t xml:space="preserve">Сообщение</w:t>
      </w:r>
    </w:p>
    <w:p>
      <w:pPr>
        <w:pStyle w:val="FirstParagraph"/>
      </w:pPr>
      <w:r>
        <w:t xml:space="preserve">Ввела сообщение.</w:t>
      </w:r>
    </w:p>
    <w:p>
      <w:pPr>
        <w:pStyle w:val="CaptionedFigure"/>
      </w:pPr>
      <w:bookmarkStart w:id="25" w:name="fig:002"/>
      <w:r>
        <w:drawing>
          <wp:inline>
            <wp:extent cx="4733364" cy="1360073"/>
            <wp:effectExtent b="0" l="0" r="0" t="0"/>
            <wp:docPr descr="Figure 2: Сообщение" title="" id="1" name="Picture"/>
            <a:graphic>
              <a:graphicData uri="http://schemas.openxmlformats.org/drawingml/2006/picture">
                <pic:pic>
                  <pic:nvPicPr>
                    <pic:cNvPr descr="images/lab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Сообщение</w:t>
      </w:r>
    </w:p>
    <w:bookmarkEnd w:id="26"/>
    <w:bookmarkStart w:id="29" w:name="ключ"/>
    <w:p>
      <w:pPr>
        <w:pStyle w:val="Heading2"/>
      </w:pPr>
      <w:r>
        <w:t xml:space="preserve">Ключ</w:t>
      </w:r>
    </w:p>
    <w:p>
      <w:pPr>
        <w:pStyle w:val="FirstParagraph"/>
      </w:pPr>
      <w:r>
        <w:t xml:space="preserve">Создала рандомный ключ.</w:t>
      </w:r>
    </w:p>
    <w:p>
      <w:pPr>
        <w:pStyle w:val="CaptionedFigure"/>
      </w:pPr>
      <w:bookmarkStart w:id="28" w:name="fig:003"/>
      <w:r>
        <w:drawing>
          <wp:inline>
            <wp:extent cx="5334000" cy="4342949"/>
            <wp:effectExtent b="0" l="0" r="0" t="0"/>
            <wp:docPr descr="Figure 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s/lab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Создание ключа</w:t>
      </w:r>
    </w:p>
    <w:bookmarkEnd w:id="29"/>
    <w:bookmarkStart w:id="32" w:name="перевод-сообщения"/>
    <w:p>
      <w:pPr>
        <w:pStyle w:val="Heading2"/>
      </w:pPr>
      <w:r>
        <w:t xml:space="preserve">Перевод сообщения</w:t>
      </w:r>
    </w:p>
    <w:p>
      <w:pPr>
        <w:pStyle w:val="FirstParagraph"/>
      </w:pPr>
      <w:r>
        <w:t xml:space="preserve">Перевела заданное сообщение в шестнадцетиричные числа.</w:t>
      </w:r>
    </w:p>
    <w:p>
      <w:pPr>
        <w:pStyle w:val="CaptionedFigure"/>
      </w:pPr>
      <w:bookmarkStart w:id="31" w:name="fig:004"/>
      <w:r>
        <w:drawing>
          <wp:inline>
            <wp:extent cx="5334000" cy="4734088"/>
            <wp:effectExtent b="0" l="0" r="0" t="0"/>
            <wp:docPr descr="Figure 4: Шестнадцетиричная система" title="" id="1" name="Picture"/>
            <a:graphic>
              <a:graphicData uri="http://schemas.openxmlformats.org/drawingml/2006/picture">
                <pic:pic>
                  <pic:nvPicPr>
                    <pic:cNvPr descr="images/lab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Шестнадцетиричная система</w:t>
      </w:r>
    </w:p>
    <w:bookmarkEnd w:id="32"/>
    <w:bookmarkStart w:id="35" w:name="шифрование"/>
    <w:p>
      <w:pPr>
        <w:pStyle w:val="Heading2"/>
      </w:pPr>
      <w:r>
        <w:t xml:space="preserve">Шифрование</w:t>
      </w:r>
    </w:p>
    <w:p>
      <w:pPr>
        <w:pStyle w:val="FirstParagraph"/>
      </w:pPr>
      <w:r>
        <w:t xml:space="preserve">Определила вид шифротекста при известном ключе и известном открытом тексте.</w:t>
      </w:r>
    </w:p>
    <w:p>
      <w:pPr>
        <w:pStyle w:val="CaptionedFigure"/>
      </w:pPr>
      <w:bookmarkStart w:id="34" w:name="fig:005"/>
      <w:r>
        <w:drawing>
          <wp:inline>
            <wp:extent cx="5334000" cy="4255077"/>
            <wp:effectExtent b="0" l="0" r="0" t="0"/>
            <wp:docPr descr="Figure 5: Шифрование" title="" id="1" name="Picture"/>
            <a:graphic>
              <a:graphicData uri="http://schemas.openxmlformats.org/drawingml/2006/picture">
                <pic:pic>
                  <pic:nvPicPr>
                    <pic:cNvPr descr="images/lab7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Шифрование</w:t>
      </w:r>
    </w:p>
    <w:bookmarkEnd w:id="35"/>
    <w:bookmarkStart w:id="38" w:name="расшифровка"/>
    <w:p>
      <w:pPr>
        <w:pStyle w:val="Heading2"/>
      </w:pPr>
      <w:r>
        <w:t xml:space="preserve">Расшифровка</w:t>
      </w:r>
    </w:p>
    <w:p>
      <w:pPr>
        <w:pStyle w:val="FirstParagraph"/>
      </w:pPr>
      <w:r>
        <w:t xml:space="preserve">Один из вариантов расшифровки полученного шифра.</w:t>
      </w:r>
    </w:p>
    <w:p>
      <w:pPr>
        <w:pStyle w:val="CaptionedFigure"/>
      </w:pPr>
      <w:bookmarkStart w:id="37" w:name="fig:006"/>
      <w:r>
        <w:drawing>
          <wp:inline>
            <wp:extent cx="3788228" cy="1321653"/>
            <wp:effectExtent b="0" l="0" r="0" t="0"/>
            <wp:docPr descr="Figure 6: Расшифровка" title="" id="1" name="Picture"/>
            <a:graphic>
              <a:graphicData uri="http://schemas.openxmlformats.org/drawingml/2006/picture">
                <pic:pic>
                  <pic:nvPicPr>
                    <pic:cNvPr descr="images/lab7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Расшифровка</w:t>
      </w:r>
    </w:p>
    <w:bookmarkEnd w:id="38"/>
    <w:bookmarkStart w:id="41" w:name="перевод-сообщения-1"/>
    <w:p>
      <w:pPr>
        <w:pStyle w:val="Heading2"/>
      </w:pPr>
      <w:r>
        <w:t xml:space="preserve">Перевод сообщения</w:t>
      </w:r>
    </w:p>
    <w:p>
      <w:pPr>
        <w:pStyle w:val="FirstParagraph"/>
      </w:pPr>
      <w:r>
        <w:t xml:space="preserve">Перевела один из возможных вариантов расшифровки сообщения в шестнадцетиричные числа.</w:t>
      </w:r>
    </w:p>
    <w:p>
      <w:pPr>
        <w:pStyle w:val="CaptionedFigure"/>
      </w:pPr>
      <w:bookmarkStart w:id="40" w:name="fig:007"/>
      <w:r>
        <w:drawing>
          <wp:inline>
            <wp:extent cx="5334000" cy="3751462"/>
            <wp:effectExtent b="0" l="0" r="0" t="0"/>
            <wp:docPr descr="Figure 7: Шестнадцетиричная система" title="" id="1" name="Picture"/>
            <a:graphic>
              <a:graphicData uri="http://schemas.openxmlformats.org/drawingml/2006/picture">
                <pic:pic>
                  <pic:nvPicPr>
                    <pic:cNvPr descr="images/lab7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Шестнадцетиричная система</w:t>
      </w:r>
    </w:p>
    <w:bookmarkEnd w:id="41"/>
    <w:bookmarkStart w:id="44" w:name="ключ-1"/>
    <w:p>
      <w:pPr>
        <w:pStyle w:val="Heading2"/>
      </w:pPr>
      <w:r>
        <w:t xml:space="preserve">Ключ</w:t>
      </w:r>
    </w:p>
    <w:p>
      <w:pPr>
        <w:pStyle w:val="FirstParagraph"/>
      </w:pPr>
      <w:r>
        <w:t xml:space="preserve">Определила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CaptionedFigure"/>
      </w:pPr>
      <w:bookmarkStart w:id="43" w:name="fig:008"/>
      <w:r>
        <w:drawing>
          <wp:inline>
            <wp:extent cx="5334000" cy="3883239"/>
            <wp:effectExtent b="0" l="0" r="0" t="0"/>
            <wp:docPr descr="Figure 8: Возможный ключ" title="" id="1" name="Picture"/>
            <a:graphic>
              <a:graphicData uri="http://schemas.openxmlformats.org/drawingml/2006/picture">
                <pic:pic>
                  <pic:nvPicPr>
                    <pic:cNvPr descr="images/lab7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8: Возможный ключ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Голова Варвара Алексеевна, НФИбд-03-18</dc:creator>
  <cp:keywords/>
  <dcterms:created xsi:type="dcterms:W3CDTF">2021-12-11T16:40:41Z</dcterms:created>
  <dcterms:modified xsi:type="dcterms:W3CDTF">2021-12-11T16:40:41Z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11 December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group">
    <vt:lpwstr>НФИбд-03-18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Лабораторная работа №7: Элементы криптографии. Однократное гаммирование.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