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2.jpg" ContentType="image/jpe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задачей о погоне и решить ее.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Построить траекторию движения катера и лодки для двух случаев.</w:t>
      </w:r>
      <w:r>
        <w:t xml:space="preserve"> </w:t>
      </w:r>
      <w:r>
        <w:t xml:space="preserve">Найти точку пересечения траектории катера и лодки.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расчеты"/>
    <w:p>
      <w:pPr>
        <w:pStyle w:val="Heading2"/>
      </w:pPr>
      <w:r>
        <w:t xml:space="preserve">Расчеты</w:t>
      </w:r>
    </w:p>
    <w:p>
      <w:pPr>
        <w:pStyle w:val="FirstParagraph"/>
      </w:pPr>
      <w:r>
        <w:t xml:space="preserve">Рассчитала, что для k=15 и n=4, x1=15/5=3, x2=15/3=5, тангенциальная скорость равна sqrt(15)*v</w:t>
      </w:r>
    </w:p>
    <w:bookmarkEnd w:id="22"/>
    <w:bookmarkStart w:id="31" w:name="программный-код"/>
    <w:p>
      <w:pPr>
        <w:pStyle w:val="Heading2"/>
      </w:pPr>
      <w:r>
        <w:t xml:space="preserve">Программный код</w:t>
      </w:r>
    </w:p>
    <w:p>
      <w:pPr>
        <w:pStyle w:val="FirstParagraph"/>
      </w:pPr>
      <w:r>
        <w:t xml:space="preserve">Программный код для первого случая (x1=3, tetha_0=0) (рис. 1 и рис. 2).</w:t>
      </w:r>
    </w:p>
    <w:p>
      <w:pPr>
        <w:pStyle w:val="CaptionedFigure"/>
      </w:pPr>
      <w:bookmarkStart w:id="24" w:name="fig:001"/>
      <w:r>
        <w:drawing>
          <wp:inline>
            <wp:extent cx="5334000" cy="4123403"/>
            <wp:effectExtent b="0" l="0" r="0" t="0"/>
            <wp:docPr descr="Figure 1: Первый случай, часть 1" title="" id="1" name="Picture"/>
            <a:graphic>
              <a:graphicData uri="http://schemas.openxmlformats.org/drawingml/2006/picture">
                <pic:pic>
                  <pic:nvPicPr>
                    <pic:cNvPr descr="lab2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Первый случай, часть 1</w:t>
      </w:r>
    </w:p>
    <w:p>
      <w:pPr>
        <w:pStyle w:val="CaptionedFigure"/>
      </w:pPr>
      <w:bookmarkStart w:id="26" w:name="fig:002"/>
      <w:r>
        <w:drawing>
          <wp:inline>
            <wp:extent cx="5334000" cy="1360205"/>
            <wp:effectExtent b="0" l="0" r="0" t="0"/>
            <wp:docPr descr="Figure 2: Первый случай, часть 2" title="" id="1" name="Picture"/>
            <a:graphic>
              <a:graphicData uri="http://schemas.openxmlformats.org/drawingml/2006/picture">
                <pic:pic>
                  <pic:nvPicPr>
                    <pic:cNvPr descr="lab2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Первый случай, часть 2</w:t>
      </w:r>
    </w:p>
    <w:p>
      <w:pPr>
        <w:pStyle w:val="BodyText"/>
      </w:pPr>
      <w:r>
        <w:t xml:space="preserve">Программный код для второго случая (x2=5, tetha_0=-pi) (рис. 3 и рис. 4).</w:t>
      </w:r>
    </w:p>
    <w:p>
      <w:pPr>
        <w:pStyle w:val="CaptionedFigure"/>
      </w:pPr>
      <w:bookmarkStart w:id="28" w:name="fig:003"/>
      <w:r>
        <w:drawing>
          <wp:inline>
            <wp:extent cx="5334000" cy="4593547"/>
            <wp:effectExtent b="0" l="0" r="0" t="0"/>
            <wp:docPr descr="Figure 3: Второй случай, часть 1" title="" id="1" name="Picture"/>
            <a:graphic>
              <a:graphicData uri="http://schemas.openxmlformats.org/drawingml/2006/picture">
                <pic:pic>
                  <pic:nvPicPr>
                    <pic:cNvPr descr="lab2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Второй случай, часть 1</w:t>
      </w:r>
    </w:p>
    <w:p>
      <w:pPr>
        <w:pStyle w:val="CaptionedFigure"/>
      </w:pPr>
      <w:bookmarkStart w:id="30" w:name="fig:004"/>
      <w:r>
        <w:drawing>
          <wp:inline>
            <wp:extent cx="5334000" cy="1275059"/>
            <wp:effectExtent b="0" l="0" r="0" t="0"/>
            <wp:docPr descr="Figure 4: Второй случай, часть 2" title="" id="1" name="Picture"/>
            <a:graphic>
              <a:graphicData uri="http://schemas.openxmlformats.org/drawingml/2006/picture">
                <pic:pic>
                  <pic:nvPicPr>
                    <pic:cNvPr descr="lab2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Второй случай, часть 2</w:t>
      </w:r>
    </w:p>
    <w:bookmarkEnd w:id="31"/>
    <w:bookmarkStart w:id="36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Общий вывод для первого случая (x1=3, tetha_0=0) (рис. 5).</w:t>
      </w:r>
    </w:p>
    <w:p>
      <w:pPr>
        <w:pStyle w:val="CaptionedFigure"/>
      </w:pPr>
      <w:bookmarkStart w:id="33" w:name="fig:005"/>
      <w:r>
        <w:drawing>
          <wp:inline>
            <wp:extent cx="5334000" cy="3162579"/>
            <wp:effectExtent b="0" l="0" r="0" t="0"/>
            <wp:docPr descr="Figure 5: Первый случай" title="" id="1" name="Picture"/>
            <a:graphic>
              <a:graphicData uri="http://schemas.openxmlformats.org/drawingml/2006/picture">
                <pic:pic>
                  <pic:nvPicPr>
                    <pic:cNvPr descr="lab2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Первый случай</w:t>
      </w:r>
    </w:p>
    <w:p>
      <w:pPr>
        <w:pStyle w:val="BodyText"/>
      </w:pPr>
      <w:r>
        <w:t xml:space="preserve">Общий вывод для второго случая (x1=5, tetha_0=-pi) (рис. 6).</w:t>
      </w:r>
    </w:p>
    <w:p>
      <w:pPr>
        <w:pStyle w:val="CaptionedFigure"/>
      </w:pPr>
      <w:bookmarkStart w:id="35" w:name="fig:006"/>
      <w:r>
        <w:drawing>
          <wp:inline>
            <wp:extent cx="5334000" cy="3636818"/>
            <wp:effectExtent b="0" l="0" r="0" t="0"/>
            <wp:docPr descr="Figure 6: Второй случай" title="" id="1" name="Picture"/>
            <a:graphic>
              <a:graphicData uri="http://schemas.openxmlformats.org/drawingml/2006/picture">
                <pic:pic>
                  <pic:nvPicPr>
                    <pic:cNvPr descr="lab2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Второй случай</w:t>
      </w:r>
    </w:p>
    <w:bookmarkEnd w:id="36"/>
    <w:bookmarkStart w:id="37" w:name="точки-пересечения"/>
    <w:p>
      <w:pPr>
        <w:pStyle w:val="Heading2"/>
      </w:pPr>
      <w:r>
        <w:t xml:space="preserve">Точки пересечения</w:t>
      </w:r>
    </w:p>
    <w:p>
      <w:pPr>
        <w:pStyle w:val="FirstParagraph"/>
      </w:pPr>
      <w:r>
        <w:t xml:space="preserve">В первом случае точка пересечения: r=13, tetha=320. В втором случае точка пересечения: r=48, tetha=320.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озакомилась со способом решения задачи о погоне и решила ее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Голова Варвара Алексеевна</dc:creator>
  <dc:language>ru-RU</dc:language>
  <cp:keywords/>
  <dcterms:created xsi:type="dcterms:W3CDTF">2021-02-20T19:39:08Z</dcterms:created>
  <dcterms:modified xsi:type="dcterms:W3CDTF">2021-02-20T19:39:08Z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Работа с Git. Язык Markdown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