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outlineLvl w:val="0"/>
      </w:pPr>
      <w:r>
        <w:t xml:space="preserve">A-1007 维护服务协议（第 1 版）</w:t>
      </w:r>
    </w:p>
    <w:p>
      <w:r>
        <w:t xml:space="preserve">本协议规定 A-1007 主设备在质保期届满后的维护责任与响应时限。</w:t>
      </w:r>
    </w:p>
    <w:p>
      <w:pPr>
        <w:pStyle w:val="Heading2"/>
        <w:outlineLvl w:val="1"/>
      </w:pPr>
      <w:r>
        <w:t xml:space="preserve">1. 响应时限</w:t>
      </w:r>
    </w:p>
    <w:p>
      <w:r>
        <w:t xml:space="preserve">供应商应在接到故障通知后 4 小时内响应，24 小时内到场。</w:t>
      </w:r>
    </w:p>
    <w:p>
      <w:pPr>
        <w:pStyle w:val="Heading2"/>
        <w:outlineLvl w:val="1"/>
      </w:pPr>
      <w:r>
        <w:t xml:space="preserve">2. 备件供应</w:t>
      </w:r>
    </w:p>
    <w:p>
      <w:r>
        <w:t xml:space="preserve">关键备件供应商应保持不少于 2 套的安全库存，交付周期不超过 15 日。</w:t>
      </w:r>
    </w:p>
    <w:p>
      <w:pPr>
        <w:pStyle w:val="Heading2"/>
        <w:outlineLvl w:val="1"/>
      </w:pPr>
      <w:r>
        <w:t xml:space="preserve">3. 服务费用</w:t>
      </w:r>
    </w:p>
    <w:p>
      <w:r>
        <w:t xml:space="preserve">年度维护服务费为人民币 18 万元，按季度支付。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  <w:style w:type="paragraph" w:styleId="Heading4">
    <w:name w:val="heading 4"/>
    <w:pPr>
      <w:outlineLvl w:val="3"/>
    </w:pPr>
  </w:style>
  <w:style w:type="paragraph" w:styleId="Heading5">
    <w:name w:val="heading 5"/>
    <w:pPr>
      <w:outlineLvl w:val="4"/>
    </w:pPr>
  </w:style>
  <w:style w:type="paragraph" w:styleId="Heading6">
    <w:name w:val="heading 6"/>
    <w:pPr>
      <w:outlineLvl w:val="5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