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both"/>
        <w:rPr>
          <w:rFonts w:hint="default" w:ascii="Verdana" w:hAnsi="Verdana" w:cs="Verdana"/>
          <w:lang w:val="en"/>
        </w:rPr>
      </w:pPr>
      <w:r>
        <w:rPr>
          <w:rFonts w:hint="default" w:ascii="Verdana" w:hAnsi="Verdana" w:cs="Verdana"/>
          <w:lang w:val="en"/>
        </w:rPr>
        <w:t>Introduction</w:t>
      </w:r>
    </w:p>
    <w:p>
      <w:pPr>
        <w:jc w:val="both"/>
        <w:rPr>
          <w:rFonts w:hint="default" w:ascii="Verdana" w:hAnsi="Verdana" w:cs="Verdana"/>
          <w:sz w:val="20"/>
          <w:szCs w:val="20"/>
          <w:lang w:val="en"/>
        </w:rPr>
      </w:pPr>
    </w:p>
    <w:p>
      <w:pPr>
        <w:jc w:val="both"/>
        <w:rPr>
          <w:rFonts w:hint="default" w:ascii="Verdana" w:hAnsi="Verdana" w:cs="Verdana"/>
          <w:sz w:val="20"/>
          <w:szCs w:val="20"/>
          <w:lang w:val="en"/>
        </w:rPr>
      </w:pPr>
      <w:r>
        <w:rPr>
          <w:rFonts w:hint="default" w:ascii="Verdana" w:hAnsi="Verdana" w:cs="Verdana"/>
          <w:sz w:val="20"/>
          <w:szCs w:val="20"/>
          <w:lang w:val="en"/>
        </w:rPr>
        <w:t>With the advent of technologies that accelerate whole genome sequencing (WGS), genetic studies are not anymore limited on well-explored model organisms. Through the identification of evolution-promoted homology among newly sequenced organisms, the conservation of protein domains is elucidated. The discovery of such regions allows for a more accurate functional and structural determination of the studied molecules. Additionally, by examining the conserved motifs of the regulatory elements of orthologous genes, a more rigid understanding of the regulatory mechanisms is gained. In this work, two such organisms are analyzed, belonging to the fungi taxon,  Neurospora crassa, a type of read bread mold, and Puccinia gramitis, also known as stem rust. Proteomics analysis is initially performed, giving rise to co</w:t>
      </w:r>
      <w:r>
        <w:rPr>
          <w:rFonts w:hint="default" w:cs="Verdana"/>
          <w:sz w:val="20"/>
          <w:szCs w:val="20"/>
          <w:lang w:val="en"/>
        </w:rPr>
        <w:t>-</w:t>
      </w:r>
      <w:r>
        <w:rPr>
          <w:rFonts w:hint="default" w:ascii="Verdana" w:hAnsi="Verdana" w:cs="Verdana"/>
          <w:sz w:val="20"/>
          <w:szCs w:val="20"/>
          <w:lang w:val="en"/>
        </w:rPr>
        <w:t>orthologous groups (COGs), followed by the comparative analysis of a certain identified COG, represented by a PIKK/FRAP protein kinase of the Puccinia gramitis species, with NCBI RefSeq identifier XP_003321789.2, and its relation with other, similar, fungi species orthologs. Subsequently, functional regions of that group are examined, making use of Simpson diversity criterion. Finally, the focus is shifted towards the regulatory regions of the corresponding genes of this COG orthologs, and highly conserved motifs are discovered near their transcription start site (TSS)</w:t>
      </w:r>
      <w:r>
        <w:rPr>
          <w:rFonts w:hint="default" w:cs="Verdana"/>
          <w:sz w:val="20"/>
          <w:szCs w:val="20"/>
          <w:lang w:val="en"/>
        </w:rPr>
        <w:t>, with their functional roles examined through enrichment analysis</w:t>
      </w:r>
      <w:bookmarkStart w:id="0" w:name="_GoBack"/>
      <w:bookmarkEnd w:id="0"/>
      <w:r>
        <w:rPr>
          <w:rFonts w:hint="default" w:cs="Verdana"/>
          <w:sz w:val="20"/>
          <w:szCs w:val="20"/>
          <w:lang w:val="en"/>
        </w:rPr>
        <w:t>.</w:t>
      </w:r>
    </w:p>
    <w:p>
      <w:pPr>
        <w:jc w:val="both"/>
        <w:rPr>
          <w:rFonts w:hint="default" w:ascii="Verdana" w:hAnsi="Verdana" w:cs="Verdana"/>
          <w:sz w:val="20"/>
          <w:szCs w:val="20"/>
          <w:lang w:val="en"/>
        </w:rPr>
      </w:pPr>
    </w:p>
    <w:p>
      <w:pPr>
        <w:pStyle w:val="6"/>
        <w:bidi w:val="0"/>
        <w:jc w:val="both"/>
        <w:rPr>
          <w:rFonts w:hint="default" w:ascii="Verdana" w:hAnsi="Verdana" w:cs="Verdana"/>
          <w:lang w:val="en"/>
        </w:rPr>
      </w:pPr>
      <w:r>
        <w:rPr>
          <w:rFonts w:hint="default" w:ascii="Verdana" w:hAnsi="Verdana" w:cs="Verdana"/>
          <w:lang w:val="en"/>
        </w:rPr>
        <w:t>Methods/Data Retrieval</w:t>
      </w:r>
    </w:p>
    <w:p>
      <w:pPr>
        <w:jc w:val="both"/>
        <w:rPr>
          <w:rFonts w:hint="default" w:ascii="Verdana" w:hAnsi="Verdana" w:cs="Verdana"/>
          <w:sz w:val="20"/>
          <w:szCs w:val="20"/>
          <w:lang w:val="en"/>
        </w:rPr>
      </w:pPr>
    </w:p>
    <w:p>
      <w:pPr>
        <w:jc w:val="both"/>
        <w:rPr>
          <w:rFonts w:hint="default" w:ascii="Verdana" w:hAnsi="Verdana" w:cs="Verdana"/>
          <w:sz w:val="20"/>
          <w:szCs w:val="20"/>
          <w:lang w:val="en"/>
        </w:rPr>
      </w:pPr>
      <w:r>
        <w:rPr>
          <w:rFonts w:hint="default" w:ascii="Verdana" w:hAnsi="Verdana" w:cs="Verdana"/>
          <w:sz w:val="20"/>
          <w:szCs w:val="20"/>
          <w:lang w:val="en"/>
        </w:rPr>
        <w:t>FASTA file of all known proteins from the Puccinia gramitis (PG) and Neurospora crassa (NC) species were retrieved from NCBI RefSeq database, with the search terms ‘</w:t>
      </w:r>
      <w:r>
        <w:rPr>
          <w:rFonts w:hint="default" w:ascii="Verdana" w:hAnsi="Verdana" w:cs="Verdana"/>
          <w:sz w:val="20"/>
          <w:szCs w:val="20"/>
          <w:lang w:val="en"/>
        </w:rPr>
        <w:t>"Puccinia graminis"[Organism] AND refseq[Filter]’ and ‘"Neurospora Crassa"[Organism]) AND refseq[Filter]’ respectively. To identify COGs, blastp was performed in 4 different ways,in an one-to-self and one-to-another fashion, after having created the appropriate databases from the retrieved proteins. Python scripts, based mainly on BioPython and Pandas modules, were later used to find the best bidirectional hits (BBHs) and determine COGs. For the selected COG,which displayed the highest blastp score, homologs from 23 other species were retrieved, through the usage of blastp online search platform. Multiple sequence alignment and Bootstrap Phylogenetic trees creation were later applied, using ClustalW2 suite (Larkin et al., 2007). Furthermore, internal transcribed spacers (ITS) were queried in NCBI for the species under consideration, in order to construct the species tree. Both trees were constructed using 1000 bootstrap iterations and visualized and annotated using iTOL web interface. Afterwards, a python script was used to measure Simpson diversity of the aligned amino acid (a/a) sequences, and find conserved contiguous, ungapped and of consensus threshold 0.7, regions of minimum size 8, by issuing an upper threshold of 0.3. The identified conserved sequences were examined using batch conserved domain search (Batch CD-Search) utility provided by NCBI (Lu et al., 2020). Subsequently, regulatory regions of the genes  corresponding to the studied orthologs were collected, using Biopython and Entrez interface. meme-chip tool from MEME suite (Machanick et al., 2011) was finally used, to identify motifs using meme and stream, locate the motifs relative position to the TSS using centrimo, and compare the findings with the JASPAR 2022 fungi database (Montragon et al., 2021). The found matches were then traced back to UniProt database and biological process enrichment analysis was performed using Panther (Huaiyu et al., 2020).</w:t>
      </w:r>
    </w:p>
    <w:p>
      <w:pPr>
        <w:jc w:val="both"/>
        <w:rPr>
          <w:rFonts w:hint="default" w:ascii="Verdana" w:hAnsi="Verdana" w:cs="Verdana"/>
          <w:sz w:val="20"/>
          <w:szCs w:val="20"/>
          <w:lang w:val="en"/>
        </w:rPr>
      </w:pPr>
    </w:p>
    <w:p>
      <w:pPr>
        <w:pStyle w:val="6"/>
        <w:bidi w:val="0"/>
        <w:jc w:val="both"/>
        <w:rPr>
          <w:rFonts w:hint="default" w:ascii="Verdana" w:hAnsi="Verdana" w:cs="Verdana"/>
          <w:lang w:val="en"/>
        </w:rPr>
      </w:pPr>
      <w:r>
        <w:rPr>
          <w:rFonts w:hint="default" w:ascii="Verdana" w:hAnsi="Verdana" w:cs="Verdana"/>
          <w:lang w:val="en"/>
        </w:rPr>
        <w:t>Results</w:t>
      </w:r>
    </w:p>
    <w:p>
      <w:pPr>
        <w:jc w:val="both"/>
        <w:rPr>
          <w:rFonts w:hint="default" w:ascii="Verdana" w:hAnsi="Verdana" w:cs="Verdana"/>
          <w:sz w:val="20"/>
          <w:szCs w:val="20"/>
          <w:lang w:val="en"/>
        </w:rPr>
      </w:pPr>
    </w:p>
    <w:p>
      <w:pPr>
        <w:jc w:val="both"/>
        <w:rPr>
          <w:rFonts w:hint="default" w:ascii="Verdana" w:hAnsi="Verdana" w:cs="Verdana"/>
          <w:b/>
          <w:bCs/>
          <w:i/>
          <w:iCs/>
          <w:sz w:val="20"/>
          <w:szCs w:val="20"/>
          <w:lang w:val="en"/>
        </w:rPr>
      </w:pPr>
      <w:r>
        <w:rPr>
          <w:rFonts w:hint="default" w:ascii="Verdana" w:hAnsi="Verdana" w:cs="Verdana"/>
          <w:b/>
          <w:bCs/>
          <w:i/>
          <w:iCs/>
          <w:sz w:val="20"/>
          <w:szCs w:val="20"/>
          <w:lang w:val="en"/>
        </w:rPr>
        <w:t>COGs Collection</w:t>
      </w:r>
    </w:p>
    <w:p>
      <w:pPr>
        <w:jc w:val="both"/>
        <w:rPr>
          <w:rFonts w:hint="default" w:ascii="Verdana" w:hAnsi="Verdana" w:cs="Verdana"/>
          <w:sz w:val="20"/>
          <w:szCs w:val="20"/>
          <w:lang w:val="en"/>
        </w:rPr>
      </w:pPr>
    </w:p>
    <w:p>
      <w:pPr>
        <w:jc w:val="both"/>
        <w:rPr>
          <w:rFonts w:hint="default" w:ascii="Verdana" w:hAnsi="Verdana" w:cs="Verdana"/>
          <w:b w:val="0"/>
          <w:bCs w:val="0"/>
          <w:sz w:val="20"/>
          <w:szCs w:val="20"/>
          <w:lang w:val="en"/>
        </w:rPr>
      </w:pPr>
      <w:r>
        <w:rPr>
          <w:rFonts w:hint="default" w:ascii="Verdana" w:hAnsi="Verdana" w:cs="Verdana"/>
          <w:sz w:val="20"/>
          <w:szCs w:val="20"/>
          <w:lang w:val="en"/>
        </w:rPr>
        <w:t>Out of the 15835 PG and 5980 NC proteins collected from the NCBI, 3976 PG proteins were found to be orthologous to 3289 NC ones</w:t>
      </w:r>
      <w:r>
        <w:rPr>
          <w:rFonts w:hint="default" w:ascii="Verdana" w:hAnsi="Verdana" w:cs="Verdana"/>
          <w:b w:val="0"/>
          <w:bCs w:val="0"/>
          <w:sz w:val="20"/>
          <w:szCs w:val="20"/>
          <w:lang w:val="en"/>
        </w:rPr>
        <w:t>. All the resulting orthologs can be accessed in the file report.xlsx, in the “orthologs” sheet.</w:t>
      </w:r>
    </w:p>
    <w:p>
      <w:pPr>
        <w:jc w:val="both"/>
        <w:rPr>
          <w:rFonts w:hint="default" w:ascii="Verdana" w:hAnsi="Verdana" w:cs="Verdana"/>
          <w:sz w:val="20"/>
          <w:szCs w:val="20"/>
          <w:lang w:val="en"/>
        </w:rPr>
      </w:pPr>
    </w:p>
    <w:tbl>
      <w:tblP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230"/>
        <w:gridCol w:w="6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20"/>
                <w:szCs w:val="20"/>
                <w:u w:val="none"/>
                <w:lang w:val="en"/>
              </w:rPr>
            </w:pPr>
            <w:r>
              <w:rPr>
                <w:rFonts w:hint="default" w:ascii="Verdana" w:hAnsi="Verdana" w:eastAsia="SimSun" w:cs="Verdana"/>
                <w:b/>
                <w:i w:val="0"/>
                <w:color w:val="000000"/>
                <w:kern w:val="0"/>
                <w:sz w:val="20"/>
                <w:szCs w:val="20"/>
                <w:u w:val="none"/>
                <w:lang w:val="en" w:eastAsia="zh-CN" w:bidi="ar"/>
              </w:rPr>
              <w:t>PG Proteins</w:t>
            </w:r>
          </w:p>
        </w:tc>
        <w:tc>
          <w:tcPr>
            <w:tcW w:w="6292"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20"/>
                <w:szCs w:val="20"/>
                <w:u w:val="none"/>
                <w:lang w:val="en"/>
              </w:rPr>
            </w:pPr>
            <w:r>
              <w:rPr>
                <w:rFonts w:hint="default" w:ascii="Verdana" w:hAnsi="Verdana" w:eastAsia="SimSun" w:cs="Verdana"/>
                <w:b/>
                <w:i w:val="0"/>
                <w:color w:val="000000"/>
                <w:kern w:val="0"/>
                <w:sz w:val="20"/>
                <w:szCs w:val="20"/>
                <w:u w:val="none"/>
                <w:lang w:val="en" w:eastAsia="zh-CN" w:bidi="ar"/>
              </w:rPr>
              <w:t>NC Proteins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XP_003321789.2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XP_958289.2,XP_960307.2,XP_960570.2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XP_003333296.2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XP_956489.2,XP_964396.3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XP_003307362.1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XP_957191.3,XP_958141.3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XP_003326732.2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XP_964712.3,XP_011394277.1,XP_011393666.1,XP_960771.2,XP_011394072.1,XP_964346.3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XP_003322017.1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XP_011394745.1,XP_011394746.1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XP_003889740.1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XP_011393274.1,XP_011393275.1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XP_003324647.2</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XP_011394236.1,XP_011394235.1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XP_003330716.1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XP_965342.2,XP_962160.3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XP_003337444.1</w:t>
            </w:r>
          </w:p>
        </w:tc>
        <w:tc>
          <w:tcPr>
            <w:tcW w:w="629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20"/>
                <w:szCs w:val="20"/>
                <w:u w:val="none"/>
              </w:rPr>
            </w:pPr>
            <w:r>
              <w:rPr>
                <w:rFonts w:hint="default" w:ascii="Verdana" w:hAnsi="Verdana" w:eastAsia="SimSun" w:cs="Verdana"/>
                <w:i w:val="0"/>
                <w:color w:val="000000"/>
                <w:kern w:val="0"/>
                <w:sz w:val="20"/>
                <w:szCs w:val="20"/>
                <w:u w:val="none"/>
                <w:lang w:val="en-US" w:eastAsia="zh-CN" w:bidi="ar"/>
              </w:rPr>
              <w:t>XP_011393197.1,XP_011393196.1,XP_964993.2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2230" w:type="dxa"/>
            <w:shd w:val="clear"/>
            <w:noWrap/>
            <w:vAlign w:val="center"/>
          </w:tcPr>
          <w:p>
            <w:pPr>
              <w:keepNext w:val="0"/>
              <w:keepLines w:val="0"/>
              <w:widowControl/>
              <w:suppressLineNumbers w:val="0"/>
              <w:jc w:val="center"/>
              <w:textAlignment w:val="bottom"/>
              <w:rPr>
                <w:rFonts w:hint="default" w:ascii="Verdana" w:hAnsi="Verdana" w:eastAsia="SimSun" w:cs="Verdana"/>
                <w:i w:val="0"/>
                <w:color w:val="000000"/>
                <w:kern w:val="0"/>
                <w:sz w:val="20"/>
                <w:szCs w:val="20"/>
                <w:u w:val="none"/>
                <w:lang w:val="en-US" w:eastAsia="zh-CN" w:bidi="ar"/>
              </w:rPr>
            </w:pPr>
            <w:r>
              <w:rPr>
                <w:rFonts w:hint="default" w:ascii="Verdana" w:hAnsi="Verdana" w:eastAsia="SimSun" w:cs="Verdana"/>
                <w:i w:val="0"/>
                <w:color w:val="000000"/>
                <w:kern w:val="0"/>
                <w:sz w:val="20"/>
                <w:szCs w:val="20"/>
                <w:u w:val="none"/>
                <w:lang w:val="en-US" w:eastAsia="zh-CN" w:bidi="ar"/>
              </w:rPr>
              <w:t>XP_003326781.2</w:t>
            </w:r>
          </w:p>
        </w:tc>
        <w:tc>
          <w:tcPr>
            <w:tcW w:w="6292" w:type="dxa"/>
            <w:shd w:val="clear"/>
            <w:noWrap/>
            <w:vAlign w:val="center"/>
          </w:tcPr>
          <w:p>
            <w:pPr>
              <w:keepNext w:val="0"/>
              <w:keepLines w:val="0"/>
              <w:widowControl/>
              <w:suppressLineNumbers w:val="0"/>
              <w:jc w:val="center"/>
              <w:textAlignment w:val="bottom"/>
              <w:rPr>
                <w:rFonts w:hint="default" w:ascii="Verdana" w:hAnsi="Verdana" w:eastAsia="SimSun" w:cs="Verdana"/>
                <w:i w:val="0"/>
                <w:color w:val="000000"/>
                <w:kern w:val="0"/>
                <w:sz w:val="20"/>
                <w:szCs w:val="20"/>
                <w:u w:val="none"/>
                <w:lang w:val="en-US" w:eastAsia="zh-CN" w:bidi="ar"/>
              </w:rPr>
            </w:pPr>
            <w:r>
              <w:rPr>
                <w:rFonts w:hint="default" w:ascii="Verdana" w:hAnsi="Verdana" w:eastAsia="SimSun" w:cs="Verdana"/>
                <w:i w:val="0"/>
                <w:color w:val="000000"/>
                <w:kern w:val="0"/>
                <w:sz w:val="20"/>
                <w:szCs w:val="20"/>
                <w:u w:val="none"/>
                <w:lang w:val="en-US" w:eastAsia="zh-CN" w:bidi="ar"/>
              </w:rPr>
              <w:t>XP_961904.3,XP_963175.2</w:t>
            </w:r>
          </w:p>
        </w:tc>
      </w:tr>
    </w:tbl>
    <w:p>
      <w:pPr>
        <w:pStyle w:val="9"/>
        <w:bidi w:val="0"/>
        <w:jc w:val="both"/>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1</w:t>
      </w:r>
      <w:r>
        <w:rPr>
          <w:rFonts w:hint="default"/>
        </w:rPr>
        <w:fldChar w:fldCharType="end"/>
      </w:r>
      <w:r>
        <w:rPr>
          <w:rFonts w:hint="default"/>
          <w:lang w:val="en"/>
        </w:rPr>
        <w:t xml:space="preserve"> The COGs of NC corresponding to a single PG protein with the highest scores.</w:t>
      </w:r>
    </w:p>
    <w:p>
      <w:pPr>
        <w:jc w:val="both"/>
        <w:rPr>
          <w:rFonts w:hint="default" w:ascii="Verdana" w:hAnsi="Verdana" w:cs="Verdana"/>
          <w:sz w:val="20"/>
          <w:szCs w:val="20"/>
          <w:lang w:val="en"/>
        </w:rPr>
      </w:pPr>
    </w:p>
    <w:p>
      <w:pPr>
        <w:jc w:val="both"/>
        <w:rPr>
          <w:rFonts w:hint="default" w:ascii="Verdana" w:hAnsi="Verdana" w:cs="Verdana"/>
          <w:sz w:val="20"/>
          <w:szCs w:val="20"/>
          <w:lang w:val="en"/>
        </w:rPr>
      </w:pPr>
    </w:p>
    <w:p>
      <w:pPr>
        <w:jc w:val="both"/>
        <w:rPr>
          <w:rFonts w:hint="default" w:ascii="Verdana" w:hAnsi="Verdana" w:cs="Verdana"/>
          <w:sz w:val="20"/>
          <w:szCs w:val="20"/>
          <w:lang w:val="en"/>
        </w:rPr>
      </w:pPr>
    </w:p>
    <w:p>
      <w:pPr>
        <w:numPr>
          <w:numId w:val="0"/>
        </w:numPr>
        <w:jc w:val="both"/>
        <w:rPr>
          <w:rFonts w:hint="default" w:ascii="Verdana" w:hAnsi="Verdana" w:cs="Verdana"/>
          <w:b/>
          <w:bCs/>
          <w:i/>
          <w:iCs/>
          <w:sz w:val="20"/>
          <w:szCs w:val="20"/>
          <w:lang w:val="en"/>
        </w:rPr>
      </w:pPr>
      <w:r>
        <w:rPr>
          <w:rFonts w:hint="default" w:ascii="Verdana" w:hAnsi="Verdana" w:cs="Verdana"/>
          <w:b/>
          <w:bCs/>
          <w:i/>
          <w:iCs/>
          <w:sz w:val="20"/>
          <w:szCs w:val="20"/>
          <w:lang w:val="en"/>
        </w:rPr>
        <w:t>Orthology Analysis</w:t>
      </w: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sz w:val="20"/>
          <w:szCs w:val="20"/>
          <w:lang w:val="en"/>
        </w:rPr>
      </w:pPr>
      <w:r>
        <w:rPr>
          <w:rFonts w:hint="default" w:ascii="Verdana" w:hAnsi="Verdana" w:cs="Verdana"/>
          <w:sz w:val="20"/>
          <w:szCs w:val="20"/>
          <w:lang w:val="en"/>
        </w:rPr>
        <w:t xml:space="preserve">The identified NC COG of the PG </w:t>
      </w:r>
      <w:r>
        <w:rPr>
          <w:rFonts w:hint="default" w:ascii="Verdana" w:hAnsi="Verdana" w:eastAsia="SimSun" w:cs="Verdana"/>
          <w:i w:val="0"/>
          <w:color w:val="000000"/>
          <w:kern w:val="0"/>
          <w:sz w:val="20"/>
          <w:szCs w:val="20"/>
          <w:u w:val="none"/>
          <w:lang w:val="en-US" w:eastAsia="zh-CN" w:bidi="ar"/>
        </w:rPr>
        <w:t>XP_003321789.2</w:t>
      </w:r>
      <w:r>
        <w:rPr>
          <w:rFonts w:hint="default" w:ascii="Verdana" w:hAnsi="Verdana" w:eastAsia="SimSun" w:cs="Verdana"/>
          <w:i w:val="0"/>
          <w:color w:val="000000"/>
          <w:kern w:val="0"/>
          <w:sz w:val="20"/>
          <w:szCs w:val="20"/>
          <w:u w:val="none"/>
          <w:lang w:val="en" w:eastAsia="zh-CN" w:bidi="ar"/>
        </w:rPr>
        <w:t xml:space="preserve"> was considered during the orthology analysis (first row of </w:t>
      </w:r>
      <w:r>
        <w:rPr>
          <w:rFonts w:hint="default" w:ascii="Verdana" w:hAnsi="Verdana" w:eastAsia="SimSun" w:cs="Verdana"/>
          <w:b/>
          <w:bCs/>
          <w:i w:val="0"/>
          <w:color w:val="000000"/>
          <w:kern w:val="0"/>
          <w:sz w:val="20"/>
          <w:szCs w:val="20"/>
          <w:u w:val="none"/>
          <w:lang w:val="en" w:eastAsia="zh-CN" w:bidi="ar"/>
        </w:rPr>
        <w:t>Table 1</w:t>
      </w:r>
      <w:r>
        <w:rPr>
          <w:rFonts w:hint="default" w:ascii="Verdana" w:hAnsi="Verdana" w:eastAsia="SimSun" w:cs="Verdana"/>
          <w:i w:val="0"/>
          <w:color w:val="000000"/>
          <w:kern w:val="0"/>
          <w:sz w:val="20"/>
          <w:szCs w:val="20"/>
          <w:u w:val="none"/>
          <w:lang w:val="en" w:eastAsia="zh-CN" w:bidi="ar"/>
        </w:rPr>
        <w:t>). This protein has been theoretically determined as a kinase, possibly partaking of phosphatidylinositol-3 kinases and FRAP/TOR kinases, whose activity is crucial for cell proliferation and signaling (Choi et al., 2002). 23 other species from the fungi kingdom were considered, for each of which an orthologous protein has been identified, with high degree of similarity. The constructed bootstrap tree, as computed from ClustalW2 algorithm, after multiple sequence alignment, when compared with the species phylogenetic tree, led to the identification of the number of duplication events that led to the existence of the NC COG (</w:t>
      </w:r>
      <w:r>
        <w:rPr>
          <w:rFonts w:hint="default" w:ascii="Verdana" w:hAnsi="Verdana" w:eastAsia="SimSun" w:cs="Verdana"/>
          <w:b/>
          <w:bCs/>
          <w:i w:val="0"/>
          <w:color w:val="000000"/>
          <w:kern w:val="0"/>
          <w:sz w:val="20"/>
          <w:szCs w:val="20"/>
          <w:u w:val="none"/>
          <w:lang w:val="en" w:eastAsia="zh-CN" w:bidi="ar"/>
        </w:rPr>
        <w:t xml:space="preserve">Figures 1 </w:t>
      </w:r>
      <w:r>
        <w:rPr>
          <w:rFonts w:hint="default" w:ascii="Verdana" w:hAnsi="Verdana" w:eastAsia="SimSun" w:cs="Verdana"/>
          <w:b w:val="0"/>
          <w:bCs w:val="0"/>
          <w:i w:val="0"/>
          <w:color w:val="000000"/>
          <w:kern w:val="0"/>
          <w:sz w:val="20"/>
          <w:szCs w:val="20"/>
          <w:u w:val="none"/>
          <w:lang w:val="en" w:eastAsia="zh-CN" w:bidi="ar"/>
        </w:rPr>
        <w:t>and</w:t>
      </w:r>
      <w:r>
        <w:rPr>
          <w:rFonts w:hint="default" w:ascii="Verdana" w:hAnsi="Verdana" w:eastAsia="SimSun" w:cs="Verdana"/>
          <w:b/>
          <w:bCs/>
          <w:i w:val="0"/>
          <w:color w:val="000000"/>
          <w:kern w:val="0"/>
          <w:sz w:val="20"/>
          <w:szCs w:val="20"/>
          <w:u w:val="none"/>
          <w:lang w:val="en" w:eastAsia="zh-CN" w:bidi="ar"/>
        </w:rPr>
        <w:t xml:space="preserve"> 2</w:t>
      </w:r>
      <w:r>
        <w:rPr>
          <w:rFonts w:hint="default" w:ascii="Verdana" w:hAnsi="Verdana" w:eastAsia="SimSun" w:cs="Verdana"/>
          <w:i w:val="0"/>
          <w:color w:val="000000"/>
          <w:kern w:val="0"/>
          <w:sz w:val="20"/>
          <w:szCs w:val="20"/>
          <w:u w:val="none"/>
          <w:lang w:val="en" w:eastAsia="zh-CN" w:bidi="ar"/>
        </w:rPr>
        <w:t>). Duplication and speciation events were recognized and manually annotated on the bootstrap tree. Specifically, two duplication events have been identified, one out of which appears to be unique for NC, and has led to the existence of X</w:t>
      </w:r>
      <w:r>
        <w:rPr>
          <w:rFonts w:hint="default" w:ascii="Verdana" w:hAnsi="Verdana" w:cs="Verdana"/>
          <w:sz w:val="20"/>
          <w:szCs w:val="20"/>
          <w:lang w:val="en"/>
        </w:rPr>
        <w:t>P_958289.2 and XP_960307.2 proteins. One of the duplication products was lost during evolution, while the ancestor of X_960570.2 was affected by a variety of speciation events, that led to the existence of this protein in a variety of organisms, including PG.  The large branch length of XP_958289.2 and XP_960307.2 infers that they accumulated a high amount of mutations, under the regimen of asymmetric divergence, with possible functional differentiation.</w:t>
      </w: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rPr>
      </w:pPr>
      <w:r>
        <w:rPr>
          <w:rFonts w:hint="default" w:ascii="Verdana" w:hAnsi="Verdana" w:cs="Verdana"/>
        </w:rPr>
        <w:drawing>
          <wp:inline distT="0" distB="0" distL="114300" distR="114300">
            <wp:extent cx="5262880" cy="2959735"/>
            <wp:effectExtent l="0" t="0" r="13970" b="1206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4"/>
                    <a:stretch>
                      <a:fillRect/>
                    </a:stretch>
                  </pic:blipFill>
                  <pic:spPr>
                    <a:xfrm>
                      <a:off x="0" y="0"/>
                      <a:ext cx="5262880" cy="2959735"/>
                    </a:xfrm>
                    <a:prstGeom prst="rect">
                      <a:avLst/>
                    </a:prstGeom>
                    <a:noFill/>
                    <a:ln>
                      <a:noFill/>
                    </a:ln>
                  </pic:spPr>
                </pic:pic>
              </a:graphicData>
            </a:graphic>
          </wp:inline>
        </w:drawing>
      </w:r>
    </w:p>
    <w:p>
      <w:pPr>
        <w:pStyle w:val="9"/>
        <w:numPr>
          <w:numId w:val="0"/>
        </w:numPr>
        <w:jc w:val="both"/>
        <w:rPr>
          <w:rFonts w:hint="default" w:ascii="Verdana" w:hAnsi="Verdana" w:cs="Verdana"/>
          <w:lang w:val="en"/>
        </w:rPr>
      </w:pPr>
      <w:r>
        <w:rPr>
          <w:rFonts w:hint="default" w:ascii="Verdana" w:hAnsi="Verdana" w:cs="Verdana"/>
        </w:rPr>
        <w:t xml:space="preserve">Figure </w:t>
      </w:r>
      <w:r>
        <w:rPr>
          <w:rFonts w:hint="default" w:ascii="Verdana" w:hAnsi="Verdana" w:cs="Verdana"/>
        </w:rPr>
        <w:fldChar w:fldCharType="begin"/>
      </w:r>
      <w:r>
        <w:rPr>
          <w:rFonts w:hint="default" w:ascii="Verdana" w:hAnsi="Verdana" w:cs="Verdana"/>
        </w:rPr>
        <w:instrText xml:space="preserve"> SEQ Figure \* ARABIC </w:instrText>
      </w:r>
      <w:r>
        <w:rPr>
          <w:rFonts w:hint="default" w:ascii="Verdana" w:hAnsi="Verdana" w:cs="Verdana"/>
        </w:rPr>
        <w:fldChar w:fldCharType="separate"/>
      </w:r>
      <w:r>
        <w:rPr>
          <w:rFonts w:hint="default" w:ascii="Verdana" w:hAnsi="Verdana" w:cs="Verdana"/>
        </w:rPr>
        <w:t>1</w:t>
      </w:r>
      <w:r>
        <w:rPr>
          <w:rFonts w:hint="default" w:ascii="Verdana" w:hAnsi="Verdana" w:cs="Verdana"/>
        </w:rPr>
        <w:fldChar w:fldCharType="end"/>
      </w:r>
      <w:r>
        <w:rPr>
          <w:rFonts w:hint="default" w:ascii="Verdana" w:hAnsi="Verdana" w:cs="Verdana"/>
          <w:lang w:val="en"/>
        </w:rPr>
        <w:t xml:space="preserve"> Bootstrap tree of analyzed protein XP_003321789.2 orthologs. The rectangles on each node show whether a speciation (red) or a duplication (blue) event has most likely occurred.</w:t>
      </w: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sz w:val="20"/>
          <w:szCs w:val="20"/>
          <w:lang w:val="en"/>
        </w:rPr>
      </w:pPr>
    </w:p>
    <w:p>
      <w:pPr>
        <w:numPr>
          <w:numId w:val="0"/>
        </w:numPr>
        <w:jc w:val="both"/>
        <w:rPr>
          <w:rFonts w:hint="default" w:ascii="Verdana" w:hAnsi="Verdana" w:cs="Verdana"/>
        </w:rPr>
      </w:pPr>
      <w:r>
        <w:rPr>
          <w:rFonts w:hint="default" w:ascii="Verdana" w:hAnsi="Verdana" w:cs="Verdana"/>
        </w:rPr>
        <w:drawing>
          <wp:inline distT="0" distB="0" distL="114300" distR="114300">
            <wp:extent cx="5266055" cy="3394075"/>
            <wp:effectExtent l="0" t="0" r="10795" b="1587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5"/>
                    <a:stretch>
                      <a:fillRect/>
                    </a:stretch>
                  </pic:blipFill>
                  <pic:spPr>
                    <a:xfrm>
                      <a:off x="0" y="0"/>
                      <a:ext cx="5266055" cy="3394075"/>
                    </a:xfrm>
                    <a:prstGeom prst="rect">
                      <a:avLst/>
                    </a:prstGeom>
                    <a:noFill/>
                    <a:ln>
                      <a:noFill/>
                    </a:ln>
                  </pic:spPr>
                </pic:pic>
              </a:graphicData>
            </a:graphic>
          </wp:inline>
        </w:drawing>
      </w:r>
    </w:p>
    <w:p>
      <w:pPr>
        <w:pStyle w:val="9"/>
        <w:numPr>
          <w:numId w:val="0"/>
        </w:numPr>
        <w:jc w:val="both"/>
        <w:rPr>
          <w:rFonts w:hint="default" w:ascii="Verdana" w:hAnsi="Verdana" w:cs="Verdana"/>
          <w:lang w:val="en"/>
        </w:rPr>
      </w:pPr>
      <w:r>
        <w:rPr>
          <w:rFonts w:hint="default" w:ascii="Verdana" w:hAnsi="Verdana" w:cs="Verdana"/>
        </w:rPr>
        <w:t xml:space="preserve">Figure </w:t>
      </w:r>
      <w:r>
        <w:rPr>
          <w:rFonts w:hint="default" w:ascii="Verdana" w:hAnsi="Verdana" w:cs="Verdana"/>
        </w:rPr>
        <w:fldChar w:fldCharType="begin"/>
      </w:r>
      <w:r>
        <w:rPr>
          <w:rFonts w:hint="default" w:ascii="Verdana" w:hAnsi="Verdana" w:cs="Verdana"/>
        </w:rPr>
        <w:instrText xml:space="preserve"> SEQ Figure \* ARABIC </w:instrText>
      </w:r>
      <w:r>
        <w:rPr>
          <w:rFonts w:hint="default" w:ascii="Verdana" w:hAnsi="Verdana" w:cs="Verdana"/>
        </w:rPr>
        <w:fldChar w:fldCharType="separate"/>
      </w:r>
      <w:r>
        <w:rPr>
          <w:rFonts w:hint="default" w:ascii="Verdana" w:hAnsi="Verdana" w:cs="Verdana"/>
        </w:rPr>
        <w:t>2</w:t>
      </w:r>
      <w:r>
        <w:rPr>
          <w:rFonts w:hint="default" w:ascii="Verdana" w:hAnsi="Verdana" w:cs="Verdana"/>
        </w:rPr>
        <w:fldChar w:fldCharType="end"/>
      </w:r>
      <w:r>
        <w:rPr>
          <w:rFonts w:hint="default" w:ascii="Verdana" w:hAnsi="Verdana" w:cs="Verdana"/>
          <w:lang w:val="en"/>
        </w:rPr>
        <w:t xml:space="preserve"> Species tree, related to PG and NC, as produced by </w:t>
      </w:r>
      <w:r>
        <w:rPr>
          <w:rFonts w:hint="default" w:ascii="Verdana" w:hAnsi="Verdana" w:cs="Verdana"/>
          <w:lang w:val="en"/>
        </w:rPr>
        <w:t>interspaced transcribed spacers</w:t>
      </w:r>
      <w:r>
        <w:rPr>
          <w:rFonts w:hint="default" w:ascii="Verdana" w:hAnsi="Verdana" w:cs="Verdana"/>
          <w:lang w:val="en"/>
        </w:rPr>
        <w:t xml:space="preserve"> comparisons</w:t>
      </w:r>
      <w:r>
        <w:rPr>
          <w:rFonts w:hint="default" w:ascii="Verdana" w:hAnsi="Verdana" w:cs="Verdana"/>
          <w:lang w:val="en"/>
        </w:rPr>
        <w:t>.</w:t>
      </w:r>
    </w:p>
    <w:p>
      <w:pPr>
        <w:numPr>
          <w:numId w:val="0"/>
        </w:numPr>
        <w:jc w:val="both"/>
        <w:rPr>
          <w:rFonts w:hint="default" w:ascii="Verdana" w:hAnsi="Verdana" w:cs="Verdana"/>
          <w:b/>
          <w:bCs/>
          <w:i/>
          <w:iCs/>
          <w:sz w:val="20"/>
          <w:szCs w:val="20"/>
          <w:lang w:val="en"/>
        </w:rPr>
      </w:pPr>
    </w:p>
    <w:p>
      <w:pPr>
        <w:numPr>
          <w:numId w:val="0"/>
        </w:numPr>
        <w:jc w:val="both"/>
        <w:rPr>
          <w:rFonts w:hint="default" w:ascii="Verdana" w:hAnsi="Verdana" w:cs="Verdana"/>
          <w:b/>
          <w:bCs/>
          <w:i/>
          <w:iCs/>
          <w:sz w:val="20"/>
          <w:szCs w:val="20"/>
          <w:lang w:val="en"/>
        </w:rPr>
      </w:pPr>
      <w:r>
        <w:rPr>
          <w:rFonts w:hint="default" w:ascii="Verdana" w:hAnsi="Verdana" w:cs="Verdana"/>
          <w:b/>
          <w:bCs/>
          <w:i/>
          <w:iCs/>
          <w:sz w:val="20"/>
          <w:szCs w:val="20"/>
          <w:lang w:val="en"/>
        </w:rPr>
        <w:t>Discovery of Conserved Regions</w:t>
      </w:r>
    </w:p>
    <w:p>
      <w:pPr>
        <w:numPr>
          <w:numId w:val="0"/>
        </w:numPr>
        <w:jc w:val="both"/>
        <w:rPr>
          <w:rFonts w:hint="default" w:ascii="Verdana" w:hAnsi="Verdana" w:cs="Verdana"/>
          <w:sz w:val="20"/>
          <w:szCs w:val="20"/>
          <w:lang w:val="en"/>
        </w:rPr>
      </w:pPr>
    </w:p>
    <w:p>
      <w:pPr>
        <w:numPr>
          <w:numId w:val="0"/>
        </w:numPr>
        <w:jc w:val="both"/>
        <w:rPr>
          <w:rFonts w:hint="default" w:ascii="Verdana" w:hAnsi="Verdana" w:eastAsia="SimSun" w:cs="Verdana"/>
          <w:i w:val="0"/>
          <w:color w:val="000000"/>
          <w:kern w:val="0"/>
          <w:sz w:val="20"/>
          <w:szCs w:val="20"/>
          <w:u w:val="none"/>
          <w:lang w:val="en" w:eastAsia="zh-CN" w:bidi="ar"/>
        </w:rPr>
      </w:pPr>
      <w:r>
        <w:rPr>
          <w:rFonts w:hint="default" w:ascii="Verdana" w:hAnsi="Verdana" w:cs="Verdana"/>
          <w:sz w:val="20"/>
          <w:szCs w:val="20"/>
          <w:lang w:val="en"/>
        </w:rPr>
        <w:t xml:space="preserve">Simpson diversity was computed per a/a and is being shown in </w:t>
      </w:r>
      <w:r>
        <w:rPr>
          <w:rFonts w:hint="default" w:ascii="Verdana" w:hAnsi="Verdana" w:cs="Verdana"/>
          <w:b/>
          <w:bCs/>
          <w:sz w:val="20"/>
          <w:szCs w:val="20"/>
          <w:lang w:val="en"/>
        </w:rPr>
        <w:t>figure 3</w:t>
      </w:r>
      <w:r>
        <w:rPr>
          <w:rFonts w:hint="default" w:ascii="Verdana" w:hAnsi="Verdana" w:cs="Verdana"/>
          <w:b w:val="0"/>
          <w:bCs w:val="0"/>
          <w:sz w:val="20"/>
          <w:szCs w:val="20"/>
          <w:lang w:val="en"/>
        </w:rPr>
        <w:t xml:space="preserve">. The 10 identified conserved sequences are displayed in </w:t>
      </w:r>
      <w:r>
        <w:rPr>
          <w:rFonts w:hint="default" w:ascii="Verdana" w:hAnsi="Verdana" w:cs="Verdana"/>
          <w:b/>
          <w:bCs/>
          <w:sz w:val="20"/>
          <w:szCs w:val="20"/>
          <w:lang w:val="en"/>
        </w:rPr>
        <w:t>table 2</w:t>
      </w:r>
      <w:r>
        <w:rPr>
          <w:rFonts w:hint="default" w:ascii="Verdana" w:hAnsi="Verdana" w:cs="Verdana"/>
          <w:b w:val="0"/>
          <w:bCs w:val="0"/>
          <w:sz w:val="20"/>
          <w:szCs w:val="20"/>
          <w:lang w:val="en"/>
        </w:rPr>
        <w:t xml:space="preserve"> . Batch CD-Search was able to identify 5 out of these to belong to a superfamily cluster </w:t>
      </w:r>
      <w:r>
        <w:rPr>
          <w:rFonts w:hint="default" w:ascii="Verdana" w:hAnsi="Verdana" w:cs="Verdana"/>
          <w:b w:val="0"/>
          <w:bCs w:val="0"/>
          <w:sz w:val="20"/>
          <w:szCs w:val="20"/>
          <w:lang w:val="en"/>
        </w:rPr>
        <w:t xml:space="preserve"> with E-value less than 0.05. The superfamily consensus was PKC_like, mainly composed of the catalytic domains of serine/threonine-specific and tyrosine-specific protein kinases. The remaining superfamilies were FRB_dom, referring to </w:t>
      </w:r>
      <w:r>
        <w:rPr>
          <w:rFonts w:hint="default" w:ascii="Verdana" w:hAnsi="Verdana" w:cs="Verdana"/>
          <w:sz w:val="20"/>
          <w:szCs w:val="20"/>
          <w:lang w:val="en"/>
        </w:rPr>
        <w:t>FKBP12-rapamycin binding domain, and FAT, which contains FRAP, ATM and TRRAP protein binding domains. From the annotation i</w:t>
      </w:r>
      <w:r>
        <w:rPr>
          <w:rFonts w:hint="default" w:ascii="Verdana" w:hAnsi="Verdana" w:cs="Verdana"/>
          <w:sz w:val="20"/>
          <w:szCs w:val="20"/>
          <w:lang w:val="en"/>
        </w:rPr>
        <w:t>t</w:t>
      </w:r>
      <w:r>
        <w:rPr>
          <w:rFonts w:hint="default" w:ascii="Verdana" w:hAnsi="Verdana" w:cs="Verdana"/>
          <w:sz w:val="20"/>
          <w:szCs w:val="20"/>
          <w:lang w:val="en"/>
        </w:rPr>
        <w:t xml:space="preserve"> is evident that these regions are mainly binding sites to proteins on which the orthologs of </w:t>
      </w:r>
      <w:r>
        <w:rPr>
          <w:rFonts w:hint="default" w:ascii="Verdana" w:hAnsi="Verdana" w:eastAsia="SimSun" w:cs="Verdana"/>
          <w:i w:val="0"/>
          <w:color w:val="000000"/>
          <w:kern w:val="0"/>
          <w:sz w:val="20"/>
          <w:szCs w:val="20"/>
          <w:u w:val="none"/>
          <w:lang w:val="en-US" w:eastAsia="zh-CN" w:bidi="ar"/>
        </w:rPr>
        <w:t>XP_003321789.2</w:t>
      </w:r>
      <w:r>
        <w:rPr>
          <w:rFonts w:hint="default" w:ascii="Verdana" w:hAnsi="Verdana" w:eastAsia="SimSun" w:cs="Verdana"/>
          <w:i w:val="0"/>
          <w:color w:val="000000"/>
          <w:kern w:val="0"/>
          <w:sz w:val="20"/>
          <w:szCs w:val="20"/>
          <w:u w:val="none"/>
          <w:lang w:val="en" w:eastAsia="zh-CN" w:bidi="ar"/>
        </w:rPr>
        <w:t xml:space="preserve"> act upon, directly related to and essential for the proteins functionality.</w:t>
      </w:r>
    </w:p>
    <w:p>
      <w:pPr>
        <w:numPr>
          <w:numId w:val="0"/>
        </w:numPr>
        <w:jc w:val="both"/>
        <w:rPr>
          <w:rFonts w:hint="default" w:ascii="Verdana" w:hAnsi="Verdana" w:eastAsia="SimSun" w:cs="Verdana"/>
          <w:i w:val="0"/>
          <w:color w:val="000000"/>
          <w:kern w:val="0"/>
          <w:sz w:val="20"/>
          <w:szCs w:val="20"/>
          <w:u w:val="none"/>
          <w:lang w:val="en" w:eastAsia="zh-CN" w:bidi="ar"/>
        </w:rPr>
      </w:pPr>
    </w:p>
    <w:p>
      <w:pPr>
        <w:numPr>
          <w:numId w:val="0"/>
        </w:numPr>
        <w:jc w:val="both"/>
        <w:rPr>
          <w:rFonts w:hint="default" w:ascii="Verdana" w:hAnsi="Verdana" w:eastAsia="SimSun" w:cs="Verdana"/>
          <w:i w:val="0"/>
          <w:color w:val="000000"/>
          <w:kern w:val="0"/>
          <w:sz w:val="20"/>
          <w:szCs w:val="20"/>
          <w:u w:val="none"/>
          <w:lang w:val="en" w:eastAsia="zh-CN" w:bidi="ar"/>
        </w:rPr>
      </w:pPr>
      <w:r>
        <w:rPr>
          <w:rFonts w:hint="default" w:ascii="Verdana" w:hAnsi="Verdana" w:eastAsia="SimSun" w:cs="Verdana"/>
          <w:i w:val="0"/>
          <w:color w:val="000000"/>
          <w:kern w:val="0"/>
          <w:sz w:val="20"/>
          <w:szCs w:val="20"/>
          <w:u w:val="none"/>
          <w:lang w:val="en" w:eastAsia="zh-CN" w:bidi="ar"/>
        </w:rPr>
        <w:drawing>
          <wp:inline distT="0" distB="0" distL="114300" distR="114300">
            <wp:extent cx="5266690" cy="3434080"/>
            <wp:effectExtent l="0" t="0" r="10160" b="13970"/>
            <wp:docPr id="4" name="Picture 4" descr="phylo_prot.al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phylo_prot.aln"/>
                    <pic:cNvPicPr>
                      <a:picLocks noChangeAspect="true"/>
                    </pic:cNvPicPr>
                  </pic:nvPicPr>
                  <pic:blipFill>
                    <a:blip r:embed="rId6"/>
                    <a:stretch>
                      <a:fillRect/>
                    </a:stretch>
                  </pic:blipFill>
                  <pic:spPr>
                    <a:xfrm>
                      <a:off x="0" y="0"/>
                      <a:ext cx="5266690" cy="3434080"/>
                    </a:xfrm>
                    <a:prstGeom prst="rect">
                      <a:avLst/>
                    </a:prstGeom>
                  </pic:spPr>
                </pic:pic>
              </a:graphicData>
            </a:graphic>
          </wp:inline>
        </w:drawing>
      </w:r>
    </w:p>
    <w:p>
      <w:pPr>
        <w:pStyle w:val="9"/>
        <w:numPr>
          <w:numId w:val="0"/>
        </w:numPr>
        <w:jc w:val="both"/>
        <w:rPr>
          <w:rFonts w:hint="default" w:ascii="Verdana" w:hAnsi="Verdana" w:eastAsia="SimSun" w:cs="Verdana"/>
          <w:i w:val="0"/>
          <w:color w:val="000000"/>
          <w:kern w:val="0"/>
          <w:sz w:val="20"/>
          <w:szCs w:val="20"/>
          <w:u w:val="none"/>
          <w:lang w:val="en" w:eastAsia="zh-CN" w:bidi="ar"/>
        </w:rPr>
      </w:pPr>
      <w:r>
        <w:rPr>
          <w:rFonts w:hint="default" w:ascii="Verdana" w:hAnsi="Verdana" w:cs="Verdana"/>
        </w:rPr>
        <w:t xml:space="preserve">Figure </w:t>
      </w:r>
      <w:r>
        <w:rPr>
          <w:rFonts w:hint="default" w:ascii="Verdana" w:hAnsi="Verdana" w:cs="Verdana"/>
        </w:rPr>
        <w:fldChar w:fldCharType="begin"/>
      </w:r>
      <w:r>
        <w:rPr>
          <w:rFonts w:hint="default" w:ascii="Verdana" w:hAnsi="Verdana" w:cs="Verdana"/>
        </w:rPr>
        <w:instrText xml:space="preserve"> SEQ Figure \* ARABIC </w:instrText>
      </w:r>
      <w:r>
        <w:rPr>
          <w:rFonts w:hint="default" w:ascii="Verdana" w:hAnsi="Verdana" w:cs="Verdana"/>
        </w:rPr>
        <w:fldChar w:fldCharType="separate"/>
      </w:r>
      <w:r>
        <w:rPr>
          <w:rFonts w:hint="default" w:ascii="Verdana" w:hAnsi="Verdana" w:cs="Verdana"/>
        </w:rPr>
        <w:t>3</w:t>
      </w:r>
      <w:r>
        <w:rPr>
          <w:rFonts w:hint="default" w:ascii="Verdana" w:hAnsi="Verdana" w:cs="Verdana"/>
        </w:rPr>
        <w:fldChar w:fldCharType="end"/>
      </w:r>
      <w:r>
        <w:rPr>
          <w:rFonts w:hint="default" w:ascii="Verdana" w:hAnsi="Verdana" w:cs="Verdana"/>
          <w:lang w:val="en"/>
        </w:rPr>
        <w:t xml:space="preserve"> Conservation regions extraction, using a threshold value of 0.3, with the relative locations of the found conserved sub-sequences displayed in the rug plot </w:t>
      </w:r>
      <w:r>
        <w:rPr>
          <w:rFonts w:hint="default" w:ascii="Verdana" w:hAnsi="Verdana" w:cs="Verdana"/>
          <w:lang w:val="en"/>
        </w:rPr>
        <w:t>(blue)</w:t>
      </w:r>
      <w:r>
        <w:rPr>
          <w:rFonts w:hint="default" w:ascii="Verdana" w:hAnsi="Verdana" w:cs="Verdana"/>
          <w:lang w:val="en"/>
        </w:rPr>
        <w:t>.</w:t>
      </w:r>
    </w:p>
    <w:p>
      <w:pPr>
        <w:numPr>
          <w:numId w:val="0"/>
        </w:numPr>
        <w:jc w:val="both"/>
        <w:rPr>
          <w:rFonts w:hint="default" w:ascii="Verdana" w:hAnsi="Verdana" w:eastAsia="SimSun" w:cs="Verdana"/>
          <w:i w:val="0"/>
          <w:color w:val="000000"/>
          <w:kern w:val="0"/>
          <w:sz w:val="20"/>
          <w:szCs w:val="20"/>
          <w:u w:val="none"/>
          <w:lang w:val="en" w:eastAsia="zh-CN" w:bidi="ar"/>
        </w:rPr>
      </w:pPr>
    </w:p>
    <w:tbl>
      <w:tblPr>
        <w:tblW w:w="842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69"/>
        <w:gridCol w:w="969"/>
        <w:gridCol w:w="2033"/>
        <w:gridCol w:w="1575"/>
        <w:gridCol w:w="1575"/>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620" w:hRule="atLeast"/>
        </w:trPr>
        <w:tc>
          <w:tcPr>
            <w:tcW w:w="969"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Start position</w:t>
            </w:r>
          </w:p>
        </w:tc>
        <w:tc>
          <w:tcPr>
            <w:tcW w:w="969"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End position</w:t>
            </w:r>
          </w:p>
        </w:tc>
        <w:tc>
          <w:tcPr>
            <w:tcW w:w="2033"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Sequence</w:t>
            </w:r>
          </w:p>
        </w:tc>
        <w:tc>
          <w:tcPr>
            <w:tcW w:w="1575" w:type="dxa"/>
            <w:shd w:val="clear"/>
            <w:vAlign w:val="center"/>
          </w:tcPr>
          <w:p>
            <w:pPr>
              <w:keepNext w:val="0"/>
              <w:keepLines w:val="0"/>
              <w:widowControl/>
              <w:suppressLineNumbers w:val="0"/>
              <w:jc w:val="center"/>
              <w:textAlignment w:val="center"/>
              <w:rPr>
                <w:rFonts w:hint="default" w:ascii="Verdana" w:hAnsi="Verdana" w:eastAsia="SimSun" w:cs="Verdana"/>
                <w:b/>
                <w:i w:val="0"/>
                <w:color w:val="000000"/>
                <w:kern w:val="0"/>
                <w:sz w:val="16"/>
                <w:szCs w:val="16"/>
                <w:u w:val="none"/>
                <w:bdr w:val="none" w:color="auto" w:sz="0" w:space="0"/>
                <w:lang w:val="en-US" w:eastAsia="zh-CN" w:bidi="ar"/>
              </w:rPr>
            </w:pPr>
            <w:r>
              <w:rPr>
                <w:rFonts w:hint="default" w:ascii="Verdana" w:hAnsi="Verdana" w:eastAsia="SimSun" w:cs="Verdana"/>
                <w:b/>
                <w:i w:val="0"/>
                <w:color w:val="000000"/>
                <w:kern w:val="0"/>
                <w:sz w:val="16"/>
                <w:szCs w:val="16"/>
                <w:u w:val="none"/>
                <w:lang w:val="en-US" w:eastAsia="zh-CN" w:bidi="ar"/>
              </w:rPr>
              <w:t>E-Value</w:t>
            </w:r>
          </w:p>
        </w:tc>
        <w:tc>
          <w:tcPr>
            <w:tcW w:w="1575"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Superfamily accession</w:t>
            </w:r>
          </w:p>
        </w:tc>
        <w:tc>
          <w:tcPr>
            <w:tcW w:w="1306" w:type="dxa"/>
            <w:shd w:val="clear"/>
            <w:vAlign w:val="center"/>
          </w:tcPr>
          <w:p>
            <w:pPr>
              <w:keepNext w:val="0"/>
              <w:keepLines w:val="0"/>
              <w:widowControl/>
              <w:suppressLineNumbers w:val="0"/>
              <w:jc w:val="center"/>
              <w:textAlignment w:val="center"/>
              <w:rPr>
                <w:rFonts w:hint="default" w:ascii="Verdana" w:hAnsi="Verdana" w:cs="Verdana"/>
                <w:b/>
                <w:i w:val="0"/>
                <w:color w:val="000000"/>
                <w:sz w:val="16"/>
                <w:szCs w:val="16"/>
                <w:u w:val="none"/>
              </w:rPr>
            </w:pPr>
            <w:r>
              <w:rPr>
                <w:rFonts w:hint="default" w:ascii="Verdana" w:hAnsi="Verdana" w:eastAsia="SimSun" w:cs="Verdana"/>
                <w:b/>
                <w:i w:val="0"/>
                <w:color w:val="000000"/>
                <w:kern w:val="0"/>
                <w:sz w:val="16"/>
                <w:szCs w:val="16"/>
                <w:u w:val="none"/>
                <w:bdr w:val="none" w:color="auto" w:sz="0" w:space="0"/>
                <w:lang w:val="en-US" w:eastAsia="zh-CN" w:bidi="ar"/>
              </w:rPr>
              <w:t>Superfamily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1309</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1318</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LLNLAEFMEH</w:t>
            </w:r>
          </w:p>
        </w:tc>
        <w:tc>
          <w:tcPr>
            <w:tcW w:w="1575" w:type="dxa"/>
            <w:shd w:val="clear"/>
            <w:noWrap/>
            <w:vAlign w:val="center"/>
          </w:tcPr>
          <w:p>
            <w:pPr>
              <w:jc w:val="center"/>
              <w:rPr>
                <w:rFonts w:hint="default" w:ascii="Verdana" w:hAnsi="Verdana" w:cs="Verdana"/>
                <w:i w:val="0"/>
                <w:color w:val="000000"/>
                <w:sz w:val="16"/>
                <w:szCs w:val="16"/>
                <w:u w:val="none"/>
              </w:rPr>
            </w:pPr>
          </w:p>
        </w:tc>
        <w:tc>
          <w:tcPr>
            <w:tcW w:w="1575" w:type="dxa"/>
            <w:shd w:val="clear"/>
            <w:noWrap/>
            <w:vAlign w:val="center"/>
          </w:tcPr>
          <w:p>
            <w:pPr>
              <w:jc w:val="center"/>
              <w:rPr>
                <w:rFonts w:hint="default" w:ascii="Verdana" w:hAnsi="Verdana" w:cs="Verdana"/>
                <w:i w:val="0"/>
                <w:color w:val="000000"/>
                <w:sz w:val="16"/>
                <w:szCs w:val="16"/>
                <w:u w:val="none"/>
              </w:rPr>
            </w:pPr>
          </w:p>
        </w:tc>
        <w:tc>
          <w:tcPr>
            <w:tcW w:w="1306" w:type="dxa"/>
            <w:shd w:val="clear"/>
            <w:noWrap/>
            <w:vAlign w:val="center"/>
          </w:tcPr>
          <w:p>
            <w:pPr>
              <w:jc w:val="center"/>
              <w:rPr>
                <w:rFonts w:hint="default" w:ascii="Verdana" w:hAnsi="Verdana" w:cs="Verdana"/>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1436</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1445</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MRCLHALGEW</w:t>
            </w:r>
          </w:p>
        </w:tc>
        <w:tc>
          <w:tcPr>
            <w:tcW w:w="1575" w:type="dxa"/>
            <w:shd w:val="clear"/>
            <w:noWrap/>
            <w:vAlign w:val="center"/>
          </w:tcPr>
          <w:p>
            <w:pPr>
              <w:jc w:val="center"/>
              <w:rPr>
                <w:rFonts w:hint="default" w:ascii="Verdana" w:hAnsi="Verdana" w:cs="Verdana"/>
                <w:i w:val="0"/>
                <w:color w:val="000000"/>
                <w:sz w:val="16"/>
                <w:szCs w:val="16"/>
                <w:u w:val="none"/>
              </w:rPr>
            </w:pPr>
          </w:p>
        </w:tc>
        <w:tc>
          <w:tcPr>
            <w:tcW w:w="1575" w:type="dxa"/>
            <w:shd w:val="clear"/>
            <w:noWrap/>
            <w:vAlign w:val="center"/>
          </w:tcPr>
          <w:p>
            <w:pPr>
              <w:jc w:val="center"/>
              <w:rPr>
                <w:rFonts w:hint="default" w:ascii="Verdana" w:hAnsi="Verdana" w:cs="Verdana"/>
                <w:i w:val="0"/>
                <w:color w:val="000000"/>
                <w:sz w:val="16"/>
                <w:szCs w:val="16"/>
                <w:u w:val="none"/>
              </w:rPr>
            </w:pPr>
          </w:p>
        </w:tc>
        <w:tc>
          <w:tcPr>
            <w:tcW w:w="1306" w:type="dxa"/>
            <w:shd w:val="clear"/>
            <w:noWrap/>
            <w:vAlign w:val="center"/>
          </w:tcPr>
          <w:p>
            <w:pPr>
              <w:jc w:val="center"/>
              <w:rPr>
                <w:rFonts w:hint="default" w:ascii="Verdana" w:hAnsi="Verdana" w:cs="Verdana"/>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1618</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1628</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WIKFANLCRKS</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0,00806645</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cl26693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FAT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1895</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1906</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LQDTLRLLTLWF</w:t>
            </w:r>
          </w:p>
        </w:tc>
        <w:tc>
          <w:tcPr>
            <w:tcW w:w="1575" w:type="dxa"/>
            <w:shd w:val="clear"/>
            <w:noWrap/>
            <w:vAlign w:val="center"/>
          </w:tcPr>
          <w:p>
            <w:pPr>
              <w:jc w:val="center"/>
              <w:rPr>
                <w:rFonts w:hint="default" w:ascii="Verdana" w:hAnsi="Verdana" w:cs="Verdana"/>
                <w:i w:val="0"/>
                <w:color w:val="000000"/>
                <w:sz w:val="16"/>
                <w:szCs w:val="16"/>
                <w:u w:val="none"/>
              </w:rPr>
            </w:pPr>
          </w:p>
        </w:tc>
        <w:tc>
          <w:tcPr>
            <w:tcW w:w="1575" w:type="dxa"/>
            <w:shd w:val="clear"/>
            <w:noWrap/>
            <w:vAlign w:val="center"/>
          </w:tcPr>
          <w:p>
            <w:pPr>
              <w:jc w:val="center"/>
              <w:rPr>
                <w:rFonts w:hint="default" w:ascii="Verdana" w:hAnsi="Verdana" w:cs="Verdana"/>
                <w:i w:val="0"/>
                <w:color w:val="000000"/>
                <w:sz w:val="16"/>
                <w:szCs w:val="16"/>
                <w:u w:val="none"/>
              </w:rPr>
            </w:pPr>
          </w:p>
        </w:tc>
        <w:tc>
          <w:tcPr>
            <w:tcW w:w="1306" w:type="dxa"/>
            <w:shd w:val="clear"/>
            <w:noWrap/>
            <w:vAlign w:val="center"/>
          </w:tcPr>
          <w:p>
            <w:pPr>
              <w:jc w:val="center"/>
              <w:rPr>
                <w:rFonts w:hint="default" w:ascii="Verdana" w:hAnsi="Verdana" w:cs="Verdana"/>
                <w:i w:val="0"/>
                <w:color w:val="000000"/>
                <w:sz w:val="16"/>
                <w:szCs w:val="16"/>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1963</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1974</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HPQALVYPLTVA</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1,76805</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cl34875</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TEL1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2023</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2035</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WHEGLEEASRLYF</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0,00452806</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cl38290</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FRB_dom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2191</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2200</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RQDERVMQLF</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0,00409988</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2296</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2305</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DLYRVLWLKS</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0,173268</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2331</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2342</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ILGLGDRHPSNL</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2,99731E-05</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2353</w:t>
            </w:r>
          </w:p>
        </w:tc>
        <w:tc>
          <w:tcPr>
            <w:tcW w:w="969"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2361</w:t>
            </w:r>
          </w:p>
        </w:tc>
        <w:tc>
          <w:tcPr>
            <w:tcW w:w="2033"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HIDFGDCFE</w:t>
            </w:r>
          </w:p>
        </w:tc>
        <w:tc>
          <w:tcPr>
            <w:tcW w:w="1575" w:type="dxa"/>
            <w:shd w:val="clear"/>
            <w:noWrap/>
            <w:vAlign w:val="center"/>
          </w:tcPr>
          <w:p>
            <w:pPr>
              <w:keepNext w:val="0"/>
              <w:keepLines w:val="0"/>
              <w:widowControl/>
              <w:suppressLineNumbers w:val="0"/>
              <w:jc w:val="center"/>
              <w:textAlignment w:val="center"/>
              <w:rPr>
                <w:rFonts w:hint="default" w:ascii="Verdana" w:hAnsi="Verdana" w:eastAsia="SimSun" w:cs="Verdana"/>
                <w:i w:val="0"/>
                <w:color w:val="000000"/>
                <w:kern w:val="0"/>
                <w:sz w:val="16"/>
                <w:szCs w:val="16"/>
                <w:u w:val="none"/>
                <w:bdr w:val="none" w:color="auto" w:sz="0" w:space="0"/>
                <w:lang w:val="en-US" w:eastAsia="zh-CN" w:bidi="ar"/>
              </w:rPr>
            </w:pPr>
            <w:r>
              <w:rPr>
                <w:rFonts w:hint="default" w:ascii="Verdana" w:hAnsi="Verdana" w:eastAsia="SimSun" w:cs="Verdana"/>
                <w:i w:val="0"/>
                <w:color w:val="000000"/>
                <w:kern w:val="0"/>
                <w:sz w:val="16"/>
                <w:szCs w:val="16"/>
                <w:u w:val="none"/>
                <w:lang w:val="en-US" w:eastAsia="zh-CN" w:bidi="ar"/>
              </w:rPr>
              <w:t>0,000137208</w:t>
            </w:r>
          </w:p>
        </w:tc>
        <w:tc>
          <w:tcPr>
            <w:tcW w:w="1575"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cl21453</w:t>
            </w:r>
          </w:p>
        </w:tc>
        <w:tc>
          <w:tcPr>
            <w:tcW w:w="1306" w:type="dxa"/>
            <w:shd w:val="clear"/>
            <w:noWrap/>
            <w:vAlign w:val="center"/>
          </w:tcPr>
          <w:p>
            <w:pPr>
              <w:keepNext w:val="0"/>
              <w:keepLines w:val="0"/>
              <w:widowControl/>
              <w:suppressLineNumbers w:val="0"/>
              <w:jc w:val="center"/>
              <w:textAlignment w:val="center"/>
              <w:rPr>
                <w:rFonts w:hint="default" w:ascii="Verdana" w:hAnsi="Verdana" w:cs="Verdana"/>
                <w:i w:val="0"/>
                <w:color w:val="000000"/>
                <w:sz w:val="16"/>
                <w:szCs w:val="16"/>
                <w:u w:val="none"/>
              </w:rPr>
            </w:pPr>
            <w:r>
              <w:rPr>
                <w:rFonts w:hint="default" w:ascii="Verdana" w:hAnsi="Verdana" w:eastAsia="SimSun" w:cs="Verdana"/>
                <w:i w:val="0"/>
                <w:color w:val="000000"/>
                <w:kern w:val="0"/>
                <w:sz w:val="16"/>
                <w:szCs w:val="16"/>
                <w:u w:val="none"/>
                <w:bdr w:val="none" w:color="auto" w:sz="0" w:space="0"/>
                <w:lang w:val="en-US" w:eastAsia="zh-CN" w:bidi="ar"/>
              </w:rPr>
              <w:t>PKc_like</w:t>
            </w:r>
          </w:p>
        </w:tc>
      </w:tr>
    </w:tbl>
    <w:p>
      <w:pPr>
        <w:pStyle w:val="9"/>
        <w:jc w:val="both"/>
        <w:rPr>
          <w:rFonts w:hint="default" w:ascii="Verdana" w:hAnsi="Verdana" w:cs="Verdana"/>
          <w:lang w:val="en"/>
        </w:rPr>
      </w:pPr>
      <w:r>
        <w:rPr>
          <w:rFonts w:hint="default" w:ascii="Verdana" w:hAnsi="Verdana" w:cs="Verdana"/>
          <w:b/>
          <w:bCs/>
        </w:rPr>
        <w:t xml:space="preserve">Table </w:t>
      </w:r>
      <w:r>
        <w:rPr>
          <w:rFonts w:hint="default" w:ascii="Verdana" w:hAnsi="Verdana" w:cs="Verdana"/>
          <w:b/>
          <w:bCs/>
        </w:rPr>
        <w:fldChar w:fldCharType="begin"/>
      </w:r>
      <w:r>
        <w:rPr>
          <w:rFonts w:hint="default" w:ascii="Verdana" w:hAnsi="Verdana" w:cs="Verdana"/>
          <w:b/>
          <w:bCs/>
        </w:rPr>
        <w:instrText xml:space="preserve"> SEQ Table \* ARABIC </w:instrText>
      </w:r>
      <w:r>
        <w:rPr>
          <w:rFonts w:hint="default" w:ascii="Verdana" w:hAnsi="Verdana" w:cs="Verdana"/>
          <w:b/>
          <w:bCs/>
        </w:rPr>
        <w:fldChar w:fldCharType="separate"/>
      </w:r>
      <w:r>
        <w:rPr>
          <w:rFonts w:hint="default" w:ascii="Verdana" w:hAnsi="Verdana" w:cs="Verdana"/>
          <w:b/>
          <w:bCs/>
        </w:rPr>
        <w:t>2</w:t>
      </w:r>
      <w:r>
        <w:rPr>
          <w:rFonts w:hint="default" w:ascii="Verdana" w:hAnsi="Verdana" w:cs="Verdana"/>
          <w:b/>
          <w:bCs/>
        </w:rPr>
        <w:fldChar w:fldCharType="end"/>
      </w:r>
      <w:r>
        <w:rPr>
          <w:rFonts w:hint="default" w:ascii="Verdana" w:hAnsi="Verdana" w:cs="Verdana"/>
          <w:lang w:val="en"/>
        </w:rPr>
        <w:t xml:space="preserve">   Conserved domains retrieved using Simpson diversity criteri</w:t>
      </w:r>
      <w:r>
        <w:rPr>
          <w:rFonts w:hint="default" w:ascii="Verdana" w:hAnsi="Verdana" w:cs="Verdana"/>
          <w:lang w:val="en"/>
        </w:rPr>
        <w:t>on.</w:t>
      </w:r>
    </w:p>
    <w:p>
      <w:pPr>
        <w:numPr>
          <w:numId w:val="0"/>
        </w:numPr>
        <w:jc w:val="both"/>
        <w:rPr>
          <w:rFonts w:hint="default" w:ascii="Verdana" w:hAnsi="Verdana" w:eastAsia="SimSun" w:cs="Verdana"/>
          <w:i w:val="0"/>
          <w:color w:val="000000"/>
          <w:kern w:val="0"/>
          <w:sz w:val="20"/>
          <w:szCs w:val="20"/>
          <w:u w:val="none"/>
          <w:lang w:val="en" w:eastAsia="zh-CN" w:bidi="ar"/>
        </w:rPr>
      </w:pPr>
    </w:p>
    <w:p>
      <w:pPr>
        <w:numPr>
          <w:numId w:val="0"/>
        </w:numPr>
        <w:jc w:val="both"/>
        <w:rPr>
          <w:rFonts w:hint="default" w:ascii="Verdana" w:hAnsi="Verdana" w:eastAsia="SimSun" w:cs="Verdana"/>
          <w:i w:val="0"/>
          <w:color w:val="000000"/>
          <w:kern w:val="0"/>
          <w:sz w:val="20"/>
          <w:szCs w:val="20"/>
          <w:u w:val="none"/>
          <w:lang w:val="en" w:eastAsia="zh-CN" w:bidi="ar"/>
        </w:rPr>
      </w:pPr>
    </w:p>
    <w:p>
      <w:pPr>
        <w:numPr>
          <w:numId w:val="0"/>
        </w:numPr>
        <w:jc w:val="both"/>
        <w:rPr>
          <w:rFonts w:hint="default" w:ascii="Verdana" w:hAnsi="Verdana" w:eastAsia="SimSun" w:cs="Verdana"/>
          <w:b/>
          <w:bCs/>
          <w:i/>
          <w:iCs/>
          <w:color w:val="000000"/>
          <w:kern w:val="0"/>
          <w:sz w:val="20"/>
          <w:szCs w:val="20"/>
          <w:u w:val="none"/>
          <w:lang w:val="en" w:eastAsia="zh-CN" w:bidi="ar"/>
        </w:rPr>
      </w:pPr>
      <w:r>
        <w:rPr>
          <w:rFonts w:hint="default" w:ascii="Verdana" w:hAnsi="Verdana" w:eastAsia="SimSun" w:cs="Verdana"/>
          <w:b/>
          <w:bCs/>
          <w:i/>
          <w:iCs/>
          <w:color w:val="000000"/>
          <w:kern w:val="0"/>
          <w:sz w:val="20"/>
          <w:szCs w:val="20"/>
          <w:u w:val="none"/>
          <w:lang w:val="en" w:eastAsia="zh-CN" w:bidi="ar"/>
        </w:rPr>
        <w:t>Conservation of Promoter Regions</w:t>
      </w:r>
    </w:p>
    <w:p>
      <w:pPr>
        <w:numPr>
          <w:numId w:val="0"/>
        </w:numPr>
        <w:jc w:val="both"/>
        <w:rPr>
          <w:rFonts w:hint="default" w:ascii="Verdana" w:hAnsi="Verdana" w:eastAsia="SimSun" w:cs="Verdana"/>
          <w:b/>
          <w:bCs/>
          <w:i/>
          <w:iCs/>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r>
        <w:rPr>
          <w:rFonts w:hint="default" w:ascii="Verdana" w:hAnsi="Verdana" w:eastAsia="SimSun" w:cs="Verdana"/>
          <w:i w:val="0"/>
          <w:color w:val="000000"/>
          <w:kern w:val="0"/>
          <w:sz w:val="20"/>
          <w:szCs w:val="20"/>
          <w:u w:val="none"/>
          <w:lang w:val="en" w:eastAsia="zh-CN" w:bidi="ar"/>
        </w:rPr>
        <w:t xml:space="preserve">26  motifs were identified in the interval -3kb to 3kb from the TSS as displayed in </w:t>
      </w:r>
      <w:r>
        <w:rPr>
          <w:rFonts w:hint="default" w:ascii="Verdana" w:hAnsi="Verdana" w:eastAsia="SimSun" w:cs="Verdana"/>
          <w:b/>
          <w:bCs/>
          <w:i w:val="0"/>
          <w:color w:val="000000"/>
          <w:kern w:val="0"/>
          <w:sz w:val="20"/>
          <w:szCs w:val="20"/>
          <w:u w:val="none"/>
          <w:lang w:val="en" w:eastAsia="zh-CN" w:bidi="ar"/>
        </w:rPr>
        <w:t>table</w:t>
      </w:r>
      <w:r>
        <w:rPr>
          <w:rFonts w:hint="default" w:ascii="Verdana" w:hAnsi="Verdana" w:eastAsia="SimSun" w:cs="Verdana"/>
          <w:b/>
          <w:bCs/>
          <w:i w:val="0"/>
          <w:color w:val="000000"/>
          <w:kern w:val="0"/>
          <w:sz w:val="20"/>
          <w:szCs w:val="20"/>
          <w:u w:val="none"/>
          <w:lang w:val="en" w:eastAsia="zh-CN" w:bidi="ar"/>
        </w:rPr>
        <w:t xml:space="preserve"> 3</w:t>
      </w:r>
      <w:r>
        <w:rPr>
          <w:rFonts w:hint="default" w:ascii="Verdana" w:hAnsi="Verdana" w:eastAsia="SimSun" w:cs="Verdana"/>
          <w:b w:val="0"/>
          <w:bCs w:val="0"/>
          <w:i w:val="0"/>
          <w:color w:val="000000"/>
          <w:kern w:val="0"/>
          <w:sz w:val="20"/>
          <w:szCs w:val="20"/>
          <w:u w:val="none"/>
          <w:lang w:val="en" w:eastAsia="zh-CN" w:bidi="ar"/>
        </w:rPr>
        <w:t xml:space="preserve"> . </w:t>
      </w:r>
      <w:r>
        <w:rPr>
          <w:rFonts w:hint="default" w:ascii="Verdana" w:hAnsi="Verdana" w:eastAsia="SimSun" w:cs="Verdana"/>
          <w:b w:val="0"/>
          <w:bCs w:val="0"/>
          <w:i w:val="0"/>
          <w:color w:val="000000"/>
          <w:kern w:val="0"/>
          <w:sz w:val="20"/>
          <w:szCs w:val="20"/>
          <w:u w:val="none"/>
          <w:lang w:val="en" w:eastAsia="zh-CN" w:bidi="ar"/>
        </w:rPr>
        <w:t>Tomtom identified 9 of them to be highly similar to transcription factors binding sites, as listed in UniProt.</w:t>
      </w:r>
      <w:r>
        <w:rPr>
          <w:rFonts w:hint="default" w:eastAsia="SimSun" w:cs="Verdana"/>
          <w:b w:val="0"/>
          <w:bCs w:val="0"/>
          <w:i w:val="0"/>
          <w:color w:val="000000"/>
          <w:kern w:val="0"/>
          <w:sz w:val="20"/>
          <w:szCs w:val="20"/>
          <w:u w:val="none"/>
          <w:lang w:val="en" w:eastAsia="zh-CN" w:bidi="ar"/>
        </w:rPr>
        <w:t xml:space="preserve"> </w:t>
      </w:r>
      <w:r>
        <w:rPr>
          <w:rFonts w:hint="default" w:ascii="Verdana" w:hAnsi="Verdana" w:eastAsia="SimSun" w:cs="Verdana"/>
          <w:b w:val="0"/>
          <w:bCs w:val="0"/>
          <w:i w:val="0"/>
          <w:color w:val="000000"/>
          <w:kern w:val="0"/>
          <w:sz w:val="20"/>
          <w:szCs w:val="20"/>
          <w:u w:val="none"/>
          <w:lang w:val="en" w:eastAsia="zh-CN" w:bidi="ar"/>
        </w:rPr>
        <w:t>Biological Process enrichment analysis on the found proteins using Panther and Saccharomyces cerevisiae as the closest model organism showed that they are mainly related to the regulation of transcription of RNA polymerase II (</w:t>
      </w:r>
      <w:r>
        <w:rPr>
          <w:rFonts w:hint="default" w:ascii="Verdana" w:hAnsi="Verdana" w:eastAsia="SimSun" w:cs="Verdana"/>
          <w:b/>
          <w:bCs/>
          <w:i w:val="0"/>
          <w:color w:val="000000"/>
          <w:kern w:val="0"/>
          <w:sz w:val="20"/>
          <w:szCs w:val="20"/>
          <w:u w:val="none"/>
          <w:lang w:val="en" w:eastAsia="zh-CN" w:bidi="ar"/>
        </w:rPr>
        <w:t>table</w:t>
      </w:r>
      <w:r>
        <w:rPr>
          <w:rFonts w:hint="default" w:ascii="Verdana" w:hAnsi="Verdana" w:eastAsia="SimSun" w:cs="Verdana"/>
          <w:b/>
          <w:bCs/>
          <w:i w:val="0"/>
          <w:color w:val="000000"/>
          <w:kern w:val="0"/>
          <w:sz w:val="20"/>
          <w:szCs w:val="20"/>
          <w:u w:val="none"/>
          <w:lang w:val="en" w:eastAsia="zh-CN" w:bidi="ar"/>
        </w:rPr>
        <w:t xml:space="preserve"> </w:t>
      </w:r>
      <w:r>
        <w:rPr>
          <w:rFonts w:hint="default" w:eastAsia="SimSun" w:cs="Verdana"/>
          <w:b/>
          <w:bCs/>
          <w:i w:val="0"/>
          <w:color w:val="000000"/>
          <w:kern w:val="0"/>
          <w:sz w:val="20"/>
          <w:szCs w:val="20"/>
          <w:u w:val="none"/>
          <w:lang w:val="en" w:eastAsia="zh-CN" w:bidi="ar"/>
        </w:rPr>
        <w:t>4</w:t>
      </w:r>
      <w:r>
        <w:rPr>
          <w:rFonts w:hint="default" w:ascii="Verdana" w:hAnsi="Verdana" w:eastAsia="SimSun" w:cs="Verdana"/>
          <w:b w:val="0"/>
          <w:bCs w:val="0"/>
          <w:i w:val="0"/>
          <w:color w:val="000000"/>
          <w:kern w:val="0"/>
          <w:sz w:val="20"/>
          <w:szCs w:val="20"/>
          <w:u w:val="none"/>
          <w:lang w:val="en" w:eastAsia="zh-CN" w:bidi="ar"/>
        </w:rPr>
        <w:t xml:space="preserve">).   </w:t>
      </w:r>
      <w:r>
        <w:rPr>
          <w:rFonts w:hint="default" w:ascii="Verdana" w:hAnsi="Verdana" w:eastAsia="SimSun" w:cs="Verdana"/>
          <w:b w:val="0"/>
          <w:bCs w:val="0"/>
          <w:i w:val="0"/>
          <w:color w:val="000000"/>
          <w:kern w:val="0"/>
          <w:sz w:val="20"/>
          <w:szCs w:val="20"/>
          <w:u w:val="none"/>
          <w:lang w:val="en" w:eastAsia="zh-CN" w:bidi="ar"/>
        </w:rPr>
        <w:t xml:space="preserve">The distribution of 3 motifs, one of which matched a Jaspar Matrix entry, with high proximity to TSS is shown in </w:t>
      </w:r>
      <w:r>
        <w:rPr>
          <w:rFonts w:hint="default" w:ascii="Verdana" w:hAnsi="Verdana" w:eastAsia="SimSun" w:cs="Verdana"/>
          <w:b/>
          <w:bCs/>
          <w:i w:val="0"/>
          <w:color w:val="000000"/>
          <w:kern w:val="0"/>
          <w:sz w:val="20"/>
          <w:szCs w:val="20"/>
          <w:u w:val="none"/>
          <w:lang w:val="en" w:eastAsia="zh-CN" w:bidi="ar"/>
        </w:rPr>
        <w:t>figure</w:t>
      </w:r>
      <w:r>
        <w:rPr>
          <w:rFonts w:hint="default" w:ascii="Verdana" w:hAnsi="Verdana" w:eastAsia="SimSun" w:cs="Verdana"/>
          <w:b/>
          <w:bCs/>
          <w:i w:val="0"/>
          <w:color w:val="000000"/>
          <w:kern w:val="0"/>
          <w:sz w:val="20"/>
          <w:szCs w:val="20"/>
          <w:u w:val="none"/>
          <w:lang w:val="en" w:eastAsia="zh-CN" w:bidi="ar"/>
        </w:rPr>
        <w:t xml:space="preserve"> 4</w:t>
      </w:r>
      <w:r>
        <w:rPr>
          <w:rFonts w:hint="default" w:ascii="Verdana" w:hAnsi="Verdana" w:eastAsia="SimSun" w:cs="Verdana"/>
          <w:b w:val="0"/>
          <w:bCs w:val="0"/>
          <w:i w:val="0"/>
          <w:color w:val="000000"/>
          <w:kern w:val="0"/>
          <w:sz w:val="20"/>
          <w:szCs w:val="20"/>
          <w:u w:val="none"/>
          <w:lang w:val="en" w:eastAsia="zh-CN" w:bidi="ar"/>
        </w:rPr>
        <w:t>.</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tbl>
      <w:tblPr>
        <w:tblW w:w="11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788"/>
        <w:gridCol w:w="862"/>
        <w:gridCol w:w="825"/>
        <w:gridCol w:w="1513"/>
        <w:gridCol w:w="912"/>
        <w:gridCol w:w="5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Motif</w:t>
            </w:r>
          </w:p>
        </w:tc>
        <w:tc>
          <w:tcPr>
            <w:tcW w:w="862"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Hit E-value</w:t>
            </w:r>
          </w:p>
        </w:tc>
        <w:tc>
          <w:tcPr>
            <w:tcW w:w="825"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MEME tool</w:t>
            </w:r>
          </w:p>
        </w:tc>
        <w:tc>
          <w:tcPr>
            <w:tcW w:w="1513"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Jaspar motif hit</w:t>
            </w:r>
          </w:p>
        </w:tc>
        <w:tc>
          <w:tcPr>
            <w:tcW w:w="912"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Uni</w:t>
            </w:r>
            <w:r>
              <w:rPr>
                <w:rFonts w:hint="default" w:ascii="Verdana" w:hAnsi="Verdana" w:eastAsia="SimSun" w:cs="Verdana"/>
                <w:b/>
                <w:i w:val="0"/>
                <w:color w:val="000000"/>
                <w:kern w:val="0"/>
                <w:sz w:val="14"/>
                <w:szCs w:val="14"/>
                <w:u w:val="none"/>
                <w:bdr w:val="none" w:color="auto" w:sz="0" w:space="0"/>
                <w:lang w:val="en" w:eastAsia="zh-CN" w:bidi="ar"/>
              </w:rPr>
              <w:t>P</w:t>
            </w:r>
            <w:r>
              <w:rPr>
                <w:rFonts w:hint="default" w:ascii="Verdana" w:hAnsi="Verdana" w:eastAsia="SimSun" w:cs="Verdana"/>
                <w:b/>
                <w:i w:val="0"/>
                <w:color w:val="000000"/>
                <w:kern w:val="0"/>
                <w:sz w:val="14"/>
                <w:szCs w:val="14"/>
                <w:u w:val="none"/>
                <w:bdr w:val="none" w:color="auto" w:sz="0" w:space="0"/>
                <w:lang w:val="en-US" w:eastAsia="zh-CN" w:bidi="ar"/>
              </w:rPr>
              <w:t>rot ID</w:t>
            </w:r>
          </w:p>
        </w:tc>
        <w:tc>
          <w:tcPr>
            <w:tcW w:w="5463" w:type="dxa"/>
            <w:shd w:val="clear"/>
            <w:noWrap/>
            <w:vAlign w:val="center"/>
          </w:tcPr>
          <w:p>
            <w:pPr>
              <w:keepNext w:val="0"/>
              <w:keepLines w:val="0"/>
              <w:widowControl/>
              <w:suppressLineNumbers w:val="0"/>
              <w:jc w:val="center"/>
              <w:textAlignment w:val="top"/>
              <w:rPr>
                <w:rFonts w:hint="default" w:ascii="Verdana" w:hAnsi="Verdana" w:cs="Verdana"/>
                <w:b/>
                <w:i w:val="0"/>
                <w:color w:val="000000"/>
                <w:sz w:val="14"/>
                <w:szCs w:val="14"/>
                <w:u w:val="none"/>
              </w:rPr>
            </w:pPr>
            <w:r>
              <w:rPr>
                <w:rFonts w:hint="default" w:ascii="Verdana" w:hAnsi="Verdana" w:eastAsia="SimSun" w:cs="Verdana"/>
                <w:b/>
                <w:i w:val="0"/>
                <w:color w:val="000000"/>
                <w:kern w:val="0"/>
                <w:sz w:val="14"/>
                <w:szCs w:val="14"/>
                <w:u w:val="none"/>
                <w:bdr w:val="none" w:color="auto" w:sz="0" w:space="0"/>
                <w:lang w:val="en-US" w:eastAsia="zh-CN" w:bidi="ar"/>
              </w:rPr>
              <w:t>Uni</w:t>
            </w:r>
            <w:r>
              <w:rPr>
                <w:rFonts w:hint="default" w:ascii="Verdana" w:hAnsi="Verdana" w:eastAsia="SimSun" w:cs="Verdana"/>
                <w:b/>
                <w:i w:val="0"/>
                <w:color w:val="000000"/>
                <w:kern w:val="0"/>
                <w:sz w:val="14"/>
                <w:szCs w:val="14"/>
                <w:u w:val="none"/>
                <w:bdr w:val="none" w:color="auto" w:sz="0" w:space="0"/>
                <w:lang w:val="en" w:eastAsia="zh-CN" w:bidi="ar"/>
              </w:rPr>
              <w:t>P</w:t>
            </w:r>
            <w:r>
              <w:rPr>
                <w:rFonts w:hint="default" w:ascii="Verdana" w:hAnsi="Verdana" w:eastAsia="SimSun" w:cs="Verdana"/>
                <w:b/>
                <w:i w:val="0"/>
                <w:color w:val="000000"/>
                <w:kern w:val="0"/>
                <w:sz w:val="14"/>
                <w:szCs w:val="14"/>
                <w:u w:val="none"/>
                <w:bdr w:val="none" w:color="auto" w:sz="0" w:space="0"/>
                <w:lang w:val="en-US" w:eastAsia="zh-CN" w:bidi="ar"/>
              </w:rPr>
              <w:t>rot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TYGAGGTYTTCGRATACGYYMTSGAYAAS</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3,5E-54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MA0404.1 (MA0404.1.TBS1)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P38114</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Involved in tolerance to thiabendazole.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TYCATATCGMTTTCRGTGACTGCWTCGAG</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2,3E-53</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GTTYATHCAYGATCCCHTSATCAAYYRGMS</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2,2E-50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GAYKAYGACAAYCTBACYCTSATGCARAA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1,3E-49</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MA0295.1 (MA0295.1.FHL1)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P39521</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Controls the pre-rRNA processing machinery in conjunction with IFH1. Presumably acts as a transcriptional regulator of genes specifically involved in that process. IFH1 convert FHL1 from a repressor to an activator.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TGGCAYGARCTSTGGCABGAAGGYYTGGA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6,4E-49</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MA0335.1 (MA0335.1.MET4)</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P32389</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Positive trans-acting factor capable of stimulating the transcription of the MET genes from the methionine biosynthetic pathway. MET4, MET28 and CBF1 are required for full induction of MET25 and MET16 gene transcription. MET4 controls as well the derepression of MET6. Required for the transcription of genes necessary for sulfur amino acid biosynthesis. Involved in the transcription activation of MET28 and MET30. Required for MET3 gene expression via assembly of the MET4-MET28-MET31 and MET4-MET28-MET32 complexes. Involved in response to cadmium and arsenic. Cadmium-activated MET4 also induces glutathione biosynthesis.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GGAGAACHTMTGTCAGCAYTGSAWTGGAT</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2,2E-48</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CAAGGATKCCSTYATGGCYGTYCTGGAAGC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1,3E-46</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MA0305.1 (MA0305.1.GCR2)</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Q01722</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Transcriptional activator required for the expression of glycolytic genes. Enhances the CT box-dependent transcriptional activation of a RAP1-GCR1 complex. Required for GCR1 phosphorylation.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TTRACTCSCATGYTGACHTTCGCCATGGA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3,3E-46</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MA0368.1 (MA0368.1.RIM101)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P33400</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Transcription factor that mediates regulation of both acid- and alkaline-expressed genes in response to ambient pH. At alkaline ambient pH, activates transcription of alkaline-expressed genes (including RIM101 itself), mainly by repressing transcriptional repressors of those genes, and represses transcription of acid-expressed genes. Required for meiosis, sporulation and invasive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TYGAACRKCGBMYHATGCTGCAGATGGCG</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1E-45</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MA0355.1 (MA0355.1.PHD1)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P36093</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Putative transcription factor that functions in pseudohyphal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GCTAYWTTCTGGGYCTGGGTGACCGWCAYC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3,4E-45</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AYATGTGGATCAAATTTGCCAACCTCTGC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1E-44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GCCTGGCAYDCSTGGGCKYTGGCCAACTT</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8,3E-44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CATYATGRAYAKTRTGCGDCAGCACAGYG</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4E-43</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GAYCTCAACMAAGCTTGGGATYTHTACTA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4,6E-42</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GGHGAYCAYDAYRTRGAGGGCATGTTTGC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5,1E-41</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MA0406.1 (MA0406.1.TEC1)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P18412</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TEC1 is involved in the activation of TY1 and TY1-mediated gene expression. It is not involved in mating or sporulation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RGATSTGTWYCRHGWTCTGTGGCWCAARA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9,3E-41</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MA0332.1 (MA0332.1.MET28)</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P40573</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Acts as an accessory factor in the activation of sulfur amino acids metabolism genes. Possesses no intrinsic transcription activation abilities. Binds to the MET16 promoter as a complex with MET4 and CBF1. Enhances the DNA-binding activity of CBF1.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YGATCRDGTSGACAARCTKCTCGCVCARGC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3,5E-40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TKCAGGTGSTTGCTCGGGTCAWGGAGAAGC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4,9E-40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CSTACCAGAGTGGSARACCRATCATBMGGA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1,5E-37</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GGTCTKMTGGGMTGGGTCBVCAACAGYGA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4,2E-34</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AGTTCATTCACGA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2,1E-12</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ACTACGACTA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5,5E-10</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CGAAGCAGTCACCGAA</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0,000000002</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CTGCATGACWCKCTCRTC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2,8E-09</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ATCAACAACCAGCTC</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0,00000001</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STREME</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MA0317.1 (MA0317.1.HCM1)</w:t>
            </w:r>
          </w:p>
        </w:tc>
        <w:tc>
          <w:tcPr>
            <w:tcW w:w="91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P25364</w:t>
            </w:r>
          </w:p>
        </w:tc>
        <w:tc>
          <w:tcPr>
            <w:tcW w:w="546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Transcription factor regulating the cell cycle specific transcription of a spindle pole body (SPB) calmodulin binding protein SPC110. Required for full induction of SPC110 transcription in late G1. Binds to DNA consensus sequence 5'-[AT]AA[TC]AAACAA[AT]-3'. Dosage dependent suppressor of calmodulin mutants which have specific defects in SPB assembly.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blHeader/>
          <w:jc w:val="center"/>
        </w:trPr>
        <w:tc>
          <w:tcPr>
            <w:tcW w:w="1788"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WHWTCGTRTAWAGTGAYAND</w:t>
            </w:r>
          </w:p>
        </w:tc>
        <w:tc>
          <w:tcPr>
            <w:tcW w:w="862"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0,0015</w:t>
            </w:r>
          </w:p>
        </w:tc>
        <w:tc>
          <w:tcPr>
            <w:tcW w:w="825"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r>
              <w:rPr>
                <w:rFonts w:hint="default" w:ascii="Verdana" w:hAnsi="Verdana" w:eastAsia="SimSun" w:cs="Verdana"/>
                <w:i w:val="0"/>
                <w:color w:val="000000"/>
                <w:kern w:val="0"/>
                <w:sz w:val="14"/>
                <w:szCs w:val="14"/>
                <w:u w:val="none"/>
                <w:bdr w:val="none" w:color="auto" w:sz="0" w:space="0"/>
                <w:lang w:val="en-US" w:eastAsia="zh-CN" w:bidi="ar"/>
              </w:rPr>
              <w:t>CENTRIMO</w:t>
            </w:r>
          </w:p>
        </w:tc>
        <w:tc>
          <w:tcPr>
            <w:tcW w:w="1513" w:type="dxa"/>
            <w:shd w:val="clear"/>
            <w:noWrap/>
            <w:vAlign w:val="center"/>
          </w:tcPr>
          <w:p>
            <w:pPr>
              <w:keepNext w:val="0"/>
              <w:keepLines w:val="0"/>
              <w:widowControl/>
              <w:suppressLineNumbers w:val="0"/>
              <w:jc w:val="center"/>
              <w:textAlignment w:val="bottom"/>
              <w:rPr>
                <w:rFonts w:hint="default" w:ascii="Verdana" w:hAnsi="Verdana" w:cs="Verdana"/>
                <w:i w:val="0"/>
                <w:color w:val="000000"/>
                <w:sz w:val="14"/>
                <w:szCs w:val="14"/>
                <w:u w:val="none"/>
              </w:rPr>
            </w:pPr>
          </w:p>
        </w:tc>
        <w:tc>
          <w:tcPr>
            <w:tcW w:w="912" w:type="dxa"/>
            <w:shd w:val="clear"/>
            <w:noWrap/>
            <w:vAlign w:val="center"/>
          </w:tcPr>
          <w:p>
            <w:pPr>
              <w:jc w:val="center"/>
              <w:rPr>
                <w:rFonts w:hint="default" w:ascii="Verdana" w:hAnsi="Verdana" w:cs="Verdana"/>
                <w:i w:val="0"/>
                <w:color w:val="000000"/>
                <w:sz w:val="14"/>
                <w:szCs w:val="14"/>
                <w:u w:val="none"/>
              </w:rPr>
            </w:pPr>
          </w:p>
        </w:tc>
        <w:tc>
          <w:tcPr>
            <w:tcW w:w="5463" w:type="dxa"/>
            <w:shd w:val="clear"/>
            <w:noWrap/>
            <w:vAlign w:val="center"/>
          </w:tcPr>
          <w:p>
            <w:pPr>
              <w:jc w:val="center"/>
              <w:rPr>
                <w:rFonts w:hint="default" w:ascii="Verdana" w:hAnsi="Verdana" w:cs="Verdana"/>
                <w:i w:val="0"/>
                <w:color w:val="000000"/>
                <w:sz w:val="14"/>
                <w:szCs w:val="14"/>
                <w:u w:val="none"/>
              </w:rPr>
            </w:pPr>
          </w:p>
        </w:tc>
      </w:tr>
    </w:tbl>
    <w:p>
      <w:pPr>
        <w:pStyle w:val="9"/>
        <w:jc w:val="both"/>
        <w:rPr>
          <w:rFonts w:hint="default" w:ascii="Verdana" w:hAnsi="Verdana" w:cs="Verdana"/>
          <w:lang w:val="en"/>
        </w:rPr>
      </w:pPr>
      <w:r>
        <w:rPr>
          <w:rFonts w:hint="default" w:ascii="Verdana" w:hAnsi="Verdana" w:cs="Verdana"/>
          <w:b/>
          <w:bCs/>
        </w:rPr>
        <w:t xml:space="preserve">Table </w:t>
      </w:r>
      <w:r>
        <w:rPr>
          <w:rFonts w:hint="default" w:ascii="Verdana" w:hAnsi="Verdana" w:cs="Verdana"/>
          <w:b/>
          <w:bCs/>
        </w:rPr>
        <w:fldChar w:fldCharType="begin"/>
      </w:r>
      <w:r>
        <w:rPr>
          <w:rFonts w:hint="default" w:ascii="Verdana" w:hAnsi="Verdana" w:cs="Verdana"/>
          <w:b/>
          <w:bCs/>
        </w:rPr>
        <w:instrText xml:space="preserve"> SEQ Table \* ARABIC </w:instrText>
      </w:r>
      <w:r>
        <w:rPr>
          <w:rFonts w:hint="default" w:ascii="Verdana" w:hAnsi="Verdana" w:cs="Verdana"/>
          <w:b/>
          <w:bCs/>
        </w:rPr>
        <w:fldChar w:fldCharType="separate"/>
      </w:r>
      <w:r>
        <w:rPr>
          <w:rFonts w:hint="default" w:ascii="Verdana" w:hAnsi="Verdana" w:cs="Verdana"/>
          <w:b/>
          <w:bCs/>
        </w:rPr>
        <w:t>3</w:t>
      </w:r>
      <w:r>
        <w:rPr>
          <w:rFonts w:hint="default" w:ascii="Verdana" w:hAnsi="Verdana" w:cs="Verdana"/>
          <w:b/>
          <w:bCs/>
        </w:rPr>
        <w:fldChar w:fldCharType="end"/>
      </w:r>
      <w:r>
        <w:rPr>
          <w:rFonts w:hint="default" w:ascii="Verdana" w:hAnsi="Verdana" w:cs="Verdana"/>
          <w:lang w:val="en"/>
        </w:rPr>
        <w:t xml:space="preserve"> Discovered promoter regions motifs (-3kb to 3kb from TSS) from </w:t>
      </w:r>
      <w:r>
        <w:rPr>
          <w:rStyle w:val="13"/>
          <w:rFonts w:hint="default"/>
          <w:lang w:val="en-US" w:eastAsia="zh-CN"/>
        </w:rPr>
        <w:t>XP_003321789.2</w:t>
      </w:r>
      <w:r>
        <w:rPr>
          <w:rStyle w:val="13"/>
          <w:rFonts w:hint="default"/>
          <w:lang w:val="en" w:eastAsia="zh-CN"/>
        </w:rPr>
        <w:t xml:space="preserve"> CDS homologs</w:t>
      </w:r>
      <w:r>
        <w:rPr>
          <w:rFonts w:hint="default" w:ascii="Verdana" w:hAnsi="Verdana" w:cs="Verdana"/>
          <w:lang w:val="en"/>
        </w:rPr>
        <w:t xml:space="preserve"> , with those identified by TomTom annotated with the function reported by UniProt. </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cs="Verdana"/>
        </w:rPr>
      </w:pPr>
      <w:r>
        <w:rPr>
          <w:rFonts w:hint="default" w:ascii="Verdana" w:hAnsi="Verdana" w:cs="Verdana"/>
        </w:rPr>
        <w:drawing>
          <wp:inline distT="0" distB="0" distL="114300" distR="114300">
            <wp:extent cx="5267960" cy="2936875"/>
            <wp:effectExtent l="0" t="0" r="8890" b="15875"/>
            <wp:docPr id="6"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true"/>
                    </pic:cNvPicPr>
                  </pic:nvPicPr>
                  <pic:blipFill>
                    <a:blip r:embed="rId7"/>
                    <a:stretch>
                      <a:fillRect/>
                    </a:stretch>
                  </pic:blipFill>
                  <pic:spPr>
                    <a:xfrm>
                      <a:off x="0" y="0"/>
                      <a:ext cx="5267960" cy="2936875"/>
                    </a:xfrm>
                    <a:prstGeom prst="rect">
                      <a:avLst/>
                    </a:prstGeom>
                    <a:noFill/>
                    <a:ln>
                      <a:noFill/>
                    </a:ln>
                  </pic:spPr>
                </pic:pic>
              </a:graphicData>
            </a:graphic>
          </wp:inline>
        </w:drawing>
      </w:r>
    </w:p>
    <w:p>
      <w:pPr>
        <w:pStyle w:val="9"/>
        <w:numPr>
          <w:numId w:val="0"/>
        </w:numPr>
        <w:ind w:left="100" w:hanging="80" w:hangingChars="50"/>
        <w:jc w:val="both"/>
        <w:rPr>
          <w:rFonts w:hint="default" w:ascii="Verdana" w:hAnsi="Verdana" w:cs="Verdana"/>
          <w:lang w:val="en" w:eastAsia="zh-CN"/>
        </w:rPr>
      </w:pPr>
      <w:r>
        <w:rPr>
          <w:rFonts w:hint="default" w:ascii="Verdana" w:hAnsi="Verdana" w:cs="Verdana"/>
          <w:b/>
          <w:bCs/>
        </w:rPr>
        <w:t xml:space="preserve">Figure </w:t>
      </w:r>
      <w:r>
        <w:rPr>
          <w:rFonts w:hint="default" w:ascii="Verdana" w:hAnsi="Verdana" w:cs="Verdana"/>
          <w:b/>
          <w:bCs/>
        </w:rPr>
        <w:fldChar w:fldCharType="begin"/>
      </w:r>
      <w:r>
        <w:rPr>
          <w:rFonts w:hint="default" w:ascii="Verdana" w:hAnsi="Verdana" w:cs="Verdana"/>
          <w:b/>
          <w:bCs/>
        </w:rPr>
        <w:instrText xml:space="preserve"> SEQ Figure \* ARABIC </w:instrText>
      </w:r>
      <w:r>
        <w:rPr>
          <w:rFonts w:hint="default" w:ascii="Verdana" w:hAnsi="Verdana" w:cs="Verdana"/>
          <w:b/>
          <w:bCs/>
        </w:rPr>
        <w:fldChar w:fldCharType="separate"/>
      </w:r>
      <w:r>
        <w:rPr>
          <w:rFonts w:hint="default" w:ascii="Verdana" w:hAnsi="Verdana" w:cs="Verdana"/>
          <w:b/>
          <w:bCs/>
        </w:rPr>
        <w:t>4</w:t>
      </w:r>
      <w:r>
        <w:rPr>
          <w:rFonts w:hint="default" w:ascii="Verdana" w:hAnsi="Verdana" w:cs="Verdana"/>
          <w:b/>
          <w:bCs/>
        </w:rPr>
        <w:fldChar w:fldCharType="end"/>
      </w:r>
      <w:r>
        <w:rPr>
          <w:rFonts w:hint="default" w:ascii="Verdana" w:hAnsi="Verdana" w:cs="Verdana"/>
          <w:lang w:val="en"/>
        </w:rPr>
        <w:t xml:space="preserve"> Motifs identified by Centrimo to be centrally enriched in the </w:t>
      </w:r>
      <w:r>
        <w:rPr>
          <w:rFonts w:hint="default" w:ascii="Verdana" w:hAnsi="Verdana" w:eastAsia="SimSun" w:cs="Verdana"/>
          <w:i w:val="0"/>
          <w:color w:val="000000"/>
          <w:kern w:val="0"/>
          <w:sz w:val="16"/>
          <w:szCs w:val="16"/>
          <w:u w:val="none"/>
          <w:lang w:val="en-US" w:eastAsia="zh-CN" w:bidi="ar"/>
        </w:rPr>
        <w:t>XP_003321789.2</w:t>
      </w:r>
      <w:r>
        <w:rPr>
          <w:rFonts w:hint="default" w:ascii="Verdana" w:hAnsi="Verdana" w:eastAsia="SimSun" w:cs="Verdana"/>
          <w:i w:val="0"/>
          <w:color w:val="000000"/>
          <w:kern w:val="0"/>
          <w:sz w:val="20"/>
          <w:szCs w:val="20"/>
          <w:u w:val="none"/>
          <w:lang w:val="en" w:eastAsia="zh-CN" w:bidi="ar"/>
        </w:rPr>
        <w:t xml:space="preserve"> </w:t>
      </w:r>
      <w:r>
        <w:rPr>
          <w:rFonts w:hint="default" w:ascii="Verdana" w:hAnsi="Verdana" w:cs="Verdana"/>
          <w:lang w:val="en"/>
        </w:rPr>
        <w:t>homologs sequences.</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318"/>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6318" w:type="dxa"/>
            <w:vAlign w:val="center"/>
          </w:tcPr>
          <w:p>
            <w:pPr>
              <w:numPr>
                <w:numId w:val="0"/>
              </w:numPr>
              <w:jc w:val="center"/>
              <w:rPr>
                <w:rFonts w:hint="default" w:ascii="Verdana" w:hAnsi="Verdana" w:eastAsia="SimSun" w:cs="Verdana"/>
                <w:b/>
                <w:bCs/>
                <w:i w:val="0"/>
                <w:color w:val="000000"/>
                <w:kern w:val="0"/>
                <w:sz w:val="20"/>
                <w:szCs w:val="20"/>
                <w:u w:val="none"/>
                <w:vertAlign w:val="baseline"/>
                <w:lang w:val="en" w:eastAsia="zh-CN" w:bidi="ar"/>
              </w:rPr>
            </w:pPr>
            <w:r>
              <w:rPr>
                <w:rFonts w:hint="default" w:ascii="Verdana" w:hAnsi="Verdana" w:eastAsia="SimSun" w:cs="Verdana"/>
                <w:b/>
                <w:bCs/>
                <w:i w:val="0"/>
                <w:color w:val="000000"/>
                <w:kern w:val="0"/>
                <w:sz w:val="20"/>
                <w:szCs w:val="20"/>
                <w:u w:val="none"/>
                <w:vertAlign w:val="baseline"/>
                <w:lang w:val="en" w:eastAsia="zh-CN" w:bidi="ar"/>
              </w:rPr>
              <w:t>Biological Process</w:t>
            </w:r>
          </w:p>
        </w:tc>
        <w:tc>
          <w:tcPr>
            <w:tcW w:w="2204" w:type="dxa"/>
            <w:vAlign w:val="center"/>
          </w:tcPr>
          <w:p>
            <w:pPr>
              <w:numPr>
                <w:numId w:val="0"/>
              </w:numPr>
              <w:jc w:val="center"/>
              <w:rPr>
                <w:rFonts w:hint="default" w:ascii="Verdana" w:hAnsi="Verdana" w:eastAsia="SimSun" w:cs="Verdana"/>
                <w:b/>
                <w:bCs/>
                <w:i w:val="0"/>
                <w:color w:val="000000"/>
                <w:kern w:val="0"/>
                <w:sz w:val="20"/>
                <w:szCs w:val="20"/>
                <w:u w:val="none"/>
                <w:vertAlign w:val="baseline"/>
                <w:lang w:val="en" w:eastAsia="zh-CN" w:bidi="ar"/>
              </w:rPr>
            </w:pPr>
            <w:r>
              <w:rPr>
                <w:rFonts w:hint="default" w:ascii="Verdana" w:hAnsi="Verdana" w:eastAsia="SimSun" w:cs="Verdana"/>
                <w:b/>
                <w:bCs/>
                <w:i w:val="0"/>
                <w:color w:val="000000"/>
                <w:kern w:val="0"/>
                <w:sz w:val="20"/>
                <w:szCs w:val="20"/>
                <w:u w:val="none"/>
                <w:vertAlign w:val="baseline"/>
                <w:lang w:val="en" w:eastAsia="zh-CN" w:bidi="ar"/>
              </w:rPr>
              <w:t>FDR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8"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Positive regulation of transcription by RNA polymerase II</w:t>
            </w:r>
          </w:p>
        </w:tc>
        <w:tc>
          <w:tcPr>
            <w:tcW w:w="2204" w:type="dxa"/>
            <w:vAlign w:val="center"/>
          </w:tcPr>
          <w:p>
            <w:pPr>
              <w:keepNext w:val="0"/>
              <w:keepLines w:val="0"/>
              <w:widowControl/>
              <w:suppressLineNumbers w:val="0"/>
              <w:jc w:val="center"/>
              <w:rPr>
                <w:rFonts w:hint="default" w:ascii="Verdana" w:hAnsi="Verdana" w:cs="Verdana"/>
                <w:sz w:val="20"/>
                <w:szCs w:val="20"/>
              </w:rPr>
            </w:pPr>
            <w:r>
              <w:rPr>
                <w:rFonts w:hint="default" w:ascii="Verdana" w:hAnsi="Verdana" w:eastAsia="SimSun" w:cs="Verdana"/>
                <w:i w:val="0"/>
                <w:caps w:val="0"/>
                <w:color w:val="000000"/>
                <w:spacing w:val="0"/>
                <w:kern w:val="0"/>
                <w:sz w:val="20"/>
                <w:szCs w:val="20"/>
                <w:shd w:val="clear" w:fill="FFFFFF"/>
                <w:lang w:val="en-US" w:eastAsia="zh-CN" w:bidi="ar"/>
              </w:rPr>
              <w:t>1.52E-05</w:t>
            </w:r>
          </w:p>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6318"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Positive regulation of pseudohyphal growth</w:t>
            </w:r>
          </w:p>
        </w:tc>
        <w:tc>
          <w:tcPr>
            <w:tcW w:w="2204"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1.52E-02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8"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Cysteine biosynthetic process</w:t>
            </w:r>
          </w:p>
        </w:tc>
        <w:tc>
          <w:tcPr>
            <w:tcW w:w="2204" w:type="dxa"/>
            <w:vAlign w:val="center"/>
          </w:tcPr>
          <w:p>
            <w:pPr>
              <w:numPr>
                <w:numId w:val="0"/>
              </w:numPr>
              <w:jc w:val="center"/>
              <w:rPr>
                <w:rFonts w:hint="default" w:ascii="Verdana" w:hAnsi="Verdana" w:eastAsia="SimSun" w:cs="Verdana"/>
                <w:b w:val="0"/>
                <w:bCs w:val="0"/>
                <w:i w:val="0"/>
                <w:color w:val="000000"/>
                <w:kern w:val="0"/>
                <w:sz w:val="20"/>
                <w:szCs w:val="20"/>
                <w:u w:val="none"/>
                <w:vertAlign w:val="baseline"/>
                <w:lang w:val="en" w:eastAsia="zh-CN" w:bidi="ar"/>
              </w:rPr>
            </w:pPr>
            <w:r>
              <w:rPr>
                <w:rFonts w:hint="default" w:ascii="Verdana" w:hAnsi="Verdana" w:eastAsia="SimSun" w:cs="Verdana"/>
                <w:b w:val="0"/>
                <w:bCs w:val="0"/>
                <w:i w:val="0"/>
                <w:color w:val="000000"/>
                <w:kern w:val="0"/>
                <w:sz w:val="20"/>
                <w:szCs w:val="20"/>
                <w:u w:val="none"/>
                <w:vertAlign w:val="baseline"/>
                <w:lang w:val="en" w:eastAsia="zh-CN" w:bidi="ar"/>
              </w:rPr>
              <w:t>1.48E-02</w:t>
            </w:r>
          </w:p>
        </w:tc>
      </w:tr>
    </w:tbl>
    <w:p>
      <w:pPr>
        <w:pStyle w:val="9"/>
        <w:jc w:val="both"/>
        <w:rPr>
          <w:rFonts w:hint="default" w:ascii="Verdana" w:hAnsi="Verdana" w:cs="Verdana"/>
          <w:lang w:val="en"/>
        </w:rPr>
      </w:pPr>
      <w:r>
        <w:rPr>
          <w:rFonts w:hint="default" w:ascii="Verdana" w:hAnsi="Verdana" w:cs="Verdana"/>
          <w:b/>
          <w:bCs/>
        </w:rPr>
        <w:t xml:space="preserve">Table </w:t>
      </w:r>
      <w:r>
        <w:rPr>
          <w:rFonts w:hint="default" w:ascii="Verdana" w:hAnsi="Verdana" w:cs="Verdana"/>
          <w:b/>
          <w:bCs/>
        </w:rPr>
        <w:fldChar w:fldCharType="begin"/>
      </w:r>
      <w:r>
        <w:rPr>
          <w:rFonts w:hint="default" w:ascii="Verdana" w:hAnsi="Verdana" w:cs="Verdana"/>
          <w:b/>
          <w:bCs/>
        </w:rPr>
        <w:instrText xml:space="preserve"> SEQ Table \* ARABIC </w:instrText>
      </w:r>
      <w:r>
        <w:rPr>
          <w:rFonts w:hint="default" w:ascii="Verdana" w:hAnsi="Verdana" w:cs="Verdana"/>
          <w:b/>
          <w:bCs/>
        </w:rPr>
        <w:fldChar w:fldCharType="separate"/>
      </w:r>
      <w:r>
        <w:rPr>
          <w:rFonts w:hint="default" w:ascii="Verdana" w:hAnsi="Verdana" w:cs="Verdana"/>
          <w:b/>
          <w:bCs/>
        </w:rPr>
        <w:t>4</w:t>
      </w:r>
      <w:r>
        <w:rPr>
          <w:rFonts w:hint="default" w:ascii="Verdana" w:hAnsi="Verdana" w:cs="Verdana"/>
          <w:b/>
          <w:bCs/>
        </w:rPr>
        <w:fldChar w:fldCharType="end"/>
      </w:r>
      <w:r>
        <w:rPr>
          <w:rFonts w:hint="default" w:ascii="Verdana" w:hAnsi="Verdana" w:cs="Verdana"/>
          <w:lang w:val="en"/>
        </w:rPr>
        <w:t xml:space="preserve"> Biological process enriched GO terms as identified by Panther, </w:t>
      </w:r>
      <w:r>
        <w:rPr>
          <w:rFonts w:hint="default" w:ascii="Verdana" w:hAnsi="Verdana" w:cs="Verdana"/>
          <w:lang w:val="en"/>
        </w:rPr>
        <w:t xml:space="preserve">using the recognized proteins, matched to the motifs, identified using meme-chip on the </w:t>
      </w:r>
      <w:r>
        <w:rPr>
          <w:rStyle w:val="13"/>
          <w:rFonts w:hint="default"/>
          <w:lang w:val="en-US" w:eastAsia="zh-CN"/>
        </w:rPr>
        <w:t>XP_003321789.2</w:t>
      </w:r>
      <w:r>
        <w:rPr>
          <w:rFonts w:hint="default" w:ascii="Verdana" w:hAnsi="Verdana" w:eastAsia="SimSun" w:cs="Verdana"/>
          <w:i w:val="0"/>
          <w:color w:val="000000"/>
          <w:kern w:val="0"/>
          <w:sz w:val="20"/>
          <w:szCs w:val="20"/>
          <w:u w:val="none"/>
          <w:lang w:val="en" w:eastAsia="zh-CN" w:bidi="ar"/>
        </w:rPr>
        <w:t xml:space="preserve"> </w:t>
      </w:r>
      <w:r>
        <w:rPr>
          <w:rFonts w:hint="default" w:ascii="Verdana" w:hAnsi="Verdana" w:cs="Verdana"/>
          <w:lang w:val="en"/>
        </w:rPr>
        <w:t>homologs sequences</w:t>
      </w:r>
      <w:r>
        <w:rPr>
          <w:rFonts w:hint="default" w:ascii="Verdana" w:hAnsi="Verdana" w:cs="Verdana"/>
          <w:lang w:val="en"/>
        </w:rPr>
        <w:t>.</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pStyle w:val="6"/>
        <w:bidi w:val="0"/>
        <w:jc w:val="both"/>
        <w:rPr>
          <w:rFonts w:hint="default" w:ascii="Verdana" w:hAnsi="Verdana" w:cs="Verdana"/>
          <w:i/>
          <w:iCs/>
          <w:lang w:val="en" w:eastAsia="zh-CN"/>
        </w:rPr>
      </w:pPr>
      <w:r>
        <w:rPr>
          <w:rFonts w:hint="default" w:ascii="Verdana" w:hAnsi="Verdana" w:cs="Verdana"/>
          <w:i w:val="0"/>
          <w:iCs w:val="0"/>
          <w:lang w:val="en" w:eastAsia="zh-CN"/>
        </w:rPr>
        <w:t>Discussion</w:t>
      </w:r>
    </w:p>
    <w:p>
      <w:pPr>
        <w:numPr>
          <w:numId w:val="0"/>
        </w:numPr>
        <w:jc w:val="both"/>
        <w:rPr>
          <w:rFonts w:hint="default" w:ascii="Verdana" w:hAnsi="Verdana" w:eastAsia="SimSun" w:cs="Verdana"/>
          <w:b w:val="0"/>
          <w:bCs w:val="0"/>
          <w:i w:val="0"/>
          <w:color w:val="000000"/>
          <w:kern w:val="0"/>
          <w:sz w:val="20"/>
          <w:szCs w:val="20"/>
          <w:u w:val="none"/>
          <w:lang w:val="en" w:eastAsia="zh-CN" w:bidi="ar"/>
        </w:rPr>
      </w:pPr>
    </w:p>
    <w:p>
      <w:pPr>
        <w:numPr>
          <w:numId w:val="0"/>
        </w:numPr>
        <w:jc w:val="both"/>
        <w:rPr>
          <w:rFonts w:hint="default" w:ascii="Verdana" w:hAnsi="Verdana" w:cs="Verdana"/>
          <w:sz w:val="20"/>
          <w:szCs w:val="20"/>
          <w:lang w:val="en"/>
        </w:rPr>
      </w:pPr>
      <w:r>
        <w:rPr>
          <w:rFonts w:hint="default" w:ascii="Verdana" w:hAnsi="Verdana" w:eastAsia="SimSun" w:cs="Verdana"/>
          <w:b w:val="0"/>
          <w:bCs w:val="0"/>
          <w:i w:val="0"/>
          <w:color w:val="000000"/>
          <w:kern w:val="0"/>
          <w:sz w:val="20"/>
          <w:szCs w:val="20"/>
          <w:u w:val="none"/>
          <w:lang w:val="en" w:eastAsia="zh-CN" w:bidi="ar"/>
        </w:rPr>
        <w:t>In this work, two fungi species, which exhibit significant evolutionary differences, as it can be observed in the species tree (</w:t>
      </w:r>
      <w:r>
        <w:rPr>
          <w:rFonts w:hint="default" w:ascii="Verdana" w:hAnsi="Verdana" w:eastAsia="SimSun" w:cs="Verdana"/>
          <w:b/>
          <w:bCs/>
          <w:i w:val="0"/>
          <w:color w:val="000000"/>
          <w:kern w:val="0"/>
          <w:sz w:val="20"/>
          <w:szCs w:val="20"/>
          <w:u w:val="none"/>
          <w:lang w:val="en" w:eastAsia="zh-CN" w:bidi="ar"/>
        </w:rPr>
        <w:t>figure</w:t>
      </w:r>
      <w:r>
        <w:rPr>
          <w:rFonts w:hint="default" w:ascii="Verdana" w:hAnsi="Verdana" w:eastAsia="SimSun" w:cs="Verdana"/>
          <w:b/>
          <w:bCs/>
          <w:i w:val="0"/>
          <w:color w:val="000000"/>
          <w:kern w:val="0"/>
          <w:sz w:val="20"/>
          <w:szCs w:val="20"/>
          <w:u w:val="none"/>
          <w:lang w:val="en" w:eastAsia="zh-CN" w:bidi="ar"/>
        </w:rPr>
        <w:t xml:space="preserve"> 2</w:t>
      </w:r>
      <w:r>
        <w:rPr>
          <w:rFonts w:hint="default" w:ascii="Verdana" w:hAnsi="Verdana" w:eastAsia="SimSun" w:cs="Verdana"/>
          <w:b w:val="0"/>
          <w:bCs w:val="0"/>
          <w:i w:val="0"/>
          <w:color w:val="000000"/>
          <w:kern w:val="0"/>
          <w:sz w:val="20"/>
          <w:szCs w:val="20"/>
          <w:u w:val="none"/>
          <w:lang w:val="en" w:eastAsia="zh-CN" w:bidi="ar"/>
        </w:rPr>
        <w:t xml:space="preserve">), had their proteomes compared and analyzed, with a focus on the recognition of similarities. The noticeable amount of imbalanced COGs discovered implies that there was a differential set of duplication events in a broad genomic region, which could be further examined by a synteny analysis, where the 18 PG chromosome pairs could be compared to the 7 NC chromosome pairs in a pairwise manner, which was not possible using GoGe online tool, as only the contigs and supercontigs were available. The low number of orthologs identified, in comparison to the total amount of protein-coding genes, further highlights the differences between the two species. The isolated COG, to which orthologs from other related organisms have been retrieved, displayed a number of conserved regions, related to the function of it as a member of kinases superfamily. </w:t>
      </w:r>
      <w:r>
        <w:rPr>
          <w:rFonts w:hint="default" w:ascii="Verdana" w:hAnsi="Verdana" w:cs="Verdana"/>
          <w:sz w:val="20"/>
          <w:szCs w:val="20"/>
          <w:lang w:val="en"/>
        </w:rPr>
        <w:t>The structure of the phylogenetic species tree, up to the species level, agrees with the structure of the constructed tree, implying that it was central in the species differentiation. This observation gives fertile ground to assess the essentiality of this protein through wet-lab ablation experiments. By studying the conserved promoter regions and identifying retained motifs, such studies can be further improved, by inhibiting the protein function in-vivo, with designed molecules that could bind to them and arrest the protein production during cell cycle. Such a fact could be considered useful, to assess the FRB_dom related protein binding region, as it is related to G1 progression (Villela-Bach et. al., 1999). The related biological processes to the promoters show a strong connection with positive regulation, implying that negative regulation is an undesired effect for this protein, providing further evidence of its essentiality.</w:t>
      </w:r>
    </w:p>
    <w:p>
      <w:pPr>
        <w:numPr>
          <w:numId w:val="0"/>
        </w:numPr>
        <w:jc w:val="both"/>
        <w:rPr>
          <w:rFonts w:hint="default" w:ascii="Verdana" w:hAnsi="Verdana" w:cs="Verdana"/>
          <w:sz w:val="20"/>
          <w:szCs w:val="20"/>
          <w:lang w:val="en"/>
        </w:rPr>
      </w:pPr>
    </w:p>
    <w:p>
      <w:pPr>
        <w:pStyle w:val="6"/>
        <w:bidi w:val="0"/>
        <w:rPr>
          <w:rFonts w:hint="default"/>
          <w:lang w:val="en"/>
        </w:rPr>
      </w:pPr>
      <w:r>
        <w:rPr>
          <w:rFonts w:hint="default"/>
          <w:lang w:val="en"/>
        </w:rPr>
        <w:t>Code Access</w:t>
      </w:r>
    </w:p>
    <w:p>
      <w:pPr>
        <w:rPr>
          <w:rFonts w:hint="default"/>
          <w:lang w:val="en"/>
        </w:rPr>
      </w:pPr>
      <w:r>
        <w:rPr>
          <w:rFonts w:hint="default"/>
          <w:lang w:val="en"/>
        </w:rPr>
        <w:t xml:space="preserve">The code used, as well as the additional files required for this work can be accessed in the GitHub repository: </w:t>
      </w:r>
      <w:r>
        <w:rPr>
          <w:rFonts w:hint="default"/>
          <w:lang w:val="en"/>
        </w:rPr>
        <w:fldChar w:fldCharType="begin"/>
      </w:r>
      <w:r>
        <w:rPr>
          <w:rFonts w:hint="default"/>
          <w:lang w:val="en"/>
        </w:rPr>
        <w:instrText xml:space="preserve"> HYPERLINK "https://github.com/VasLem/comparative_genomics_21" </w:instrText>
      </w:r>
      <w:r>
        <w:rPr>
          <w:rFonts w:hint="default"/>
          <w:lang w:val="en"/>
        </w:rPr>
        <w:fldChar w:fldCharType="separate"/>
      </w:r>
      <w:r>
        <w:rPr>
          <w:rStyle w:val="10"/>
          <w:rFonts w:hint="default"/>
          <w:lang w:val="en"/>
        </w:rPr>
        <w:t>https://github.com/VasLem/comparative_genomics_21</w:t>
      </w:r>
      <w:r>
        <w:rPr>
          <w:rFonts w:hint="default"/>
          <w:lang w:val="en"/>
        </w:rPr>
        <w:fldChar w:fldCharType="end"/>
      </w:r>
      <w:r>
        <w:rPr>
          <w:rFonts w:hint="default"/>
          <w:lang w:val="en"/>
        </w:rPr>
        <w:t xml:space="preserve"> .</w:t>
      </w:r>
    </w:p>
    <w:p>
      <w:pPr>
        <w:pStyle w:val="6"/>
        <w:bidi w:val="0"/>
        <w:jc w:val="both"/>
        <w:rPr>
          <w:rFonts w:hint="default" w:ascii="Verdana" w:hAnsi="Verdana" w:cs="Verdana"/>
          <w:i w:val="0"/>
          <w:iCs w:val="0"/>
          <w:lang w:val="en"/>
        </w:rPr>
      </w:pPr>
      <w:r>
        <w:rPr>
          <w:rFonts w:hint="default" w:ascii="Verdana" w:hAnsi="Verdana" w:cs="Verdana"/>
          <w:i w:val="0"/>
          <w:iCs w:val="0"/>
          <w:lang w:val="en"/>
        </w:rPr>
        <w:t>References</w:t>
      </w:r>
    </w:p>
    <w:p>
      <w:pPr>
        <w:numPr>
          <w:numId w:val="0"/>
        </w:numPr>
        <w:jc w:val="both"/>
        <w:rPr>
          <w:rFonts w:hint="default" w:ascii="Verdana" w:hAnsi="Verdana" w:cs="Verdana"/>
          <w:sz w:val="20"/>
          <w:szCs w:val="20"/>
          <w:lang w:val="en"/>
        </w:rPr>
      </w:pP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Ray, Paul D., and Rebecca C. Fry. “The Cell: The Fundamental Unit in Systems Biology.” </w:t>
      </w:r>
      <w:r>
        <w:rPr>
          <w:rFonts w:hint="default" w:ascii="Verdana" w:hAnsi="Verdana" w:cs="Verdana"/>
          <w:i/>
          <w:sz w:val="18"/>
          <w:szCs w:val="18"/>
        </w:rPr>
        <w:t>Systems Biology in Toxicology and Environmental Health</w:t>
      </w:r>
      <w:r>
        <w:rPr>
          <w:rFonts w:hint="default" w:ascii="Verdana" w:hAnsi="Verdana" w:cs="Verdana"/>
          <w:sz w:val="18"/>
          <w:szCs w:val="18"/>
        </w:rPr>
        <w:t>, Academic Press, Jan. 2015, pp. 11–42, doi:10.1016/B978-0-12-801564-3.00002-X.</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Choi, Jae H., et al. “The FKBP12-Rapamycin-Associated Protein (FRAP) Is a CLIP-170 Kinase.” </w:t>
      </w:r>
      <w:r>
        <w:rPr>
          <w:rFonts w:hint="default" w:ascii="Verdana" w:hAnsi="Verdana" w:cs="Verdana"/>
          <w:i/>
          <w:sz w:val="18"/>
          <w:szCs w:val="18"/>
        </w:rPr>
        <w:t>EMBO Reports</w:t>
      </w:r>
      <w:r>
        <w:rPr>
          <w:rFonts w:hint="default" w:ascii="Verdana" w:hAnsi="Verdana" w:cs="Verdana"/>
          <w:sz w:val="18"/>
          <w:szCs w:val="18"/>
        </w:rPr>
        <w:t>, vol. 3, no. 10, John Wiley &amp; Sons, Ltd, Oct. 2002, pp. 988–94, doi:https://doi.org/10.1093/embo-reports/kvf197.</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Castro-Mondragon, Jaime A., et al. “JASPAR 2022: The 9th Release of the Open-Access Database of Transcription Factor Binding Profiles.” </w:t>
      </w:r>
      <w:r>
        <w:rPr>
          <w:rFonts w:hint="default" w:ascii="Verdana" w:hAnsi="Verdana" w:cs="Verdana"/>
          <w:i/>
          <w:sz w:val="18"/>
          <w:szCs w:val="18"/>
        </w:rPr>
        <w:t>Nucleic Acids Research</w:t>
      </w:r>
      <w:r>
        <w:rPr>
          <w:rFonts w:hint="default" w:ascii="Verdana" w:hAnsi="Verdana" w:cs="Verdana"/>
          <w:sz w:val="18"/>
          <w:szCs w:val="18"/>
        </w:rPr>
        <w:t>, Nov. 2021, p. gkab1113, doi:10.1093/nar/gkab1113.</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Lu, Shennan, et al. “CDD/SPARCLE: The Conserved Domain Database in 2020.” </w:t>
      </w:r>
      <w:r>
        <w:rPr>
          <w:rFonts w:hint="default" w:ascii="Verdana" w:hAnsi="Verdana" w:cs="Verdana"/>
          <w:i/>
          <w:sz w:val="18"/>
          <w:szCs w:val="18"/>
        </w:rPr>
        <w:t>Nucleic Acids Research</w:t>
      </w:r>
      <w:r>
        <w:rPr>
          <w:rFonts w:hint="default" w:ascii="Verdana" w:hAnsi="Verdana" w:cs="Verdana"/>
          <w:sz w:val="18"/>
          <w:szCs w:val="18"/>
        </w:rPr>
        <w:t>, vol. 48, no. D1, Jan. 2020, pp. D265–68, doi:10.1093/nar/gkz991.</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Machanick, Philip, and Timothy L. Bailey. “MEME-ChIP: Motif Analysis of Large DNA Datasets.” </w:t>
      </w:r>
      <w:r>
        <w:rPr>
          <w:rFonts w:hint="default" w:ascii="Verdana" w:hAnsi="Verdana" w:cs="Verdana"/>
          <w:i/>
          <w:sz w:val="18"/>
          <w:szCs w:val="18"/>
        </w:rPr>
        <w:t>Bioinformatics</w:t>
      </w:r>
      <w:r>
        <w:rPr>
          <w:rFonts w:hint="default" w:ascii="Verdana" w:hAnsi="Verdana" w:cs="Verdana"/>
          <w:sz w:val="18"/>
          <w:szCs w:val="18"/>
        </w:rPr>
        <w:t>, vol. 27, no. 12, June 2011, pp. 1696–97, doi:10.1093/bioinformatics/btr189.</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Larkin, M. A., et al. “Clustal W and Clustal X Version 2.0.” </w:t>
      </w:r>
      <w:r>
        <w:rPr>
          <w:rFonts w:hint="default" w:ascii="Verdana" w:hAnsi="Verdana" w:cs="Verdana"/>
          <w:i/>
          <w:sz w:val="18"/>
          <w:szCs w:val="18"/>
        </w:rPr>
        <w:t>Bioinformatics</w:t>
      </w:r>
      <w:r>
        <w:rPr>
          <w:rFonts w:hint="default" w:ascii="Verdana" w:hAnsi="Verdana" w:cs="Verdana"/>
          <w:sz w:val="18"/>
          <w:szCs w:val="18"/>
        </w:rPr>
        <w:t>, vol. 23, no. 21, Nov. 2007, pp. 2947–48, doi:10.1093/bioinformatics/btm404.</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Mi, Huaiyu, et al. “PANTHER Version 16: A Revised Family Classification, Tree-Based Classification Tool, Enhancer Regions and Extensive API.” </w:t>
      </w:r>
      <w:r>
        <w:rPr>
          <w:rFonts w:hint="default" w:ascii="Verdana" w:hAnsi="Verdana" w:cs="Verdana"/>
          <w:i/>
          <w:sz w:val="18"/>
          <w:szCs w:val="18"/>
        </w:rPr>
        <w:t>Nucleic Acids Research</w:t>
      </w:r>
      <w:r>
        <w:rPr>
          <w:rFonts w:hint="default" w:ascii="Verdana" w:hAnsi="Verdana" w:cs="Verdana"/>
          <w:sz w:val="18"/>
          <w:szCs w:val="18"/>
        </w:rPr>
        <w:t>, vol. 49, no. D1, Jan. 2021, pp. D394–403, doi:10.1093/nar/gkaa1106.</w:t>
      </w:r>
    </w:p>
    <w:p>
      <w:pPr>
        <w:pStyle w:val="11"/>
        <w:keepNext w:val="0"/>
        <w:keepLines w:val="0"/>
        <w:widowControl/>
        <w:suppressLineNumbers w:val="0"/>
        <w:ind w:left="480" w:hanging="480"/>
        <w:jc w:val="both"/>
        <w:rPr>
          <w:rFonts w:hint="default" w:ascii="Verdana" w:hAnsi="Verdana" w:cs="Verdana"/>
          <w:sz w:val="18"/>
          <w:szCs w:val="18"/>
        </w:rPr>
      </w:pPr>
      <w:r>
        <w:rPr>
          <w:rFonts w:hint="default" w:ascii="Verdana" w:hAnsi="Verdana" w:cs="Verdana"/>
          <w:sz w:val="18"/>
          <w:szCs w:val="18"/>
        </w:rPr>
        <w:t xml:space="preserve">Vilella-Bach, M., et al. “The FKBP12-Rapamycin-Binding Domain Is Required for FKBP12-Rapamycin-Associated  Protein Kinase Activity and G1 Progression.” </w:t>
      </w:r>
      <w:r>
        <w:rPr>
          <w:rFonts w:hint="default" w:ascii="Verdana" w:hAnsi="Verdana" w:cs="Verdana"/>
          <w:i/>
          <w:sz w:val="18"/>
          <w:szCs w:val="18"/>
        </w:rPr>
        <w:t>The Journal of Biological Chemistry</w:t>
      </w:r>
      <w:r>
        <w:rPr>
          <w:rFonts w:hint="default" w:ascii="Verdana" w:hAnsi="Verdana" w:cs="Verdana"/>
          <w:sz w:val="18"/>
          <w:szCs w:val="18"/>
        </w:rPr>
        <w:t>, vol. 274, no. 7, Feb. 1999, pp. 4266–72, doi:10.1074/jbc.274.7.4266.</w:t>
      </w:r>
    </w:p>
    <w:p>
      <w:pPr>
        <w:numPr>
          <w:numId w:val="0"/>
        </w:numPr>
        <w:jc w:val="both"/>
        <w:rPr>
          <w:rFonts w:hint="default" w:ascii="Verdana" w:hAnsi="Verdana" w:cs="Verdana"/>
          <w:sz w:val="20"/>
          <w:szCs w:val="20"/>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Ubuntu Mono">
    <w:panose1 w:val="020B0509030602030204"/>
    <w:charset w:val="00"/>
    <w:family w:val="auto"/>
    <w:pitch w:val="default"/>
    <w:sig w:usb0="E00002FF" w:usb1="5000205B" w:usb2="00000000" w:usb3="00000000" w:csb0="2000009F" w:csb1="56010000"/>
  </w:font>
  <w:font w:name="Verdana">
    <w:panose1 w:val="020B0604030504040204"/>
    <w:charset w:val="00"/>
    <w:family w:val="auto"/>
    <w:pitch w:val="default"/>
    <w:sig w:usb0="00000287" w:usb1="00000000" w:usb2="00000000" w:usb3="00000000" w:csb0="2000019F" w:csb1="00000000"/>
  </w:font>
  <w:font w:name="sans-serif">
    <w:altName w:val="Poppins ExtraLight"/>
    <w:panose1 w:val="00000000000000000000"/>
    <w:charset w:val="00"/>
    <w:family w:val="auto"/>
    <w:pitch w:val="default"/>
    <w:sig w:usb0="00000000" w:usb1="00000000" w:usb2="00000000" w:usb3="00000000" w:csb0="00000000" w:csb1="00000000"/>
  </w:font>
  <w:font w:name="Poppins ExtraLight">
    <w:panose1 w:val="00000300000000000000"/>
    <w:charset w:val="00"/>
    <w:family w:val="auto"/>
    <w:pitch w:val="default"/>
    <w:sig w:usb0="00008007" w:usb1="00000000" w:usb2="00000000" w:usb3="00000000" w:csb0="20000093" w:csb1="00000000"/>
  </w:font>
  <w:font w:name="helvetica">
    <w:altName w:val="Poppins ExtraLight"/>
    <w:panose1 w:val="00000000000000000000"/>
    <w:charset w:val="00"/>
    <w:family w:val="auto"/>
    <w:pitch w:val="default"/>
    <w:sig w:usb0="00000000" w:usb1="00000000" w:usb2="00000000" w:usb3="00000000" w:csb0="00000000" w:csb1="00000000"/>
  </w:font>
  <w:font w:name="icon">
    <w:altName w:val="Poppins ExtraLight"/>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Body Asian">
    <w:altName w:val="Poppins ExtraLight"/>
    <w:panose1 w:val="00000000000000000000"/>
    <w:charset w:val="00"/>
    <w:family w:val="auto"/>
    <w:pitch w:val="default"/>
    <w:sig w:usb0="00000000" w:usb1="00000000" w:usb2="00000000" w:usb3="00000000" w:csb0="00000000" w:csb1="00000000"/>
  </w:font>
  <w:font w:name="+Body">
    <w:altName w:val="Poppins ExtraLigh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FCC5C"/>
    <w:rsid w:val="293905D2"/>
    <w:rsid w:val="47FE70BF"/>
    <w:rsid w:val="5F031BFD"/>
    <w:rsid w:val="67DFCC5C"/>
    <w:rsid w:val="6FF3A7B9"/>
    <w:rsid w:val="7D7F579C"/>
    <w:rsid w:val="7DDF9C1E"/>
    <w:rsid w:val="7E96CBAB"/>
    <w:rsid w:val="7EF7FEB5"/>
    <w:rsid w:val="7F96EB73"/>
    <w:rsid w:val="EEDF5B95"/>
    <w:rsid w:val="F7FF0379"/>
    <w:rsid w:val="FCD949DB"/>
    <w:rsid w:val="FCFF7A1F"/>
    <w:rsid w:val="FDEF6586"/>
    <w:rsid w:val="FDFF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Verdana" w:hAnsi="Verdana" w:cs="Verdana"/>
      <w:b/>
      <w:bCs/>
      <w:sz w:val="24"/>
      <w:szCs w:val="24"/>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link w:val="13"/>
    <w:unhideWhenUsed/>
    <w:qFormat/>
    <w:uiPriority w:val="0"/>
    <w:rPr>
      <w:rFonts w:ascii="Arial" w:hAnsi="Arial" w:eastAsia="黑体" w:cs="Arial"/>
      <w:sz w:val="16"/>
    </w:rPr>
  </w:style>
  <w:style w:type="character" w:styleId="10">
    <w:name w:val="Hyperlink"/>
    <w:basedOn w:val="7"/>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table" w:styleId="12">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Caption Char"/>
    <w:link w:val="9"/>
    <w:uiPriority w:val="0"/>
    <w:rPr>
      <w:rFonts w:ascii="Arial" w:hAnsi="Arial" w:eastAsia="黑体" w:cs="Arial"/>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2272</Words>
  <Characters>14241</Characters>
  <Lines>0</Lines>
  <Paragraphs>0</Paragraphs>
  <TotalTime>32</TotalTime>
  <ScaleCrop>false</ScaleCrop>
  <LinksUpToDate>false</LinksUpToDate>
  <CharactersWithSpaces>16256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2021-12-31T00:56:00Z</dcterms:created>
  <dc:creator>vaslem</dc:creator>
  <cp:lastModifiedBy>vaslem</cp:lastModifiedBy>
  <dcterms:modified xsi:type="dcterms:W3CDTF">2022-01-01T18:04:00Z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