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 Permettre à l’utilisateur d’éditer un circuit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1.1 Créer une “feuille de construction” sur laquelle poser des composants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  <w:t xml:space="preserve">1.1.1 Créer un fil entre composants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ab/>
        <w:t xml:space="preserve">1.1.2 Faire de la feuille un seul composant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 xml:space="preserve">1.2.3 Zoomer et dézoomer dans la feuille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 xml:space="preserve">1.2.4 Se déplacer dans la feuille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1.2 Créer une barre transversale avec les actions possibles</w:t>
      </w:r>
    </w:p>
    <w:p w:rsidR="00000000" w:rsidDel="00000000" w:rsidP="00000000" w:rsidRDefault="00000000" w:rsidRPr="00000000" w14:paraId="00000008">
      <w:pPr>
        <w:ind w:left="720" w:firstLine="720"/>
        <w:rPr/>
      </w:pPr>
      <w:r w:rsidDel="00000000" w:rsidR="00000000" w:rsidRPr="00000000">
        <w:rPr>
          <w:rtl w:val="0"/>
        </w:rPr>
        <w:t xml:space="preserve">1.2.1 Permettre d’ajouter et déplacer des composants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  <w:t xml:space="preserve">1.2.2 Permettre de lancer ou enlever le mode simulation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  <w:t xml:space="preserve">1.2.3 Changer entre un mode graphique nuit et jour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  <w:t xml:space="preserve">1.2.4 Ouvrir ou créer une nouvelle feuille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  <w:t xml:space="preserve">1.2.5 Pouvoir sauvegarder une feuille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  <w:t xml:space="preserve">1.2.6 Donner des instructions d’aides pour se servir du logiciel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