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FZXiaoBiaoSong-B05S" w:hAnsi="FZXiaoBiaoSong-B05S" w:eastAsia="FZXiaoBiaoSong-B05S"/>
          <w:b/>
          <w:sz w:val="44"/>
        </w:rPr>
        <w:t>活动方案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活动名称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activity_name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主办单位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sponsor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活动负责人及联系方式（手机）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contact_phone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活动时间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start_time }} 至 {{ end_time }}，共计 {{ total_days }} 天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开幕式时间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{% if has_opening == '是' %}{{ opening_start }} 至 {{ opening_end }}{% else %}无{% endif %}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主要活动内容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activity_content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工作人员数量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staff_count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演员数量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performer_count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嘉宾数量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guest_count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主要活动日人数规模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opening_crowd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平日人数规模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regular_crowd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搭建方案（含材料明细、平面图、效果图、标注尺寸）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{{ construction_plan }}</w:t>
            </w:r>
          </w:p>
        </w:tc>
      </w:tr>
      <w:tr>
        <w:tc>
          <w:tcPr>
            <w:tcW w:type="dxa" w:w="4320"/>
          </w:tcPr>
          <w:p>
            <w:r>
              <w:rPr>
                <w:rFonts w:ascii="KaiTi_GB2312" w:hAnsi="KaiTi_GB2312" w:eastAsia="KaiTi_GB2312"/>
                <w:b/>
                <w:sz w:val="21"/>
              </w:rPr>
              <w:t>备注</w:t>
            </w:r>
          </w:p>
        </w:tc>
        <w:tc>
          <w:tcPr>
            <w:tcW w:type="dxa" w:w="4320"/>
          </w:tcPr>
          <w:p>
            <w:r>
              <w:rPr>
                <w:rFonts w:ascii="FangSong_GB2312" w:hAnsi="FangSong_GB2312" w:eastAsia="FangSong_GB2312"/>
                <w:b w:val="0"/>
                <w:sz w:val="21"/>
              </w:rPr>
              <w:t>备注：现场秩序维护及安全保障由主办方负责。</w:t>
              <w:br/>
              <w:t>{{ remarks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angSong_GB2312" w:hAnsi="FangSong_GB23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