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left w:val="single" w:color="0E7C7B" w:sz="36" w:space="12"/>
        </w:pBdr>
        <w:spacing w:after="120"/>
        <w:jc w:val="left"/>
      </w:pPr>
      <w:r>
        <w:rPr>
          <w:rFonts w:ascii="Calibri" w:cs="Calibri" w:eastAsia="Calibri" w:hAnsi="Calibri"/>
          <w:b/>
          <w:bCs/>
          <w:color w:val="0E7C7B"/>
          <w:spacing w:val="30"/>
          <w:sz w:val="22"/>
          <w:szCs w:val="22"/>
        </w:rPr>
        <w:t xml:space="preserve">POINT OF VIEW</w:t>
      </w:r>
    </w:p>
    <w:p>
      <w:pPr>
        <w:pBdr>
          <w:left w:val="single" w:color="0E7C7B" w:sz="36" w:space="12"/>
        </w:pBdr>
        <w:spacing w:after="60"/>
      </w:pPr>
      <w:r>
        <w:rPr>
          <w:rFonts w:ascii="Calibri" w:cs="Calibri" w:eastAsia="Calibri" w:hAnsi="Calibri"/>
          <w:b/>
          <w:bCs/>
          <w:color w:val="1B2A4A"/>
          <w:sz w:val="52"/>
          <w:szCs w:val="52"/>
        </w:rPr>
        <w:t xml:space="preserve">Agentic AI Adoption in</w:t>
      </w:r>
    </w:p>
    <w:p>
      <w:pPr>
        <w:pBdr>
          <w:left w:val="single" w:color="0E7C7B" w:sz="36" w:space="12"/>
        </w:pBdr>
        <w:spacing w:after="300"/>
      </w:pPr>
      <w:r>
        <w:rPr>
          <w:rFonts w:ascii="Calibri" w:cs="Calibri" w:eastAsia="Calibri" w:hAnsi="Calibri"/>
          <w:b/>
          <w:bCs/>
          <w:color w:val="1B2A4A"/>
          <w:sz w:val="52"/>
          <w:szCs w:val="52"/>
        </w:rPr>
        <w:t xml:space="preserve">Back-Office Business Process Automation</w:t>
      </w:r>
    </w:p>
    <w:p>
      <w:pPr>
        <w:pBdr>
          <w:left w:val="single" w:color="0E7C7B" w:sz="36" w:space="12"/>
        </w:pBdr>
        <w:spacing w:after="2000"/>
      </w:pPr>
      <w:r>
        <w:rPr>
          <w:rFonts w:ascii="Calibri" w:cs="Calibri" w:eastAsia="Calibri" w:hAnsi="Calibri"/>
          <w:i/>
          <w:iCs/>
          <w:color w:val="44546A"/>
          <w:sz w:val="24"/>
          <w:szCs w:val="24"/>
        </w:rPr>
        <w:t xml:space="preserve">From pilots to a governed, autonomous back office: what changes when agents — not bots — run the process</w:t>
      </w:r>
    </w:p>
    <w:p>
      <w:pPr>
        <w:pBdr>
          <w:top w:val="single" w:color="C9D2DC" w:sz="6" w:space="8"/>
        </w:pBdr>
        <w:spacing w:before="3200"/>
      </w:pPr>
    </w:p>
    <w:p>
      <w:pPr>
        <w:spacing w:before="120"/>
      </w:pPr>
      <w:r>
        <w:rPr>
          <w:rFonts w:ascii="Calibri" w:cs="Calibri" w:eastAsia="Calibri" w:hAnsi="Calibri"/>
          <w:color w:val="44546A"/>
          <w:sz w:val="19"/>
          <w:szCs w:val="19"/>
        </w:rPr>
        <w:t xml:space="preserve">Prepared for: Enterprise Technology &amp; Operations Leadership</w:t>
      </w:r>
    </w:p>
    <w:p>
      <w:pPr>
        <w:spacing w:before="60"/>
      </w:pPr>
      <w:r>
        <w:rPr>
          <w:rFonts w:ascii="Calibri" w:cs="Calibri" w:eastAsia="Calibri" w:hAnsi="Calibri"/>
          <w:color w:val="44546A"/>
          <w:sz w:val="19"/>
          <w:szCs w:val="19"/>
        </w:rPr>
        <w:t xml:space="preserve">Focus areas: AWS Bedrock &amp; AgentCore · RPA (UiPath / Automation Anywhere) · Mainframe (z/OS) &amp; AS400 integration</w:t>
      </w:r>
    </w:p>
    <w:p>
      <w:pPr>
        <w:spacing w:before="60"/>
      </w:pPr>
      <w:r>
        <w:rPr>
          <w:rFonts w:ascii="Calibri" w:cs="Calibri" w:eastAsia="Calibri" w:hAnsi="Calibri"/>
          <w:color w:val="44546A"/>
          <w:sz w:val="19"/>
          <w:szCs w:val="19"/>
        </w:rPr>
        <w:t xml:space="preserve">September 2026</w:t>
      </w:r>
    </w:p>
    <w:p>
      <w:pPr>
        <w:sectPr>
          <w:pgSz w:w="12240" w:h="15840" w:orient="portrait"/>
          <w:pgMar w:top="1440" w:right="1440" w:bottom="1440" w:left="1440" w:header="708" w:footer="708" w:gutter="0"/>
          <w:pgNumType/>
          <w:docGrid w:linePitch="360"/>
        </w:sectPr>
      </w:pPr>
    </w:p>
    <w:p>
      <w:pPr>
        <w:pStyle w:val="Heading1"/>
        <w:spacing w:after="240"/>
      </w:pPr>
      <w:r>
        <w:rPr>
          <w:rFonts w:ascii="Calibri" w:cs="Calibri" w:eastAsia="Calibri" w:hAnsi="Calibri"/>
          <w:b/>
          <w:bCs/>
          <w:color w:val="1B2A4A"/>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0E7C7B" w:sz="8" w:space="4"/>
        </w:pBdr>
        <w:spacing w:after="200" w:before="480"/>
      </w:pPr>
      <w:r>
        <w:rPr>
          <w:rFonts w:ascii="Calibri" w:cs="Calibri" w:eastAsia="Calibri" w:hAnsi="Calibri"/>
          <w:b/>
          <w:bCs/>
          <w:color w:val="0E7C7B"/>
        </w:rPr>
        <w:t xml:space="preserve">1.  </w:t>
      </w:r>
      <w:r>
        <w:rPr>
          <w:rFonts w:ascii="Calibri" w:cs="Calibri" w:eastAsia="Calibri" w:hAnsi="Calibri"/>
          <w:b/>
          <w:bCs/>
          <w:color w:val="1B2A4A"/>
          <w:sz w:val="30"/>
          <w:szCs w:val="30"/>
        </w:rPr>
        <w:t xml:space="preserve">Executive Summary</w:t>
      </w:r>
    </w:p>
    <w:p>
      <w:pPr>
        <w:spacing w:after="160" w:line="288"/>
        <w:jc w:val="both"/>
      </w:pPr>
      <w:r>
        <w:rPr>
          <w:rFonts w:ascii="Calibri" w:cs="Calibri" w:eastAsia="Calibri" w:hAnsi="Calibri"/>
          <w:color w:val="222222"/>
          <w:sz w:val="21"/>
          <w:szCs w:val="21"/>
        </w:rPr>
        <w:t xml:space="preserve">Back-office automation has spent two decades on rules and screens. Robotic process automation (RPA) gave enterprises a reliable way to move data between systems that were never designed to talk to each other. It scaled quickly, delivered fast payback, and hit a ceiling the moment a process required judgment: an invoice with a missing field, a claim with conflicting documents, an exception that did not match any scripted path.</w:t>
      </w:r>
    </w:p>
    <w:p>
      <w:pPr>
        <w:spacing w:after="160" w:line="288"/>
        <w:jc w:val="both"/>
      </w:pPr>
      <w:r>
        <w:rPr>
          <w:rFonts w:ascii="Calibri" w:cs="Calibri" w:eastAsia="Calibri" w:hAnsi="Calibri"/>
          <w:color w:val="222222"/>
          <w:sz w:val="21"/>
          <w:szCs w:val="21"/>
        </w:rPr>
        <w:t xml:space="preserve">Agentic AI changes that ceiling. Large language models operating as agents can read unstructured input, reason over policy and precedent, decide what to do next, and call the same systems RPA already knows how to reach — including the mainframe and AS400 estates that still run core back-office workloads. The result is not a replacement for RPA but a new layer above it: agents for cognition and decisioning, RPA and APIs for governed, auditable execution.</w:t>
      </w:r>
    </w:p>
    <w:p>
      <w:pPr>
        <w:spacing w:after="160" w:line="288"/>
        <w:jc w:val="both"/>
      </w:pPr>
      <w:r>
        <w:rPr>
          <w:rFonts w:ascii="Calibri" w:cs="Calibri" w:eastAsia="Calibri" w:hAnsi="Calibri"/>
          <w:color w:val="222222"/>
          <w:sz w:val="21"/>
          <w:szCs w:val="21"/>
        </w:rPr>
        <w:t xml:space="preserve">The market data is consistent on two points. First, adoption has moved past experimentation — a majority of enterprises now run at least one agentic workflow in production. Second, most of that adoption is not yet delivering transformational value, because most organizations are automating existing process steps rather than redesigning the process itself. The gap between the two groups is not model quality; it is workflow scope, legacy integration discipline, and governance.</w:t>
      </w:r>
    </w:p>
    <w:p>
      <w:pPr>
        <w:spacing w:after="160" w:line="288"/>
        <w:jc w:val="both"/>
      </w:pPr>
      <w:r>
        <w:rPr>
          <w:rFonts w:ascii="Calibri" w:cs="Calibri" w:eastAsia="Calibri" w:hAnsi="Calibri"/>
          <w:color w:val="222222"/>
          <w:sz w:val="21"/>
          <w:szCs w:val="21"/>
        </w:rPr>
        <w:t xml:space="preserve">This point of view sets out why back-office functions are the proving ground for agentic AI, where legacy integration typically breaks first-generation programs, a reference pattern for building governed autonomy on top of an existing RPA estate, and a four-stage maturity path from pilot to an autonomous back-office function.</w:t>
      </w:r>
    </w:p>
    <w:tbl>
      <w:tblPr>
        <w:tblW w:type="pct" w:w="100%"/>
        <w:tblBorders>
          <w:top w:val="single" w:color="0E7C7B" w:sz="6"/>
          <w:left w:val="single" w:color="0E7C7B" w:sz="6"/>
          <w:bottom w:val="single" w:color="0E7C7B" w:sz="6"/>
          <w:right w:val="single" w:color="0E7C7B"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0E7C7B"/>
                <w:sz w:val="18"/>
                <w:szCs w:val="18"/>
              </w:rPr>
              <w:t xml:space="preserve">THE CORE ARGUMENT</w:t>
            </w:r>
          </w:p>
          <w:p>
            <w:pPr>
              <w:spacing w:after="0"/>
            </w:pPr>
            <w:r>
              <w:rPr>
                <w:rFonts w:ascii="Calibri" w:cs="Calibri" w:eastAsia="Calibri" w:hAnsi="Calibri"/>
                <w:i/>
                <w:iCs/>
                <w:color w:val="1B2A4A"/>
                <w:sz w:val="21"/>
                <w:szCs w:val="21"/>
              </w:rPr>
              <w:t xml:space="preserve">Agents do not replace the automation estate an enterprise has already built. They sit above it — turning RPA from a fixed script into a callable action a reasoning system can invoke, govern, and audit.</w:t>
            </w:r>
          </w:p>
        </w:tc>
      </w:tr>
    </w:tbl>
    <w:p>
      <w:pPr>
        <w:pStyle w:val="Heading1"/>
        <w:pBdr>
          <w:bottom w:val="single" w:color="0E7C7B" w:sz="8" w:space="4"/>
        </w:pBdr>
        <w:spacing w:after="200" w:before="480"/>
      </w:pPr>
      <w:r>
        <w:rPr>
          <w:rFonts w:ascii="Calibri" w:cs="Calibri" w:eastAsia="Calibri" w:hAnsi="Calibri"/>
          <w:b/>
          <w:bCs/>
          <w:color w:val="0E7C7B"/>
        </w:rPr>
        <w:t xml:space="preserve">2.  </w:t>
      </w:r>
      <w:r>
        <w:rPr>
          <w:rFonts w:ascii="Calibri" w:cs="Calibri" w:eastAsia="Calibri" w:hAnsi="Calibri"/>
          <w:b/>
          <w:bCs/>
          <w:color w:val="1B2A4A"/>
          <w:sz w:val="30"/>
          <w:szCs w:val="30"/>
        </w:rPr>
        <w:t xml:space="preserve">The State of Play: From Pilot to Production</w:t>
      </w:r>
    </w:p>
    <w:p>
      <w:pPr>
        <w:spacing w:after="160" w:line="288"/>
        <w:jc w:val="both"/>
      </w:pPr>
      <w:r>
        <w:rPr>
          <w:rFonts w:ascii="Calibri" w:cs="Calibri" w:eastAsia="Calibri" w:hAnsi="Calibri"/>
          <w:color w:val="222222"/>
          <w:sz w:val="21"/>
          <w:szCs w:val="21"/>
        </w:rPr>
        <w:t xml:space="preserve">Two years ago, agentic AI in the enterprise back office was almost entirely pilot work. That has changed faster than most automation trends before it, but the shift is uneven — a small group of organizations is running agents in production and banking measurable savings, while the majority remains in what several 2026 industry surveys describe as pilot purgatory.</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4700"/>
        <w:gridCol w:w="1800"/>
        <w:gridCol w:w="3500"/>
      </w:tblGrid>
      <w:tr>
        <w:trPr>
          <w:tblHeader/>
        </w:trPr>
        <w:tc>
          <w:tcPr>
            <w:tcW w:type="pct" w:w="47%"/>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Signal</w:t>
            </w:r>
          </w:p>
        </w:tc>
        <w:tc>
          <w:tcPr>
            <w:tcW w:type="pct" w:w="18%"/>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Figure</w:t>
            </w:r>
          </w:p>
        </w:tc>
        <w:tc>
          <w:tcPr>
            <w:tcW w:type="pct" w:w="35%"/>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Source</w:t>
            </w:r>
          </w:p>
        </w:tc>
      </w:tr>
      <w:tr>
        <w:tc>
          <w:tcPr>
            <w:tcW w:type="pct" w:w="47%"/>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Enterprises with a production application embedding an AI agent</w:t>
            </w:r>
          </w:p>
        </w:tc>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80%</w:t>
            </w:r>
          </w:p>
        </w:tc>
        <w:tc>
          <w:tcPr>
            <w:tcW w:type="pct" w:w="35%"/>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Gartner, Q1 2026</w:t>
            </w:r>
          </w:p>
        </w:tc>
      </w:tr>
      <w:tr>
        <w:tc>
          <w:tcPr>
            <w:tcW w:type="pct" w:w="47%"/>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Enterprise applications projected to embed task-specific agents by year-end</w:t>
            </w:r>
          </w:p>
        </w:tc>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40%</w:t>
            </w:r>
          </w:p>
        </w:tc>
        <w:tc>
          <w:tcPr>
            <w:tcW w:type="pct" w:w="35%"/>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Gartner, 2026 forecast</w:t>
            </w:r>
          </w:p>
        </w:tc>
      </w:tr>
      <w:tr>
        <w:tc>
          <w:tcPr>
            <w:tcW w:type="pct" w:w="47%"/>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Organizations that have scaled an agentic system into production anywhere in the enterprise</w:t>
            </w:r>
          </w:p>
        </w:tc>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~23%</w:t>
            </w:r>
          </w:p>
        </w:tc>
        <w:tc>
          <w:tcPr>
            <w:tcW w:type="pct" w:w="35%"/>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McKinsey, 2026</w:t>
            </w:r>
          </w:p>
        </w:tc>
      </w:tr>
      <w:tr>
        <w:tc>
          <w:tcPr>
            <w:tcW w:type="pct" w:w="47%"/>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Organizations scaling agents within any single business function</w:t>
            </w:r>
          </w:p>
        </w:tc>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&lt;10%</w:t>
            </w:r>
          </w:p>
        </w:tc>
        <w:tc>
          <w:tcPr>
            <w:tcW w:type="pct" w:w="35%"/>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McKinsey, 2026</w:t>
            </w:r>
          </w:p>
        </w:tc>
      </w:tr>
      <w:tr>
        <w:tc>
          <w:tcPr>
            <w:tcW w:type="pct" w:w="47%"/>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Agent pilots that never reach production</w:t>
            </w:r>
          </w:p>
        </w:tc>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~88%</w:t>
            </w:r>
          </w:p>
        </w:tc>
        <w:tc>
          <w:tcPr>
            <w:tcW w:type="pct" w:w="35%"/>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First Page Sage, 2026</w:t>
            </w:r>
          </w:p>
        </w:tc>
      </w:tr>
      <w:tr>
        <w:tc>
          <w:tcPr>
            <w:tcW w:type="pct" w:w="47%"/>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AI leaders citing legacy-system integration as the top barrier to agentic adoption</w:t>
            </w:r>
          </w:p>
        </w:tc>
        <w:tc>
          <w:tcPr>
            <w:tcW w:type="pct" w:w="18%"/>
            <w:shd w:fill="EEF2F6"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~60%</w:t>
            </w:r>
          </w:p>
        </w:tc>
        <w:tc>
          <w:tcPr>
            <w:tcW w:type="pct" w:w="35%"/>
            <w:shd w:fill="EEF2F6"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Deloitte, 2025–26</w:t>
            </w:r>
          </w:p>
        </w:tc>
      </w:tr>
      <w:tr>
        <w:tc>
          <w:tcPr>
            <w:tcW w:type="pct" w:w="47%"/>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Faster cycle times reported by early back-office adopters (invoice, claims, query routing)</w:t>
            </w:r>
          </w:p>
        </w:tc>
        <w:tc>
          <w:tcPr>
            <w:tcW w:type="pct" w:w="18%"/>
            <w:shd w:fill="FFFFFF" w:val="clear"/>
            <w:tcMar>
              <w:top w:type="dxa" w:w="100"/>
              <w:left w:type="dxa" w:w="120"/>
              <w:bottom w:type="dxa" w:w="100"/>
              <w:right w:type="dxa" w:w="120"/>
            </w:tcMar>
            <w:vAlign w:val="center"/>
          </w:tcPr>
          <w:p>
            <w:r>
              <w:rPr>
                <w:rFonts w:ascii="Calibri" w:cs="Calibri" w:eastAsia="Calibri" w:hAnsi="Calibri"/>
                <w:b/>
                <w:bCs/>
                <w:color w:val="0E7C7B"/>
                <w:sz w:val="19"/>
                <w:szCs w:val="19"/>
              </w:rPr>
              <w:t xml:space="preserve">20–30%</w:t>
            </w:r>
          </w:p>
        </w:tc>
        <w:tc>
          <w:tcPr>
            <w:tcW w:type="pct" w:w="35%"/>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Industry survey, 2026</w:t>
            </w:r>
          </w:p>
        </w:tc>
      </w:tr>
    </w:tbl>
    <w:p>
      <w:pPr>
        <w:spacing w:after="160" w:line="288"/>
        <w:jc w:val="both"/>
      </w:pPr>
      <w:r>
        <w:rPr>
          <w:rFonts w:ascii="Calibri" w:cs="Calibri" w:eastAsia="Calibri" w:hAnsi="Calibri"/>
          <w:color w:val="222222"/>
          <w:sz w:val="21"/>
          <w:szCs w:val="21"/>
        </w:rPr>
        <w:t xml:space="preserve">The pattern behind these numbers matters more than any single figure: organizations that redesign the workflow around what an agent can do reach materially higher returns than those that simply point an agent at an existing process map. Enterprises that keep the old process and add an agent on top see comparatively little movement in cost or cycle time; the small group willing to redesign the workflow captures most of the measurable financial benefit reported across recent surveys.</w:t>
      </w:r>
    </w:p>
    <w:p>
      <w:pPr>
        <w:pStyle w:val="Heading1"/>
        <w:pBdr>
          <w:bottom w:val="single" w:color="0E7C7B" w:sz="8" w:space="4"/>
        </w:pBdr>
        <w:spacing w:after="200" w:before="480"/>
      </w:pPr>
      <w:r>
        <w:rPr>
          <w:rFonts w:ascii="Calibri" w:cs="Calibri" w:eastAsia="Calibri" w:hAnsi="Calibri"/>
          <w:b/>
          <w:bCs/>
          <w:color w:val="0E7C7B"/>
        </w:rPr>
        <w:t xml:space="preserve">3.  </w:t>
      </w:r>
      <w:r>
        <w:rPr>
          <w:rFonts w:ascii="Calibri" w:cs="Calibri" w:eastAsia="Calibri" w:hAnsi="Calibri"/>
          <w:b/>
          <w:bCs/>
          <w:color w:val="1B2A4A"/>
          <w:sz w:val="30"/>
          <w:szCs w:val="30"/>
        </w:rPr>
        <w:t xml:space="preserve">Why Back-Office Is the Proving Ground</w:t>
      </w:r>
    </w:p>
    <w:p>
      <w:pPr>
        <w:spacing w:after="160" w:line="288"/>
        <w:jc w:val="both"/>
      </w:pPr>
      <w:r>
        <w:rPr>
          <w:rFonts w:ascii="Calibri" w:cs="Calibri" w:eastAsia="Calibri" w:hAnsi="Calibri"/>
          <w:color w:val="222222"/>
          <w:sz w:val="21"/>
          <w:szCs w:val="21"/>
        </w:rPr>
        <w:t xml:space="preserve">Customer-facing chat was the first place enterprises deployed AI agents, because the downside of a bad answer was visible and containable. Back-office functions — accounts payable, claims processing, HR operations, order and mainframe-based account management — are now where the real economics of agentic AI are being tested, for reasons that are structural rather than fashionable:</w:t>
      </w:r>
    </w:p>
    <w:p>
      <w:pPr>
        <w:pStyle w:val="ListParagraph"/>
        <w:numPr>
          <w:ilvl w:val="0"/>
          <w:numId w:val="2"/>
        </w:numPr>
        <w:spacing w:after="100" w:line="276"/>
      </w:pPr>
      <w:r>
        <w:rPr>
          <w:rFonts w:ascii="Calibri" w:cs="Calibri" w:eastAsia="Calibri" w:hAnsi="Calibri"/>
          <w:color w:val="222222"/>
          <w:sz w:val="21"/>
          <w:szCs w:val="21"/>
        </w:rPr>
        <w:t xml:space="preserve">High transaction volume with a long tail of exceptions — exactly the pattern RPA could not fully close and agents are built to reason through.</w:t>
      </w:r>
    </w:p>
    <w:p>
      <w:pPr>
        <w:pStyle w:val="ListParagraph"/>
        <w:numPr>
          <w:ilvl w:val="0"/>
          <w:numId w:val="2"/>
        </w:numPr>
        <w:spacing w:after="100" w:line="276"/>
      </w:pPr>
      <w:r>
        <w:rPr>
          <w:rFonts w:ascii="Calibri" w:cs="Calibri" w:eastAsia="Calibri" w:hAnsi="Calibri"/>
          <w:color w:val="222222"/>
          <w:sz w:val="21"/>
          <w:szCs w:val="21"/>
        </w:rPr>
        <w:t xml:space="preserve">Well-defined policy and SOP documentation, which gives an agent something concrete to retrieve, cite, and act on rather than infer from scratch.</w:t>
      </w:r>
    </w:p>
    <w:p>
      <w:pPr>
        <w:pStyle w:val="ListParagraph"/>
        <w:numPr>
          <w:ilvl w:val="0"/>
          <w:numId w:val="2"/>
        </w:numPr>
        <w:spacing w:after="100" w:line="276"/>
      </w:pPr>
      <w:r>
        <w:rPr>
          <w:rFonts w:ascii="Calibri" w:cs="Calibri" w:eastAsia="Calibri" w:hAnsi="Calibri"/>
          <w:color w:val="222222"/>
          <w:sz w:val="21"/>
          <w:szCs w:val="21"/>
        </w:rPr>
        <w:t xml:space="preserve">Existing RPA and system-of-record investment, so an agent has actions to call rather than a greenfield integration problem.</w:t>
      </w:r>
    </w:p>
    <w:p>
      <w:pPr>
        <w:pStyle w:val="ListParagraph"/>
        <w:numPr>
          <w:ilvl w:val="0"/>
          <w:numId w:val="2"/>
        </w:numPr>
        <w:spacing w:after="100" w:line="276"/>
      </w:pPr>
      <w:r>
        <w:rPr>
          <w:rFonts w:ascii="Calibri" w:cs="Calibri" w:eastAsia="Calibri" w:hAnsi="Calibri"/>
          <w:color w:val="222222"/>
          <w:sz w:val="21"/>
          <w:szCs w:val="21"/>
        </w:rPr>
        <w:t xml:space="preserve">Measurable outcomes — cycle time, error rate, cost per transaction — that make ROI easy to prove and hard to dispute.</w:t>
      </w:r>
    </w:p>
    <w:p>
      <w:pPr>
        <w:pStyle w:val="ListParagraph"/>
        <w:numPr>
          <w:ilvl w:val="0"/>
          <w:numId w:val="2"/>
        </w:numPr>
        <w:spacing w:after="100" w:line="276"/>
      </w:pPr>
      <w:r>
        <w:rPr>
          <w:rFonts w:ascii="Calibri" w:cs="Calibri" w:eastAsia="Calibri" w:hAnsi="Calibri"/>
          <w:color w:val="222222"/>
          <w:sz w:val="21"/>
          <w:szCs w:val="21"/>
        </w:rPr>
        <w:t xml:space="preserve">Tolerable risk profile for staged autonomy: back-office decisions can be run human-in-the-loop before they are run human-on-the-loop, unlike many customer- or safety-facing use cases.</w:t>
      </w:r>
    </w:p>
    <w:p>
      <w:pPr>
        <w:spacing w:after="160" w:line="288"/>
        <w:jc w:val="both"/>
      </w:pPr>
      <w:r>
        <w:rPr>
          <w:rFonts w:ascii="Calibri" w:cs="Calibri" w:eastAsia="Calibri" w:hAnsi="Calibri"/>
          <w:color w:val="222222"/>
          <w:sz w:val="21"/>
          <w:szCs w:val="21"/>
        </w:rPr>
        <w:t xml:space="preserve">This is also why back-office functions carry the deepest legacy footprint in most enterprises. AP, claims, and account servicing workflows still touch z/OS mainframe screens and AS400 green-screen applications that predate the API economy entirely. Any agentic AI point of view for this domain has to start from that reality rather than design around it.</w:t>
      </w:r>
    </w:p>
    <w:p>
      <w:pPr>
        <w:pStyle w:val="Heading1"/>
        <w:pBdr>
          <w:bottom w:val="single" w:color="0E7C7B" w:sz="8" w:space="4"/>
        </w:pBdr>
        <w:spacing w:after="200" w:before="480"/>
      </w:pPr>
      <w:r>
        <w:rPr>
          <w:rFonts w:ascii="Calibri" w:cs="Calibri" w:eastAsia="Calibri" w:hAnsi="Calibri"/>
          <w:b/>
          <w:bCs/>
          <w:color w:val="0E7C7B"/>
        </w:rPr>
        <w:t xml:space="preserve">4.  </w:t>
      </w:r>
      <w:r>
        <w:rPr>
          <w:rFonts w:ascii="Calibri" w:cs="Calibri" w:eastAsia="Calibri" w:hAnsi="Calibri"/>
          <w:b/>
          <w:bCs/>
          <w:color w:val="1B2A4A"/>
          <w:sz w:val="30"/>
          <w:szCs w:val="30"/>
        </w:rPr>
        <w:t xml:space="preserve">Agentic AI and RPA: Convergence, Not Replacement</w:t>
      </w:r>
    </w:p>
    <w:p>
      <w:pPr>
        <w:spacing w:after="160" w:line="288"/>
        <w:jc w:val="both"/>
      </w:pPr>
      <w:r>
        <w:rPr>
          <w:rFonts w:ascii="Calibri" w:cs="Calibri" w:eastAsia="Calibri" w:hAnsi="Calibri"/>
          <w:color w:val="222222"/>
          <w:sz w:val="21"/>
          <w:szCs w:val="21"/>
        </w:rPr>
        <w:t xml:space="preserve">A common framing treats agentic AI as the successor to RPA. The 2026 evidence points to something more useful: a division of labor. RPA remains the most reliable, auditable way to execute a repeatable action against a system that has no API — a mainframe screen, an AS400 terminal session, a thick-client desktop application. What RPA cannot do is decide what to execute when the input is ambiguous, the exception is novel, or the right next step depends on judgment against policy.</w:t>
      </w:r>
    </w:p>
    <w:p>
      <w:pPr>
        <w:spacing w:after="160" w:line="288"/>
        <w:jc w:val="both"/>
      </w:pPr>
      <w:r>
        <w:rPr>
          <w:rFonts w:ascii="Calibri" w:cs="Calibri" w:eastAsia="Calibri" w:hAnsi="Calibri"/>
          <w:color w:val="222222"/>
          <w:sz w:val="21"/>
          <w:szCs w:val="21"/>
        </w:rPr>
        <w:t xml:space="preserve">Agentic AI is strong exactly where classic RPA is weak: reading unstructured documents and screens, reasoning over conflicting or incomplete information, and choosing among several valid next steps. It is comparatively weak, expensive, and harder to govern for the high-volume, utterly predictable transaction that RPA already handles cheaply and deterministically.</w:t>
      </w:r>
    </w:p>
    <w:p>
      <w:pPr>
        <w:spacing w:after="160" w:line="288"/>
        <w:jc w:val="both"/>
      </w:pPr>
      <w:r>
        <w:rPr>
          <w:rFonts w:ascii="Calibri" w:cs="Calibri" w:eastAsia="Calibri" w:hAnsi="Calibri"/>
          <w:color w:val="222222"/>
          <w:sz w:val="21"/>
          <w:szCs w:val="21"/>
        </w:rPr>
        <w:t xml:space="preserve">The practical implication for an existing automation estate is to keep the RPA layer and add an orchestration and reasoning layer above it, so that:</w:t>
      </w:r>
    </w:p>
    <w:p>
      <w:pPr>
        <w:pStyle w:val="ListParagraph"/>
        <w:numPr>
          <w:ilvl w:val="0"/>
          <w:numId w:val="2"/>
        </w:numPr>
        <w:spacing w:after="100" w:line="276"/>
      </w:pPr>
      <w:r>
        <w:rPr>
          <w:rFonts w:ascii="Calibri" w:cs="Calibri" w:eastAsia="Calibri" w:hAnsi="Calibri"/>
          <w:color w:val="222222"/>
          <w:sz w:val="21"/>
          <w:szCs w:val="21"/>
        </w:rPr>
        <w:t xml:space="preserve">RPA bots become callable actions an agent invokes with specific parameters, rather than independent, script-triggered processes.</w:t>
      </w:r>
    </w:p>
    <w:p>
      <w:pPr>
        <w:pStyle w:val="ListParagraph"/>
        <w:numPr>
          <w:ilvl w:val="0"/>
          <w:numId w:val="2"/>
        </w:numPr>
        <w:spacing w:after="100" w:line="276"/>
      </w:pPr>
      <w:r>
        <w:rPr>
          <w:rFonts w:ascii="Calibri" w:cs="Calibri" w:eastAsia="Calibri" w:hAnsi="Calibri"/>
          <w:color w:val="222222"/>
          <w:sz w:val="21"/>
          <w:szCs w:val="21"/>
        </w:rPr>
        <w:t xml:space="preserve">The agent owns triage, exception classification, and next-step reasoning; RPA owns deterministic execution and system-of-record updates.</w:t>
      </w:r>
    </w:p>
    <w:p>
      <w:pPr>
        <w:pStyle w:val="ListParagraph"/>
        <w:numPr>
          <w:ilvl w:val="0"/>
          <w:numId w:val="2"/>
        </w:numPr>
        <w:spacing w:after="100" w:line="276"/>
      </w:pPr>
      <w:r>
        <w:rPr>
          <w:rFonts w:ascii="Calibri" w:cs="Calibri" w:eastAsia="Calibri" w:hAnsi="Calibri"/>
          <w:color w:val="222222"/>
          <w:sz w:val="21"/>
          <w:szCs w:val="21"/>
        </w:rPr>
        <w:t xml:space="preserve">Every agent decision that results in an RPA action is logged with the reasoning trail behind it — the audit requirement that distinguishes governed autonomy from an unsupervised script.</w:t>
      </w:r>
    </w:p>
    <w:p>
      <w:pPr>
        <w:pStyle w:val="Heading1"/>
        <w:pBdr>
          <w:bottom w:val="single" w:color="0E7C7B" w:sz="8" w:space="4"/>
        </w:pBdr>
        <w:spacing w:after="200" w:before="480"/>
      </w:pPr>
      <w:r>
        <w:rPr>
          <w:rFonts w:ascii="Calibri" w:cs="Calibri" w:eastAsia="Calibri" w:hAnsi="Calibri"/>
          <w:b/>
          <w:bCs/>
          <w:color w:val="0E7C7B"/>
        </w:rPr>
        <w:t xml:space="preserve">5.  </w:t>
      </w:r>
      <w:r>
        <w:rPr>
          <w:rFonts w:ascii="Calibri" w:cs="Calibri" w:eastAsia="Calibri" w:hAnsi="Calibri"/>
          <w:b/>
          <w:bCs/>
          <w:color w:val="1B2A4A"/>
          <w:sz w:val="30"/>
          <w:szCs w:val="30"/>
        </w:rPr>
        <w:t xml:space="preserve">The Legacy Integration Challenge: Where Programs Stall</w:t>
      </w:r>
    </w:p>
    <w:p>
      <w:pPr>
        <w:spacing w:after="160" w:line="288"/>
        <w:jc w:val="both"/>
      </w:pPr>
      <w:r>
        <w:rPr>
          <w:rFonts w:ascii="Calibri" w:cs="Calibri" w:eastAsia="Calibri" w:hAnsi="Calibri"/>
          <w:color w:val="222222"/>
          <w:sz w:val="21"/>
          <w:szCs w:val="21"/>
        </w:rPr>
        <w:t xml:space="preserve">Roughly six in ten AI leaders name legacy-system integration as the primary barrier to scaling agentic AI — not model capability, not cost. For back-office functions built on mainframe and AS400 systems, three integration problems recur across programs:</w:t>
      </w:r>
    </w:p>
    <w:p>
      <w:pPr>
        <w:pStyle w:val="Heading2"/>
        <w:spacing w:after="140" w:before="280"/>
      </w:pPr>
      <w:r>
        <w:rPr>
          <w:rFonts w:ascii="Calibri" w:cs="Calibri" w:eastAsia="Calibri" w:hAnsi="Calibri"/>
          <w:b/>
          <w:bCs/>
          <w:color w:val="44546A"/>
          <w:sz w:val="24"/>
          <w:szCs w:val="24"/>
        </w:rPr>
        <w:t xml:space="preserve">No native API surface</w:t>
      </w:r>
    </w:p>
    <w:p>
      <w:pPr>
        <w:spacing w:after="160" w:line="288"/>
        <w:jc w:val="both"/>
      </w:pPr>
      <w:r>
        <w:rPr>
          <w:rFonts w:ascii="Calibri" w:cs="Calibri" w:eastAsia="Calibri" w:hAnsi="Calibri"/>
          <w:color w:val="222222"/>
          <w:sz w:val="21"/>
          <w:szCs w:val="21"/>
        </w:rPr>
        <w:t xml:space="preserve">z/OS and AS400 applications typically expose only a 3270/5250 screen interface. An agent cannot call a REST endpoint that does not exist. The practical path is a screen-scraping or terminal-emulation layer — usually the existing RPA tooling — wrapped so an agent can invoke it as a discrete, parameterized action rather than reason about raw screen coordinates itself.</w:t>
      </w:r>
    </w:p>
    <w:p>
      <w:pPr>
        <w:pStyle w:val="Heading2"/>
        <w:spacing w:after="140" w:before="280"/>
      </w:pPr>
      <w:r>
        <w:rPr>
          <w:rFonts w:ascii="Calibri" w:cs="Calibri" w:eastAsia="Calibri" w:hAnsi="Calibri"/>
          <w:b/>
          <w:bCs/>
          <w:color w:val="44546A"/>
          <w:sz w:val="24"/>
          <w:szCs w:val="24"/>
        </w:rPr>
        <w:t xml:space="preserve">Entitlements built for human operators, not software identities</w:t>
      </w:r>
    </w:p>
    <w:p>
      <w:pPr>
        <w:spacing w:after="160" w:line="288"/>
        <w:jc w:val="both"/>
      </w:pPr>
      <w:r>
        <w:rPr>
          <w:rFonts w:ascii="Calibri" w:cs="Calibri" w:eastAsia="Calibri" w:hAnsi="Calibri"/>
          <w:color w:val="222222"/>
          <w:sz w:val="21"/>
          <w:szCs w:val="21"/>
        </w:rPr>
        <w:t xml:space="preserve">Mainframe and RPA credentials are typically provisioned for named human users or shared service accounts, with access patterns that assume a person is at the keyboard. An agent acting autonomously needs its own identity, its own scoped entitlements, and a way to prove which agent, acting under which policy, performed a given transaction — a requirement most legacy provisioning models were never built to support.</w:t>
      </w:r>
    </w:p>
    <w:p>
      <w:pPr>
        <w:pStyle w:val="Heading2"/>
        <w:spacing w:after="140" w:before="280"/>
      </w:pPr>
      <w:r>
        <w:rPr>
          <w:rFonts w:ascii="Calibri" w:cs="Calibri" w:eastAsia="Calibri" w:hAnsi="Calibri"/>
          <w:b/>
          <w:bCs/>
          <w:color w:val="44546A"/>
          <w:sz w:val="24"/>
          <w:szCs w:val="24"/>
        </w:rPr>
        <w:t xml:space="preserve">Tribal knowledge that never made it into a system of record</w:t>
      </w:r>
    </w:p>
    <w:p>
      <w:pPr>
        <w:spacing w:after="160" w:line="288"/>
        <w:jc w:val="both"/>
      </w:pPr>
      <w:r>
        <w:rPr>
          <w:rFonts w:ascii="Calibri" w:cs="Calibri" w:eastAsia="Calibri" w:hAnsi="Calibri"/>
          <w:color w:val="222222"/>
          <w:sz w:val="21"/>
          <w:szCs w:val="21"/>
        </w:rPr>
        <w:t xml:space="preserve">A large share of back-office judgment — how a specific exception type is actually resolved, which of two conflicting SOPs takes precedence — lives in the experience of long-tenured staff rather than in documentation an agent can retrieve. Programs that skip capturing this knowledge before scaling agents tend to see the accuracy issues that roughly half of surveyed organizations report when moving agentic AI into production.</w:t>
      </w:r>
    </w:p>
    <w:p>
      <w:pPr>
        <w:pStyle w:val="Heading1"/>
        <w:pBdr>
          <w:bottom w:val="single" w:color="0E7C7B" w:sz="8" w:space="4"/>
        </w:pBdr>
        <w:spacing w:after="200" w:before="480"/>
      </w:pPr>
      <w:r>
        <w:rPr>
          <w:rFonts w:ascii="Calibri" w:cs="Calibri" w:eastAsia="Calibri" w:hAnsi="Calibri"/>
          <w:b/>
          <w:bCs/>
          <w:color w:val="0E7C7B"/>
        </w:rPr>
        <w:t xml:space="preserve">6.  </w:t>
      </w:r>
      <w:r>
        <w:rPr>
          <w:rFonts w:ascii="Calibri" w:cs="Calibri" w:eastAsia="Calibri" w:hAnsi="Calibri"/>
          <w:b/>
          <w:bCs/>
          <w:color w:val="1B2A4A"/>
          <w:sz w:val="30"/>
          <w:szCs w:val="30"/>
        </w:rPr>
        <w:t xml:space="preserve">A Reference Pattern for Governed Autonomy</w:t>
      </w:r>
    </w:p>
    <w:p>
      <w:pPr>
        <w:spacing w:after="160" w:line="288"/>
        <w:jc w:val="both"/>
      </w:pPr>
      <w:r>
        <w:rPr>
          <w:rFonts w:ascii="Calibri" w:cs="Calibri" w:eastAsia="Calibri" w:hAnsi="Calibri"/>
          <w:color w:val="222222"/>
          <w:sz w:val="21"/>
          <w:szCs w:val="21"/>
        </w:rPr>
        <w:t xml:space="preserve">A workable architecture for this environment separates concerns cleanly: reasoning and orchestration in one layer, governed connectivity to legacy and RPA systems in another, and an audit trail that ties every action back to a decision. One pattern gaining traction in 2026 enterprise deployments — illustrated here using AWS Bedrock AgentCore as a concrete example — structures this as five components:</w:t>
      </w:r>
    </w:p>
    <w:p>
      <w:pPr>
        <w:pStyle w:val="ListParagraph"/>
        <w:numPr>
          <w:ilvl w:val="0"/>
          <w:numId w:val="2"/>
        </w:numPr>
        <w:spacing w:after="100" w:line="276"/>
      </w:pPr>
      <w:r>
        <w:rPr>
          <w:rFonts w:ascii="Calibri" w:cs="Calibri" w:eastAsia="Calibri" w:hAnsi="Calibri"/>
          <w:color w:val="222222"/>
          <w:sz w:val="21"/>
          <w:szCs w:val="21"/>
        </w:rPr>
        <w:t xml:space="preserve">Runtime — hosts the agent logic and manages session state across a multi-step back-office task.</w:t>
      </w:r>
    </w:p>
    <w:p>
      <w:pPr>
        <w:pStyle w:val="ListParagraph"/>
        <w:numPr>
          <w:ilvl w:val="0"/>
          <w:numId w:val="2"/>
        </w:numPr>
        <w:spacing w:after="100" w:line="276"/>
      </w:pPr>
      <w:r>
        <w:rPr>
          <w:rFonts w:ascii="Calibri" w:cs="Calibri" w:eastAsia="Calibri" w:hAnsi="Calibri"/>
          <w:color w:val="222222"/>
          <w:sz w:val="21"/>
          <w:szCs w:val="21"/>
        </w:rPr>
        <w:t xml:space="preserve">Gateway — replaces direct, point-to-point service wiring with a governed layer that exposes RPA bots, mainframe screen actions, and internal APIs as callable, permissioned tools.</w:t>
      </w:r>
    </w:p>
    <w:p>
      <w:pPr>
        <w:pStyle w:val="ListParagraph"/>
        <w:numPr>
          <w:ilvl w:val="0"/>
          <w:numId w:val="2"/>
        </w:numPr>
        <w:spacing w:after="100" w:line="276"/>
      </w:pPr>
      <w:r>
        <w:rPr>
          <w:rFonts w:ascii="Calibri" w:cs="Calibri" w:eastAsia="Calibri" w:hAnsi="Calibri"/>
          <w:color w:val="222222"/>
          <w:sz w:val="21"/>
          <w:szCs w:val="21"/>
        </w:rPr>
        <w:t xml:space="preserve">Identity — issues and scopes credentials for the agent itself, addressing the RPA-entitlement gap rather than borrowing a human operator's access.</w:t>
      </w:r>
    </w:p>
    <w:p>
      <w:pPr>
        <w:pStyle w:val="ListParagraph"/>
        <w:numPr>
          <w:ilvl w:val="0"/>
          <w:numId w:val="2"/>
        </w:numPr>
        <w:spacing w:after="100" w:line="276"/>
      </w:pPr>
      <w:r>
        <w:rPr>
          <w:rFonts w:ascii="Calibri" w:cs="Calibri" w:eastAsia="Calibri" w:hAnsi="Calibri"/>
          <w:color w:val="222222"/>
          <w:sz w:val="21"/>
          <w:szCs w:val="21"/>
        </w:rPr>
        <w:t xml:space="preserve">Memory — stores the SOPs, precedent, and tribal knowledge captured from human agents, retrieved at decision time rather than baked into a static prompt.</w:t>
      </w:r>
    </w:p>
    <w:p>
      <w:pPr>
        <w:pStyle w:val="ListParagraph"/>
        <w:numPr>
          <w:ilvl w:val="0"/>
          <w:numId w:val="2"/>
        </w:numPr>
        <w:spacing w:after="100" w:line="276"/>
      </w:pPr>
      <w:r>
        <w:rPr>
          <w:rFonts w:ascii="Calibri" w:cs="Calibri" w:eastAsia="Calibri" w:hAnsi="Calibri"/>
          <w:color w:val="222222"/>
          <w:sz w:val="21"/>
          <w:szCs w:val="21"/>
        </w:rPr>
        <w:t xml:space="preserve">Observability — logs every decision and every downstream action with the reasoning behind it, producing the audit trail that compliance and internal audit will ask for before letting an agent touch a production ledger.</w:t>
      </w:r>
    </w:p>
    <w:p>
      <w:pPr>
        <w:spacing w:after="160" w:line="288"/>
        <w:jc w:val="both"/>
      </w:pPr>
      <w:r>
        <w:rPr>
          <w:rFonts w:ascii="Calibri" w:cs="Calibri" w:eastAsia="Calibri" w:hAnsi="Calibri"/>
          <w:color w:val="222222"/>
          <w:sz w:val="21"/>
          <w:szCs w:val="21"/>
        </w:rPr>
        <w:t xml:space="preserve">Underneath this sits the execution layer: RPA for the deterministic, high-volume path; direct API or database integration wherever the target system supports it; and a model capable of screen and document understanding for the mainframe and PDF-heavy steps that neither RPA nor a plain API can reach. Screenshot and extracted-artifact storage, plus a durable audit-log store, complete the pattern and give the function what it needs to pass an internal controls review.</w:t>
      </w:r>
    </w:p>
    <w:p>
      <w:pPr>
        <w:spacing w:after="160" w:line="288"/>
        <w:jc w:val="both"/>
      </w:pPr>
      <w:r>
        <w:rPr>
          <w:rFonts w:ascii="Calibri" w:cs="Calibri" w:eastAsia="Calibri" w:hAnsi="Calibri"/>
          <w:color w:val="222222"/>
          <w:sz w:val="21"/>
          <w:szCs w:val="21"/>
        </w:rPr>
        <w:t xml:space="preserve">The architectural principle generalizes past any single cloud vendor: separate the reasoning layer from the execution layer, give the agent its own governed identity, and make every autonomous action traceable back to the policy that justified it. Enterprises standardizing on Automation Anywhere or UiPath's own agent-orchestration layers are converging on the same shape from the RPA side of the market.</w:t>
      </w:r>
    </w:p>
    <w:p>
      <w:pPr>
        <w:pStyle w:val="Heading1"/>
        <w:pBdr>
          <w:bottom w:val="single" w:color="0E7C7B" w:sz="8" w:space="4"/>
        </w:pBdr>
        <w:spacing w:after="200" w:before="480"/>
      </w:pPr>
      <w:r>
        <w:rPr>
          <w:rFonts w:ascii="Calibri" w:cs="Calibri" w:eastAsia="Calibri" w:hAnsi="Calibri"/>
          <w:b/>
          <w:bCs/>
          <w:color w:val="0E7C7B"/>
        </w:rPr>
        <w:t xml:space="preserve">7.  </w:t>
      </w:r>
      <w:r>
        <w:rPr>
          <w:rFonts w:ascii="Calibri" w:cs="Calibri" w:eastAsia="Calibri" w:hAnsi="Calibri"/>
          <w:b/>
          <w:bCs/>
          <w:color w:val="1B2A4A"/>
          <w:sz w:val="30"/>
          <w:szCs w:val="30"/>
        </w:rPr>
        <w:t xml:space="preserve">A Maturity Path: Four Stages to an Autonomous Function</w:t>
      </w:r>
    </w:p>
    <w:p>
      <w:pPr>
        <w:spacing w:after="160" w:line="288"/>
        <w:jc w:val="both"/>
      </w:pPr>
      <w:r>
        <w:rPr>
          <w:rFonts w:ascii="Calibri" w:cs="Calibri" w:eastAsia="Calibri" w:hAnsi="Calibri"/>
          <w:color w:val="222222"/>
          <w:sz w:val="21"/>
          <w:szCs w:val="21"/>
        </w:rPr>
        <w:t xml:space="preserve">Enterprises that reach measurable EBIT impact from agentic AI almost universally moved through a staged path rather than attempting function-wide autonomy from day one. A practical maturity model for back-office adoption:</w:t>
      </w:r>
    </w:p>
    <w:tbl>
      <w:tblPr>
        <w:tblW w:type="pct" w:w="100%"/>
        <w:tblBorders>
          <w:top w:val="single" w:color="C9D2DC" w:sz="4"/>
          <w:left w:val="single" w:color="C9D2DC" w:sz="4"/>
          <w:bottom w:val="single" w:color="C9D2DC" w:sz="4"/>
          <w:right w:val="single" w:color="C9D2DC" w:sz="4"/>
          <w:insideH w:val="single" w:color="C9D2DC" w:sz="4"/>
          <w:insideV w:val="single" w:color="C9D2DC" w:sz="4"/>
        </w:tblBorders>
      </w:tblPr>
      <w:tblGrid>
        <w:gridCol w:w="1600"/>
        <w:gridCol w:w="3400"/>
        <w:gridCol w:w="2200"/>
        <w:gridCol w:w="2800"/>
      </w:tblGrid>
      <w:tr>
        <w:trPr>
          <w:tblHeader/>
        </w:trPr>
        <w:tc>
          <w:tcPr>
            <w:tcW w:type="pct" w:w="16%"/>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pct" w:w="34%"/>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looks like</w:t>
            </w:r>
          </w:p>
        </w:tc>
        <w:tc>
          <w:tcPr>
            <w:tcW w:type="pct" w:w="22%"/>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Human role</w:t>
            </w:r>
          </w:p>
        </w:tc>
        <w:tc>
          <w:tcPr>
            <w:tcW w:type="pct" w:w="28%"/>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Typical outcome</w:t>
            </w:r>
          </w:p>
        </w:tc>
      </w:tr>
      <w:tr>
        <w:tc>
          <w:tcPr>
            <w:tcW w:type="pct" w:w="16%"/>
            <w:shd w:fill="FFFFFF" w:val="clear"/>
            <w:tcMar>
              <w:top w:type="dxa" w:w="100"/>
              <w:left w:type="dxa" w:w="120"/>
              <w:bottom w:type="dxa" w:w="100"/>
              <w:right w:type="dxa" w:w="120"/>
            </w:tcMar>
          </w:tcPr>
          <w:p>
            <w:r>
              <w:rPr>
                <w:rFonts w:ascii="Calibri" w:cs="Calibri" w:eastAsia="Calibri" w:hAnsi="Calibri"/>
                <w:b/>
                <w:bCs/>
                <w:color w:val="0E7C7B"/>
                <w:sz w:val="19"/>
                <w:szCs w:val="19"/>
              </w:rPr>
              <w:t xml:space="preserve">1. Foundation</w:t>
            </w:r>
          </w:p>
        </w:tc>
        <w:tc>
          <w:tcPr>
            <w:tcW w:type="pct" w:w="34%"/>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RPA + point AI: document extraction, screen scraping, copilots inside existing bots. No autonomous decisioning.</w:t>
            </w:r>
          </w:p>
        </w:tc>
        <w:tc>
          <w:tcPr>
            <w:tcW w:type="pct" w:w="22%"/>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Reviews every exception; approves most transactions.</w:t>
            </w:r>
          </w:p>
        </w:tc>
        <w:tc>
          <w:tcPr>
            <w:tcW w:type="pct" w:w="28%"/>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Cycle-time gains on individual tasks; little structural change.</w:t>
            </w:r>
          </w:p>
        </w:tc>
      </w:tr>
      <w:tr>
        <w:tc>
          <w:tcPr>
            <w:tcW w:type="pct" w:w="16%"/>
            <w:shd w:fill="EEF2F6" w:val="clear"/>
            <w:tcMar>
              <w:top w:type="dxa" w:w="100"/>
              <w:left w:type="dxa" w:w="120"/>
              <w:bottom w:type="dxa" w:w="100"/>
              <w:right w:type="dxa" w:w="120"/>
            </w:tcMar>
          </w:tcPr>
          <w:p>
            <w:r>
              <w:rPr>
                <w:rFonts w:ascii="Calibri" w:cs="Calibri" w:eastAsia="Calibri" w:hAnsi="Calibri"/>
                <w:b/>
                <w:bCs/>
                <w:color w:val="0E7C7B"/>
                <w:sz w:val="19"/>
                <w:szCs w:val="19"/>
              </w:rPr>
              <w:t xml:space="preserve">2. Assisted agents</w:t>
            </w:r>
          </w:p>
        </w:tc>
        <w:tc>
          <w:tcPr>
            <w:tcW w:type="pct" w:w="34%"/>
            <w:shd w:fill="EEF2F6"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 single, tightly scoped workflow (e.g., invoice exceptions, claims triage) run by an agent with an RPA action layer underneath. Human-in-the-loop on every action.</w:t>
            </w:r>
          </w:p>
        </w:tc>
        <w:tc>
          <w:tcPr>
            <w:tcW w:type="pct" w:w="22%"/>
            <w:shd w:fill="EEF2F6"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Approves each agent decision before it executes.</w:t>
            </w:r>
          </w:p>
        </w:tc>
        <w:tc>
          <w:tcPr>
            <w:tcW w:type="pct" w:w="28%"/>
            <w:shd w:fill="EEF2F6"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First measurable ROI; trust and audit trail established.</w:t>
            </w:r>
          </w:p>
        </w:tc>
      </w:tr>
      <w:tr>
        <w:tc>
          <w:tcPr>
            <w:tcW w:type="pct" w:w="16%"/>
            <w:shd w:fill="FFFFFF" w:val="clear"/>
            <w:tcMar>
              <w:top w:type="dxa" w:w="100"/>
              <w:left w:type="dxa" w:w="120"/>
              <w:bottom w:type="dxa" w:w="100"/>
              <w:right w:type="dxa" w:w="120"/>
            </w:tcMar>
          </w:tcPr>
          <w:p>
            <w:r>
              <w:rPr>
                <w:rFonts w:ascii="Calibri" w:cs="Calibri" w:eastAsia="Calibri" w:hAnsi="Calibri"/>
                <w:b/>
                <w:bCs/>
                <w:color w:val="0E7C7B"/>
                <w:sz w:val="19"/>
                <w:szCs w:val="19"/>
              </w:rPr>
              <w:t xml:space="preserve">3. Governed autonomy</w:t>
            </w:r>
          </w:p>
        </w:tc>
        <w:tc>
          <w:tcPr>
            <w:tcW w:type="pct" w:w="34%"/>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Multiple workflows orchestrated across a shared agent platform (gateway, identity, memory, observability). Agents act within policy; humans handle exceptions only.</w:t>
            </w:r>
          </w:p>
        </w:tc>
        <w:tc>
          <w:tcPr>
            <w:tcW w:type="pct" w:w="22%"/>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Exception handling, policy design, audit.</w:t>
            </w:r>
          </w:p>
        </w:tc>
        <w:tc>
          <w:tcPr>
            <w:tcW w:type="pct" w:w="28%"/>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Function-level EBIT impact; redesigned process, not automated old one.</w:t>
            </w:r>
          </w:p>
        </w:tc>
      </w:tr>
      <w:tr>
        <w:tc>
          <w:tcPr>
            <w:tcW w:type="pct" w:w="16%"/>
            <w:shd w:fill="EEF2F6" w:val="clear"/>
            <w:tcMar>
              <w:top w:type="dxa" w:w="100"/>
              <w:left w:type="dxa" w:w="120"/>
              <w:bottom w:type="dxa" w:w="100"/>
              <w:right w:type="dxa" w:w="120"/>
            </w:tcMar>
          </w:tcPr>
          <w:p>
            <w:r>
              <w:rPr>
                <w:rFonts w:ascii="Calibri" w:cs="Calibri" w:eastAsia="Calibri" w:hAnsi="Calibri"/>
                <w:b/>
                <w:bCs/>
                <w:color w:val="0E7C7B"/>
                <w:sz w:val="19"/>
                <w:szCs w:val="19"/>
              </w:rPr>
              <w:t xml:space="preserve">4. Autonomous function</w:t>
            </w:r>
          </w:p>
        </w:tc>
        <w:tc>
          <w:tcPr>
            <w:tcW w:type="pct" w:w="34%"/>
            <w:shd w:fill="EEF2F6"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 back-office function (AP, HR ops, claims) runs largely unattended end-to-end, with agents coordinating across mainframe, ERP, and SaaS systems.</w:t>
            </w:r>
          </w:p>
        </w:tc>
        <w:tc>
          <w:tcPr>
            <w:tcW w:type="pct" w:w="22%"/>
            <w:shd w:fill="EEF2F6"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Oversight, escalation review, continuous tuning.</w:t>
            </w:r>
          </w:p>
        </w:tc>
        <w:tc>
          <w:tcPr>
            <w:tcW w:type="pct" w:w="28%"/>
            <w:shd w:fill="EEF2F6"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Structural cost-to-serve reduction; talent redeployed to judgment work.</w:t>
            </w:r>
          </w:p>
        </w:tc>
      </w:tr>
    </w:tbl>
    <w:p>
      <w:pPr>
        <w:spacing w:after="160" w:line="288"/>
        <w:jc w:val="both"/>
      </w:pPr>
      <w:r>
        <w:rPr>
          <w:rFonts w:ascii="Calibri" w:cs="Calibri" w:eastAsia="Calibri" w:hAnsi="Calibri"/>
          <w:color w:val="222222"/>
          <w:sz w:val="21"/>
          <w:szCs w:val="21"/>
        </w:rPr>
        <w:t xml:space="preserve">The jump most programs try to skip is between Stage 2 and Stage 3 — from a single supervised pilot to a governed, multi-workflow platform. That jump is where the gateway, identity, and observability components above earn their cost: without them, each new workflow becomes another one-off integration rather than an addition to a shared, auditable platform.</w:t>
      </w:r>
    </w:p>
    <w:p>
      <w:pPr>
        <w:pStyle w:val="Heading1"/>
        <w:pBdr>
          <w:bottom w:val="single" w:color="0E7C7B" w:sz="8" w:space="4"/>
        </w:pBdr>
        <w:spacing w:after="200" w:before="480"/>
      </w:pPr>
      <w:r>
        <w:rPr>
          <w:rFonts w:ascii="Calibri" w:cs="Calibri" w:eastAsia="Calibri" w:hAnsi="Calibri"/>
          <w:b/>
          <w:bCs/>
          <w:color w:val="0E7C7B"/>
        </w:rPr>
        <w:t xml:space="preserve">8.  </w:t>
      </w:r>
      <w:r>
        <w:rPr>
          <w:rFonts w:ascii="Calibri" w:cs="Calibri" w:eastAsia="Calibri" w:hAnsi="Calibri"/>
          <w:b/>
          <w:bCs/>
          <w:color w:val="1B2A4A"/>
          <w:sz w:val="30"/>
          <w:szCs w:val="30"/>
        </w:rPr>
        <w:t xml:space="preserve">Governance, Risk, and Human Oversight</w:t>
      </w:r>
    </w:p>
    <w:p>
      <w:pPr>
        <w:spacing w:after="160" w:line="288"/>
        <w:jc w:val="both"/>
      </w:pPr>
      <w:r>
        <w:rPr>
          <w:rFonts w:ascii="Calibri" w:cs="Calibri" w:eastAsia="Calibri" w:hAnsi="Calibri"/>
          <w:color w:val="222222"/>
          <w:sz w:val="21"/>
          <w:szCs w:val="21"/>
        </w:rPr>
        <w:t xml:space="preserve">Autonomy in the back office has to be earned in policy before it is granted in production. Three practices separate programs that scale safely from the roughly nine in ten pilots that stall:</w:t>
      </w:r>
    </w:p>
    <w:p>
      <w:pPr>
        <w:pStyle w:val="ListParagraph"/>
        <w:numPr>
          <w:ilvl w:val="0"/>
          <w:numId w:val="2"/>
        </w:numPr>
        <w:spacing w:after="100" w:line="276"/>
      </w:pPr>
      <w:r>
        <w:rPr>
          <w:rFonts w:ascii="Calibri" w:cs="Calibri" w:eastAsia="Calibri" w:hAnsi="Calibri"/>
          <w:color w:val="222222"/>
          <w:sz w:val="21"/>
          <w:szCs w:val="21"/>
        </w:rPr>
        <w:t xml:space="preserve">Bounded autonomy by transaction risk — low-value, well-precedented transactions move to agent-executes / human-reviews-exceptions first; high-value or ambiguous cases stay human-in-the-loop until the agent's decision accuracy is proven against them.</w:t>
      </w:r>
    </w:p>
    <w:p>
      <w:pPr>
        <w:pStyle w:val="ListParagraph"/>
        <w:numPr>
          <w:ilvl w:val="0"/>
          <w:numId w:val="2"/>
        </w:numPr>
        <w:spacing w:after="100" w:line="276"/>
      </w:pPr>
      <w:r>
        <w:rPr>
          <w:rFonts w:ascii="Calibri" w:cs="Calibri" w:eastAsia="Calibri" w:hAnsi="Calibri"/>
          <w:color w:val="222222"/>
          <w:sz w:val="21"/>
          <w:szCs w:val="21"/>
        </w:rPr>
        <w:t xml:space="preserve">Explainability as a design requirement, not an afterthought — every autonomous action needs a reasoning trail an auditor can follow, particularly where regional AI transparency regulation applies to automated decisions affecting customers or employees.</w:t>
      </w:r>
    </w:p>
    <w:p>
      <w:pPr>
        <w:pStyle w:val="ListParagraph"/>
        <w:numPr>
          <w:ilvl w:val="0"/>
          <w:numId w:val="2"/>
        </w:numPr>
        <w:spacing w:after="100" w:line="276"/>
      </w:pPr>
      <w:r>
        <w:rPr>
          <w:rFonts w:ascii="Calibri" w:cs="Calibri" w:eastAsia="Calibri" w:hAnsi="Calibri"/>
          <w:color w:val="222222"/>
          <w:sz w:val="21"/>
          <w:szCs w:val="21"/>
        </w:rPr>
        <w:t xml:space="preserve">A named owner for escalation — clear accountability for what happens when an agent is uncertain, wrong, or blocked, so exceptions have a defined human path rather than a silent failure.</w:t>
      </w:r>
    </w:p>
    <w:p>
      <w:pPr>
        <w:spacing w:after="160" w:line="288"/>
        <w:jc w:val="both"/>
      </w:pPr>
      <w:r>
        <w:rPr>
          <w:rFonts w:ascii="Calibri" w:cs="Calibri" w:eastAsia="Calibri" w:hAnsi="Calibri"/>
          <w:color w:val="222222"/>
          <w:sz w:val="21"/>
          <w:szCs w:val="21"/>
        </w:rPr>
        <w:t xml:space="preserve">None of this is unique to agentic AI — it is the same control discipline enterprises already apply to RPA and to human-run back-office processes. What changes is the pace at which decisions are made and the need to make the reasoning behind each one machine-legible for audit.</w:t>
      </w:r>
    </w:p>
    <w:p>
      <w:pPr>
        <w:pStyle w:val="Heading1"/>
        <w:pBdr>
          <w:bottom w:val="single" w:color="0E7C7B" w:sz="8" w:space="4"/>
        </w:pBdr>
        <w:spacing w:after="200" w:before="480"/>
      </w:pPr>
      <w:r>
        <w:rPr>
          <w:rFonts w:ascii="Calibri" w:cs="Calibri" w:eastAsia="Calibri" w:hAnsi="Calibri"/>
          <w:b/>
          <w:bCs/>
          <w:color w:val="0E7C7B"/>
        </w:rPr>
        <w:t xml:space="preserve">9.  </w:t>
      </w:r>
      <w:r>
        <w:rPr>
          <w:rFonts w:ascii="Calibri" w:cs="Calibri" w:eastAsia="Calibri" w:hAnsi="Calibri"/>
          <w:b/>
          <w:bCs/>
          <w:color w:val="1B2A4A"/>
          <w:sz w:val="30"/>
          <w:szCs w:val="30"/>
        </w:rPr>
        <w:t xml:space="preserve">What Separates the Leaders</w:t>
      </w:r>
    </w:p>
    <w:p>
      <w:pPr>
        <w:spacing w:after="160" w:line="288"/>
        <w:jc w:val="both"/>
      </w:pPr>
      <w:r>
        <w:rPr>
          <w:rFonts w:ascii="Calibri" w:cs="Calibri" w:eastAsia="Calibri" w:hAnsi="Calibri"/>
          <w:color w:val="222222"/>
          <w:sz w:val="21"/>
          <w:szCs w:val="21"/>
        </w:rPr>
        <w:t xml:space="preserve">Across the 2026 surveys, the dividing line between organizations capturing real value and the majority still stuck in pilot is not budget, and it is not which foundation model they use. It is workflow specificity: choosing one process with a clear input, a clear output, and a defined human checkpoint, and automating it end-to-end before expanding — rather than layering an agent thinly across many processes at once. It is also willingness to redesign the workflow itself, not merely hand an agent the process map a human used to follow.</w:t>
      </w:r>
    </w:p>
    <w:p>
      <w:pPr>
        <w:spacing w:after="160" w:line="288"/>
        <w:jc w:val="both"/>
      </w:pPr>
      <w:r>
        <w:rPr>
          <w:rFonts w:ascii="Calibri" w:cs="Calibri" w:eastAsia="Calibri" w:hAnsi="Calibri"/>
          <w:color w:val="222222"/>
          <w:sz w:val="21"/>
          <w:szCs w:val="21"/>
        </w:rPr>
        <w:t xml:space="preserve">For enterprises with a significant mainframe and AS400 footprint, there is a third differentiator: treating legacy connectivity and agent identity as first-class architecture decisions from the outset, rather than integration debt to resolve after the pilot succeeds.</w:t>
      </w:r>
    </w:p>
    <w:p>
      <w:pPr>
        <w:pStyle w:val="Heading1"/>
        <w:pBdr>
          <w:bottom w:val="single" w:color="0E7C7B" w:sz="8" w:space="4"/>
        </w:pBdr>
        <w:spacing w:after="200" w:before="480"/>
      </w:pPr>
      <w:r>
        <w:rPr>
          <w:rFonts w:ascii="Calibri" w:cs="Calibri" w:eastAsia="Calibri" w:hAnsi="Calibri"/>
          <w:b/>
          <w:bCs/>
          <w:color w:val="0E7C7B"/>
        </w:rPr>
        <w:t xml:space="preserve">10.  </w:t>
      </w:r>
      <w:r>
        <w:rPr>
          <w:rFonts w:ascii="Calibri" w:cs="Calibri" w:eastAsia="Calibri" w:hAnsi="Calibri"/>
          <w:b/>
          <w:bCs/>
          <w:color w:val="1B2A4A"/>
          <w:sz w:val="30"/>
          <w:szCs w:val="30"/>
        </w:rPr>
        <w:t xml:space="preserve">Recommendations</w:t>
      </w:r>
    </w:p>
    <w:p>
      <w:pPr>
        <w:pStyle w:val="ListParagraph"/>
        <w:numPr>
          <w:ilvl w:val="0"/>
          <w:numId w:val="2"/>
        </w:numPr>
        <w:spacing w:after="100" w:line="276"/>
      </w:pPr>
      <w:r>
        <w:rPr>
          <w:rFonts w:ascii="Calibri" w:cs="Calibri" w:eastAsia="Calibri" w:hAnsi="Calibri"/>
          <w:color w:val="222222"/>
          <w:sz w:val="21"/>
          <w:szCs w:val="21"/>
        </w:rPr>
        <w:t xml:space="preserve">Start with one back-office workflow that has clean inputs, a defined process owner, and measurable cycle-time or error-rate baselines — resist the urge to pilot broadly across a function.</w:t>
      </w:r>
    </w:p>
    <w:p>
      <w:pPr>
        <w:pStyle w:val="ListParagraph"/>
        <w:numPr>
          <w:ilvl w:val="0"/>
          <w:numId w:val="2"/>
        </w:numPr>
        <w:spacing w:after="100" w:line="276"/>
      </w:pPr>
      <w:r>
        <w:rPr>
          <w:rFonts w:ascii="Calibri" w:cs="Calibri" w:eastAsia="Calibri" w:hAnsi="Calibri"/>
          <w:color w:val="222222"/>
          <w:sz w:val="21"/>
          <w:szCs w:val="21"/>
        </w:rPr>
        <w:t xml:space="preserve">Wrap existing RPA bots as governed, callable actions early, rather than building parallel automation the agent layer will eventually need to replace.</w:t>
      </w:r>
    </w:p>
    <w:p>
      <w:pPr>
        <w:pStyle w:val="ListParagraph"/>
        <w:numPr>
          <w:ilvl w:val="0"/>
          <w:numId w:val="2"/>
        </w:numPr>
        <w:spacing w:after="100" w:line="276"/>
      </w:pPr>
      <w:r>
        <w:rPr>
          <w:rFonts w:ascii="Calibri" w:cs="Calibri" w:eastAsia="Calibri" w:hAnsi="Calibri"/>
          <w:color w:val="222222"/>
          <w:sz w:val="21"/>
          <w:szCs w:val="21"/>
        </w:rPr>
        <w:t xml:space="preserve">Stand up agent identity and entitlement management before scaling past a single pilot — retrofitting this after several workflows are live is materially harder.</w:t>
      </w:r>
    </w:p>
    <w:p>
      <w:pPr>
        <w:pStyle w:val="ListParagraph"/>
        <w:numPr>
          <w:ilvl w:val="0"/>
          <w:numId w:val="2"/>
        </w:numPr>
        <w:spacing w:after="100" w:line="276"/>
      </w:pPr>
      <w:r>
        <w:rPr>
          <w:rFonts w:ascii="Calibri" w:cs="Calibri" w:eastAsia="Calibri" w:hAnsi="Calibri"/>
          <w:color w:val="222222"/>
          <w:sz w:val="21"/>
          <w:szCs w:val="21"/>
        </w:rPr>
        <w:t xml:space="preserve">Capture tribal knowledge from tenured back-office staff into a retrievable memory layer as part of the pilot, not as a separate downstream project.</w:t>
      </w:r>
    </w:p>
    <w:p>
      <w:pPr>
        <w:pStyle w:val="ListParagraph"/>
        <w:numPr>
          <w:ilvl w:val="0"/>
          <w:numId w:val="2"/>
        </w:numPr>
        <w:spacing w:after="100" w:line="276"/>
      </w:pPr>
      <w:r>
        <w:rPr>
          <w:rFonts w:ascii="Calibri" w:cs="Calibri" w:eastAsia="Calibri" w:hAnsi="Calibri"/>
          <w:color w:val="222222"/>
          <w:sz w:val="21"/>
          <w:szCs w:val="21"/>
        </w:rPr>
        <w:t xml:space="preserve">Instrument observability and audit logging from the first production workflow, so governance scales with the platform instead of trailing it.</w:t>
      </w:r>
    </w:p>
    <w:p>
      <w:pPr>
        <w:pStyle w:val="ListParagraph"/>
        <w:numPr>
          <w:ilvl w:val="0"/>
          <w:numId w:val="2"/>
        </w:numPr>
        <w:spacing w:after="100" w:line="276"/>
      </w:pPr>
      <w:r>
        <w:rPr>
          <w:rFonts w:ascii="Calibri" w:cs="Calibri" w:eastAsia="Calibri" w:hAnsi="Calibri"/>
          <w:color w:val="222222"/>
          <w:sz w:val="21"/>
          <w:szCs w:val="21"/>
        </w:rPr>
        <w:t xml:space="preserve">Plan the maturity path in stages, and set the Stage 2-to-3 transition — shared platform, not one-off integration — as an explicit gate before adding new workflows.</w:t>
      </w:r>
    </w:p>
    <w:p>
      <w:pPr>
        <w:spacing w:before="200"/>
      </w:pPr>
    </w:p>
    <w:tbl>
      <w:tblPr>
        <w:tblW w:type="pct" w:w="100%"/>
        <w:tblBorders>
          <w:top w:val="single" w:color="0E7C7B" w:sz="6"/>
          <w:left w:val="single" w:color="0E7C7B" w:sz="6"/>
          <w:bottom w:val="single" w:color="0E7C7B" w:sz="6"/>
          <w:right w:val="single" w:color="0E7C7B" w:sz="6"/>
          <w:insideH w:val="none" w:color="FFFFFF" w:sz="0"/>
          <w:insideV w:val="none" w:color="FFFFFF" w:sz="0"/>
        </w:tblBorders>
      </w:tblPr>
      <w:tblGrid>
        <w:gridCol w:w="100"/>
      </w:tblGrid>
      <w:tr>
        <w:tc>
          <w:tcPr>
            <w:shd w:fill="EEF2F6" w:val="clear"/>
            <w:tcMar>
              <w:top w:type="dxa" w:w="160"/>
              <w:left w:type="dxa" w:w="200"/>
              <w:bottom w:type="dxa" w:w="160"/>
              <w:right w:type="dxa" w:w="200"/>
            </w:tcMar>
          </w:tcPr>
          <w:p>
            <w:pPr>
              <w:spacing w:after="60"/>
            </w:pPr>
            <w:r>
              <w:rPr>
                <w:rFonts w:ascii="Calibri" w:cs="Calibri" w:eastAsia="Calibri" w:hAnsi="Calibri"/>
                <w:b/>
                <w:bCs/>
                <w:color w:val="0E7C7B"/>
                <w:sz w:val="18"/>
                <w:szCs w:val="18"/>
              </w:rPr>
              <w:t xml:space="preserve">BOTTOM LINE</w:t>
            </w:r>
          </w:p>
          <w:p>
            <w:pPr>
              <w:spacing w:after="0"/>
            </w:pPr>
            <w:r>
              <w:rPr>
                <w:rFonts w:ascii="Calibri" w:cs="Calibri" w:eastAsia="Calibri" w:hAnsi="Calibri"/>
                <w:i/>
                <w:iCs/>
                <w:color w:val="1B2A4A"/>
                <w:sz w:val="21"/>
                <w:szCs w:val="21"/>
              </w:rPr>
              <w:t xml:space="preserve">The enterprises separating themselves in 2026 are not the ones with the most capable model. They are the ones that redesigned one back-office workflow properly, built the identity and governance layer to scale it, and only then moved to the next.</w:t>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jc w:val="right"/>
    </w:pPr>
    <w:r>
      <w:rPr>
        <w:rFonts w:ascii="Calibri" w:cs="Calibri" w:eastAsia="Calibri" w:hAnsi="Calibri"/>
        <w:i/>
        <w:iCs/>
        <w:color w:val="44546A"/>
        <w:sz w:val="16"/>
        <w:szCs w:val="16"/>
      </w:rPr>
      <w:t xml:space="preserve">Agentic AI in Back-Office Automation — Point of 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2026-09-02T07:17:18.829Z</dcterms:created>
  <dcterms:modified xsi:type="dcterms:W3CDTF">2026-09-02T07:17:18.840Z</dcterms:modified>
</cp:coreProperties>
</file>

<file path=docProps/custom.xml><?xml version="1.0" encoding="utf-8"?>
<Properties xmlns="http://schemas.openxmlformats.org/officeDocument/2006/custom-properties" xmlns:vt="http://schemas.openxmlformats.org/officeDocument/2006/docPropsVTypes"/>
</file>