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600"/>
      </w:pPr>
    </w:p>
    <w:p>
      <w:pPr>
        <w:pBdr>
          <w:left w:val="single" w:color="0E7C7B" w:sz="36" w:space="12"/>
        </w:pBdr>
        <w:spacing w:after="120"/>
      </w:pPr>
      <w:r>
        <w:rPr>
          <w:rFonts w:ascii="Calibri" w:cs="Calibri" w:eastAsia="Calibri" w:hAnsi="Calibri"/>
          <w:b/>
          <w:bCs/>
          <w:color w:val="0E7C7B"/>
          <w:spacing w:val="30"/>
          <w:sz w:val="22"/>
          <w:szCs w:val="22"/>
        </w:rPr>
        <w:t xml:space="preserve">POINT OF VIEW</w:t>
      </w:r>
    </w:p>
    <w:p>
      <w:pPr>
        <w:pBdr>
          <w:left w:val="single" w:color="0E7C7B" w:sz="36" w:space="12"/>
        </w:pBdr>
        <w:spacing w:after="60"/>
      </w:pPr>
      <w:r>
        <w:rPr>
          <w:rFonts w:ascii="Calibri" w:cs="Calibri" w:eastAsia="Calibri" w:hAnsi="Calibri"/>
          <w:b/>
          <w:bCs/>
          <w:color w:val="1B2A4A"/>
          <w:sz w:val="48"/>
          <w:szCs w:val="48"/>
        </w:rPr>
        <w:t xml:space="preserve">U.S. Regulatory Landscape for</w:t>
      </w:r>
    </w:p>
    <w:p>
      <w:pPr>
        <w:pBdr>
          <w:left w:val="single" w:color="0E7C7B" w:sz="36" w:space="12"/>
        </w:pBdr>
        <w:spacing w:after="300"/>
      </w:pPr>
      <w:r>
        <w:rPr>
          <w:rFonts w:ascii="Calibri" w:cs="Calibri" w:eastAsia="Calibri" w:hAnsi="Calibri"/>
          <w:b/>
          <w:bCs/>
          <w:color w:val="1B2A4A"/>
          <w:sz w:val="48"/>
          <w:szCs w:val="48"/>
        </w:rPr>
        <w:t xml:space="preserve">Retail &amp; Leased Auto Loan Default</w:t>
      </w:r>
    </w:p>
    <w:p>
      <w:pPr>
        <w:pBdr>
          <w:left w:val="single" w:color="0E7C7B" w:sz="36" w:space="12"/>
        </w:pBdr>
        <w:spacing w:after="2000"/>
      </w:pPr>
      <w:r>
        <w:rPr>
          <w:rFonts w:ascii="Calibri" w:cs="Calibri" w:eastAsia="Calibri" w:hAnsi="Calibri"/>
          <w:i/>
          <w:iCs/>
          <w:color w:val="44546A"/>
          <w:sz w:val="24"/>
          <w:szCs w:val="24"/>
        </w:rPr>
        <w:t xml:space="preserve">The federal and state statutes that govern origination, default, repossession, and collections — and what changed through 2026</w:t>
      </w:r>
    </w:p>
    <w:p>
      <w:pPr>
        <w:pBdr>
          <w:top w:val="single" w:color="C9D2DC" w:sz="6" w:space="8"/>
        </w:pBdr>
        <w:spacing w:before="3200"/>
      </w:pPr>
    </w:p>
    <w:p>
      <w:pPr>
        <w:spacing w:before="120"/>
      </w:pPr>
      <w:r>
        <w:rPr>
          <w:rFonts w:ascii="Calibri" w:cs="Calibri" w:eastAsia="Calibri" w:hAnsi="Calibri"/>
          <w:color w:val="44546A"/>
          <w:sz w:val="19"/>
          <w:szCs w:val="19"/>
        </w:rPr>
        <w:t xml:space="preserve">Prepared for: Auto Finance &amp; Servicing Leadership</w:t>
      </w:r>
    </w:p>
    <w:p>
      <w:pPr>
        <w:spacing w:before="60"/>
      </w:pPr>
      <w:r>
        <w:rPr>
          <w:rFonts w:ascii="Calibri" w:cs="Calibri" w:eastAsia="Calibri" w:hAnsi="Calibri"/>
          <w:color w:val="44546A"/>
          <w:sz w:val="19"/>
          <w:szCs w:val="19"/>
        </w:rPr>
        <w:t xml:space="preserve">Scope: Retail installment contracts and consumer vehicle leases — origination disclosure through default, repossession, and collections</w:t>
      </w:r>
    </w:p>
    <w:p>
      <w:pPr>
        <w:spacing w:before="60"/>
      </w:pPr>
      <w:r>
        <w:rPr>
          <w:rFonts w:ascii="Calibri" w:cs="Calibri" w:eastAsia="Calibri" w:hAnsi="Calibri"/>
          <w:color w:val="44546A"/>
          <w:sz w:val="19"/>
          <w:szCs w:val="19"/>
        </w:rPr>
        <w:t xml:space="preserve">September 2026</w:t>
      </w:r>
    </w:p>
    <w:p>
      <w:pPr>
        <w:sectPr>
          <w:pgSz w:w="12240" w:h="15840" w:orient="portrait"/>
          <w:pgMar w:top="1440" w:right="1440" w:bottom="1440" w:left="1440" w:header="708" w:footer="708" w:gutter="0"/>
          <w:pgNumType/>
          <w:docGrid w:linePitch="360"/>
        </w:sectPr>
      </w:pPr>
    </w:p>
    <w:p>
      <w:pPr>
        <w:pStyle w:val="Heading1"/>
        <w:spacing w:after="240"/>
      </w:pPr>
      <w:r>
        <w:rPr>
          <w:rFonts w:ascii="Calibri" w:cs="Calibri" w:eastAsia="Calibri" w:hAnsi="Calibri"/>
          <w:b/>
          <w:bCs/>
          <w:color w:val="1B2A4A"/>
          <w:sz w:val="30"/>
          <w:szCs w:val="30"/>
        </w:rPr>
        <w:t xml:space="preserve">Contents</w:t>
      </w:r>
    </w:p>
    <w:sdt>
      <w:sdtPr>
        <w:alias w:val="Contents"/>
      </w:sdtPr>
      <w:sdtContent>
        <w:p>
          <w:r>
            <w:fldChar w:fldCharType="begin" w:dirty="true"/>
            <w:instrText xml:space="preserve">TOC \h \o "1-1"</w:instrText>
            <w:fldChar w:fldCharType="separate"/>
          </w:r>
        </w:p>
        <w:p>
          <w:r>
            <w:fldChar w:fldCharType="end"/>
          </w:r>
        </w:p>
      </w:sdtContent>
    </w:sdt>
    <w:p>
      <w:r>
        <w:br w:type="page"/>
      </w:r>
    </w:p>
    <w:p>
      <w:pPr>
        <w:sectPr>
          <w:pgSz w:w="11906" w:h="16838" w:orient="portrait"/>
          <w:pgMar w:top="1440" w:right="1440" w:bottom="1440" w:left="1440" w:header="708" w:footer="708" w:gutter="0"/>
          <w:pgNumType/>
          <w:docGrid w:linePitch="360"/>
        </w:sectPr>
      </w:pPr>
    </w:p>
    <w:p>
      <w:pPr>
        <w:pStyle w:val="Heading1"/>
        <w:pBdr>
          <w:bottom w:val="single" w:color="0E7C7B" w:sz="8" w:space="4"/>
        </w:pBdr>
        <w:spacing w:after="200" w:before="480"/>
      </w:pPr>
      <w:r>
        <w:rPr>
          <w:rFonts w:ascii="Calibri" w:cs="Calibri" w:eastAsia="Calibri" w:hAnsi="Calibri"/>
          <w:b/>
          <w:bCs/>
          <w:color w:val="0E7C7B"/>
        </w:rPr>
        <w:t xml:space="preserve">1.  </w:t>
      </w:r>
      <w:r>
        <w:rPr>
          <w:rFonts w:ascii="Calibri" w:cs="Calibri" w:eastAsia="Calibri" w:hAnsi="Calibri"/>
          <w:b/>
          <w:bCs/>
          <w:color w:val="1B2A4A"/>
          <w:sz w:val="30"/>
          <w:szCs w:val="30"/>
        </w:rPr>
        <w:t xml:space="preserve">Executive Summary</w:t>
      </w:r>
    </w:p>
    <w:p>
      <w:pPr>
        <w:spacing w:after="160" w:line="288"/>
        <w:jc w:val="both"/>
      </w:pPr>
      <w:r>
        <w:rPr>
          <w:rFonts w:ascii="Calibri" w:cs="Calibri" w:eastAsia="Calibri" w:hAnsi="Calibri"/>
          <w:color w:val="222222"/>
          <w:sz w:val="21"/>
          <w:szCs w:val="21"/>
        </w:rPr>
        <w:t xml:space="preserve">There is no single “auto default law” in the United States. A borrower or lessee who falls behind on payments moves through a stack of federal statutes layered on top of state secured-transaction law, and the mix of statutes that applies differs depending on whether the vehicle was purchased on credit or leased. Retail installment loans are governed primarily by the Truth in Lending Act at origination and Uniform Commercial Code Article 9 at default; leases run on a parallel track under the Consumer Leasing Act and state lease-specific default provisions. Collections activity on either product then picks up its own overlay — the FDCPA, TCPA, FCRA, SCRA, and the Military Lending Act — regardless of how the vehicle was originally financed.</w:t>
      </w:r>
    </w:p>
    <w:p>
      <w:pPr>
        <w:spacing w:after="160" w:line="288"/>
        <w:jc w:val="both"/>
      </w:pPr>
      <w:r>
        <w:rPr>
          <w:rFonts w:ascii="Calibri" w:cs="Calibri" w:eastAsia="Calibri" w:hAnsi="Calibri"/>
          <w:color w:val="222222"/>
          <w:sz w:val="21"/>
          <w:szCs w:val="21"/>
        </w:rPr>
        <w:t xml:space="preserve">Two structural shifts define the 2026 landscape. First, the primary federal rulemaking aimed squarely at dealer and add-on conduct — the FTC's Combating Auto Retail Scams (CARS) Rule — was vacated by the Fifth Circuit in January 2025 and formally withdrawn from the federal rulebook in February 2026. Deceptive dealer conduct is still illegal, but it is now policed case-by-case under general Section 5 authority rather than a standing, detailed rule. Second, state legislatures and state attorneys general have moved to fill that gap, particularly around repossession timelines, vehicle-disabling technology, and the Buy-Here-Pay-Here segment, which federal research shows repossesses at many multiples the rate of traditional lenders.</w:t>
      </w:r>
    </w:p>
    <w:p>
      <w:pPr>
        <w:spacing w:after="160" w:line="288"/>
        <w:jc w:val="both"/>
      </w:pPr>
      <w:r>
        <w:rPr>
          <w:rFonts w:ascii="Calibri" w:cs="Calibri" w:eastAsia="Calibri" w:hAnsi="Calibri"/>
          <w:color w:val="222222"/>
          <w:sz w:val="21"/>
          <w:szCs w:val="21"/>
        </w:rPr>
        <w:t xml:space="preserve">This point of view maps the statute stack a lender, servicer, or collections operation has to navigate from origination through post-default recovery, distinguishes what applies to a retail loan versus a lease, and summarizes the regulatory developments through mid-2026 that are actively reshaping enforcement risk.</w:t>
      </w:r>
    </w:p>
    <w:tbl>
      <w:tblPr>
        <w:tblW w:type="pct" w:w="100%"/>
        <w:tblBorders>
          <w:top w:val="single" w:color="0E7C7B" w:sz="6"/>
          <w:left w:val="single" w:color="0E7C7B" w:sz="6"/>
          <w:bottom w:val="single" w:color="0E7C7B" w:sz="6"/>
          <w:right w:val="single" w:color="0E7C7B" w:sz="6"/>
          <w:insideH w:val="none" w:color="FFFFFF" w:sz="0"/>
          <w:insideV w:val="none" w:color="FFFFFF" w:sz="0"/>
        </w:tblBorders>
      </w:tblPr>
      <w:tblGrid>
        <w:gridCol w:w="100"/>
      </w:tblGrid>
      <w:tr>
        <w:tc>
          <w:tcPr>
            <w:shd w:fill="EEF2F6" w:val="clear"/>
            <w:tcMar>
              <w:top w:type="dxa" w:w="160"/>
              <w:left w:type="dxa" w:w="200"/>
              <w:bottom w:type="dxa" w:w="160"/>
              <w:right w:type="dxa" w:w="200"/>
            </w:tcMar>
          </w:tcPr>
          <w:p>
            <w:pPr>
              <w:spacing w:after="60"/>
            </w:pPr>
            <w:r>
              <w:rPr>
                <w:rFonts w:ascii="Calibri" w:cs="Calibri" w:eastAsia="Calibri" w:hAnsi="Calibri"/>
                <w:b/>
                <w:bCs/>
                <w:color w:val="0E7C7B"/>
                <w:sz w:val="18"/>
                <w:szCs w:val="18"/>
              </w:rPr>
              <w:t xml:space="preserve">THE CORE STRUCTURE</w:t>
            </w:r>
          </w:p>
          <w:p>
            <w:pPr>
              <w:spacing w:after="0"/>
            </w:pPr>
            <w:r>
              <w:rPr>
                <w:rFonts w:ascii="Calibri" w:cs="Calibri" w:eastAsia="Calibri" w:hAnsi="Calibri"/>
                <w:i/>
                <w:iCs/>
                <w:color w:val="1B2A4A"/>
                <w:sz w:val="21"/>
                <w:szCs w:val="21"/>
              </w:rPr>
              <w:t xml:space="preserve">Origination disclosure (TILA/Reg Z or CLA/Reg M) sets the terms. State UCC Article 9 law — or, for leases, the lease's own default provisions — governs the repossession itself. A separate federal overlay (FDCPA, TCPA, FCRA, SCRA, MLA) governs every contact and every credit-bureau report made while collecting on the deficiency.</w:t>
            </w:r>
          </w:p>
        </w:tc>
      </w:tr>
    </w:tbl>
    <w:p>
      <w:pPr>
        <w:pStyle w:val="Heading1"/>
        <w:pBdr>
          <w:bottom w:val="single" w:color="0E7C7B" w:sz="8" w:space="4"/>
        </w:pBdr>
        <w:spacing w:after="200" w:before="480"/>
      </w:pPr>
      <w:r>
        <w:rPr>
          <w:rFonts w:ascii="Calibri" w:cs="Calibri" w:eastAsia="Calibri" w:hAnsi="Calibri"/>
          <w:b/>
          <w:bCs/>
          <w:color w:val="0E7C7B"/>
        </w:rPr>
        <w:t xml:space="preserve">2.  </w:t>
      </w:r>
      <w:r>
        <w:rPr>
          <w:rFonts w:ascii="Calibri" w:cs="Calibri" w:eastAsia="Calibri" w:hAnsi="Calibri"/>
          <w:b/>
          <w:bCs/>
          <w:color w:val="1B2A4A"/>
          <w:sz w:val="30"/>
          <w:szCs w:val="30"/>
        </w:rPr>
        <w:t xml:space="preserve">Origination-Stage Disclosure Statutes</w:t>
      </w:r>
    </w:p>
    <w:p>
      <w:pPr>
        <w:spacing w:after="160" w:line="288"/>
        <w:jc w:val="both"/>
      </w:pPr>
      <w:r>
        <w:rPr>
          <w:rFonts w:ascii="Calibri" w:cs="Calibri" w:eastAsia="Calibri" w:hAnsi="Calibri"/>
          <w:color w:val="222222"/>
          <w:sz w:val="21"/>
          <w:szCs w:val="21"/>
        </w:rPr>
        <w:t xml:space="preserve">The statutes below do not directly govern default or repossession, but the disclosures they require — APR, payment schedule, residual value, mileage terms — define what “curing” a default or calculating a deficiency actually means downstream, and disclosure failures are a common secondary claim once a repossession dispute reaches litigation.</w:t>
      </w:r>
    </w:p>
    <w:tbl>
      <w:tblPr>
        <w:tblW w:type="pct" w:w="100%"/>
        <w:tblBorders>
          <w:top w:val="single" w:color="C9D2DC" w:sz="4"/>
          <w:left w:val="single" w:color="C9D2DC" w:sz="4"/>
          <w:bottom w:val="single" w:color="C9D2DC" w:sz="4"/>
          <w:right w:val="single" w:color="C9D2DC" w:sz="4"/>
          <w:insideH w:val="single" w:color="C9D2DC" w:sz="4"/>
          <w:insideV w:val="single" w:color="C9D2DC" w:sz="4"/>
        </w:tblBorders>
      </w:tblPr>
      <w:tblGrid>
        <w:gridCol w:w="3100"/>
        <w:gridCol w:w="2100"/>
        <w:gridCol w:w="6600"/>
      </w:tblGrid>
      <w:tr>
        <w:trPr>
          <w:tblHeader/>
        </w:trPr>
        <w:tc>
          <w:tcPr>
            <w:tcW w:type="pct" w:w="26%"/>
            <w:shd w:fill="1B2A4A" w:val="clear"/>
            <w:tcMar>
              <w:top w:type="dxa" w:w="100"/>
              <w:left w:type="dxa" w:w="120"/>
              <w:bottom w:type="dxa" w:w="100"/>
              <w:right w:type="dxa" w:w="120"/>
            </w:tcMar>
            <w:vAlign w:val="center"/>
          </w:tcPr>
          <w:p>
            <w:r>
              <w:rPr>
                <w:rFonts w:ascii="Calibri" w:cs="Calibri" w:eastAsia="Calibri" w:hAnsi="Calibri"/>
                <w:b/>
                <w:bCs/>
                <w:color w:val="FFFFFF"/>
                <w:sz w:val="18"/>
                <w:szCs w:val="18"/>
              </w:rPr>
              <w:t xml:space="preserve">Statute / Rule</w:t>
            </w:r>
          </w:p>
        </w:tc>
        <w:tc>
          <w:tcPr>
            <w:tcW w:type="pct" w:w="18%"/>
            <w:shd w:fill="1B2A4A" w:val="clear"/>
            <w:tcMar>
              <w:top w:type="dxa" w:w="100"/>
              <w:left w:type="dxa" w:w="120"/>
              <w:bottom w:type="dxa" w:w="100"/>
              <w:right w:type="dxa" w:w="120"/>
            </w:tcMar>
            <w:vAlign w:val="center"/>
          </w:tcPr>
          <w:p>
            <w:r>
              <w:rPr>
                <w:rFonts w:ascii="Calibri" w:cs="Calibri" w:eastAsia="Calibri" w:hAnsi="Calibri"/>
                <w:b/>
                <w:bCs/>
                <w:color w:val="FFFFFF"/>
                <w:sz w:val="18"/>
                <w:szCs w:val="18"/>
              </w:rPr>
              <w:t xml:space="preserve">Regulator</w:t>
            </w:r>
          </w:p>
        </w:tc>
        <w:tc>
          <w:tcPr>
            <w:tcW w:type="pct" w:w="56%"/>
            <w:shd w:fill="1B2A4A" w:val="clear"/>
            <w:tcMar>
              <w:top w:type="dxa" w:w="100"/>
              <w:left w:type="dxa" w:w="120"/>
              <w:bottom w:type="dxa" w:w="100"/>
              <w:right w:type="dxa" w:w="120"/>
            </w:tcMar>
            <w:vAlign w:val="center"/>
          </w:tcPr>
          <w:p>
            <w:r>
              <w:rPr>
                <w:rFonts w:ascii="Calibri" w:cs="Calibri" w:eastAsia="Calibri" w:hAnsi="Calibri"/>
                <w:b/>
                <w:bCs/>
                <w:color w:val="FFFFFF"/>
                <w:sz w:val="18"/>
                <w:szCs w:val="18"/>
              </w:rPr>
              <w:t xml:space="preserve">What it requires</w:t>
            </w:r>
          </w:p>
        </w:tc>
      </w:tr>
      <w:tr>
        <w:tc>
          <w:tcPr>
            <w:tcW w:type="pct" w:w="26%"/>
            <w:shd w:fill="FFFFFF" w:val="clear"/>
            <w:tcMar>
              <w:top w:type="dxa" w:w="100"/>
              <w:left w:type="dxa" w:w="120"/>
              <w:bottom w:type="dxa" w:w="100"/>
              <w:right w:type="dxa" w:w="120"/>
            </w:tcMar>
            <w:vAlign w:val="center"/>
          </w:tcPr>
          <w:p>
            <w:r>
              <w:rPr>
                <w:rFonts w:ascii="Calibri" w:cs="Calibri" w:eastAsia="Calibri" w:hAnsi="Calibri"/>
                <w:b/>
                <w:bCs/>
                <w:color w:val="0E7C7B"/>
                <w:sz w:val="18"/>
                <w:szCs w:val="18"/>
              </w:rPr>
              <w:t xml:space="preserve">Truth in Lending Act (TILA) — Reg Z</w:t>
            </w:r>
          </w:p>
        </w:tc>
        <w:tc>
          <w:tcPr>
            <w:tcW w:type="pct" w:w="18%"/>
            <w:shd w:fill="FFFFFF" w:val="clear"/>
            <w:tcMar>
              <w:top w:type="dxa" w:w="100"/>
              <w:left w:type="dxa" w:w="120"/>
              <w:bottom w:type="dxa" w:w="100"/>
              <w:right w:type="dxa" w:w="120"/>
            </w:tcMar>
            <w:vAlign w:val="center"/>
          </w:tcPr>
          <w:p>
            <w:r>
              <w:rPr>
                <w:rFonts w:ascii="Calibri" w:cs="Calibri" w:eastAsia="Calibri" w:hAnsi="Calibri"/>
                <w:b w:val="false"/>
                <w:bCs w:val="false"/>
                <w:color w:val="222222"/>
                <w:sz w:val="18"/>
                <w:szCs w:val="18"/>
              </w:rPr>
              <w:t xml:space="preserve">CFPB</w:t>
            </w:r>
          </w:p>
        </w:tc>
        <w:tc>
          <w:tcPr>
            <w:tcW w:type="pct" w:w="56%"/>
            <w:shd w:fill="FFFFFF" w:val="clear"/>
            <w:tcMar>
              <w:top w:type="dxa" w:w="100"/>
              <w:left w:type="dxa" w:w="120"/>
              <w:bottom w:type="dxa" w:w="100"/>
              <w:right w:type="dxa" w:w="120"/>
            </w:tcMar>
            <w:vAlign w:val="center"/>
          </w:tcPr>
          <w:p>
            <w:r>
              <w:rPr>
                <w:rFonts w:ascii="Calibri" w:cs="Calibri" w:eastAsia="Calibri" w:hAnsi="Calibri"/>
                <w:b w:val="false"/>
                <w:bCs w:val="false"/>
                <w:color w:val="222222"/>
                <w:sz w:val="18"/>
                <w:szCs w:val="18"/>
              </w:rPr>
              <w:t xml:space="preserve">Standardized disclosure of APR, finance charge, payment schedule, and total-of-payments for retail installment credit before the loan is signed.</w:t>
            </w:r>
          </w:p>
        </w:tc>
      </w:tr>
      <w:tr>
        <w:tc>
          <w:tcPr>
            <w:tcW w:type="pct" w:w="26%"/>
            <w:shd w:fill="EEF2F6" w:val="clear"/>
            <w:tcMar>
              <w:top w:type="dxa" w:w="100"/>
              <w:left w:type="dxa" w:w="120"/>
              <w:bottom w:type="dxa" w:w="100"/>
              <w:right w:type="dxa" w:w="120"/>
            </w:tcMar>
            <w:vAlign w:val="center"/>
          </w:tcPr>
          <w:p>
            <w:r>
              <w:rPr>
                <w:rFonts w:ascii="Calibri" w:cs="Calibri" w:eastAsia="Calibri" w:hAnsi="Calibri"/>
                <w:b/>
                <w:bCs/>
                <w:color w:val="0E7C7B"/>
                <w:sz w:val="18"/>
                <w:szCs w:val="18"/>
              </w:rPr>
              <w:t xml:space="preserve">Consumer Leasing Act (CLA) — Reg M</w:t>
            </w:r>
          </w:p>
        </w:tc>
        <w:tc>
          <w:tcPr>
            <w:tcW w:type="pct" w:w="18%"/>
            <w:shd w:fill="EEF2F6" w:val="clear"/>
            <w:tcMar>
              <w:top w:type="dxa" w:w="100"/>
              <w:left w:type="dxa" w:w="120"/>
              <w:bottom w:type="dxa" w:w="100"/>
              <w:right w:type="dxa" w:w="120"/>
            </w:tcMar>
            <w:vAlign w:val="center"/>
          </w:tcPr>
          <w:p>
            <w:r>
              <w:rPr>
                <w:rFonts w:ascii="Calibri" w:cs="Calibri" w:eastAsia="Calibri" w:hAnsi="Calibri"/>
                <w:b w:val="false"/>
                <w:bCs w:val="false"/>
                <w:color w:val="222222"/>
                <w:sz w:val="18"/>
                <w:szCs w:val="18"/>
              </w:rPr>
              <w:t xml:space="preserve">CFPB</w:t>
            </w:r>
          </w:p>
        </w:tc>
        <w:tc>
          <w:tcPr>
            <w:tcW w:type="pct" w:w="56%"/>
            <w:shd w:fill="EEF2F6" w:val="clear"/>
            <w:tcMar>
              <w:top w:type="dxa" w:w="100"/>
              <w:left w:type="dxa" w:w="120"/>
              <w:bottom w:type="dxa" w:w="100"/>
              <w:right w:type="dxa" w:w="120"/>
            </w:tcMar>
            <w:vAlign w:val="center"/>
          </w:tcPr>
          <w:p>
            <w:r>
              <w:rPr>
                <w:rFonts w:ascii="Calibri" w:cs="Calibri" w:eastAsia="Calibri" w:hAnsi="Calibri"/>
                <w:b w:val="false"/>
                <w:bCs w:val="false"/>
                <w:color w:val="222222"/>
                <w:sz w:val="18"/>
                <w:szCs w:val="18"/>
              </w:rPr>
              <w:t xml:space="preserve">The lease-side analogue to TILA: requires disclosure of gross capitalized cost, residual value, money factor, mileage terms, and end-of-lease liability, including excess-wear and excess-mileage charges.</w:t>
            </w:r>
          </w:p>
        </w:tc>
      </w:tr>
      <w:tr>
        <w:tc>
          <w:tcPr>
            <w:tcW w:type="pct" w:w="26%"/>
            <w:shd w:fill="FFFFFF" w:val="clear"/>
            <w:tcMar>
              <w:top w:type="dxa" w:w="100"/>
              <w:left w:type="dxa" w:w="120"/>
              <w:bottom w:type="dxa" w:w="100"/>
              <w:right w:type="dxa" w:w="120"/>
            </w:tcMar>
            <w:vAlign w:val="center"/>
          </w:tcPr>
          <w:p>
            <w:r>
              <w:rPr>
                <w:rFonts w:ascii="Calibri" w:cs="Calibri" w:eastAsia="Calibri" w:hAnsi="Calibri"/>
                <w:b/>
                <w:bCs/>
                <w:color w:val="0E7C7B"/>
                <w:sz w:val="18"/>
                <w:szCs w:val="18"/>
              </w:rPr>
              <w:t xml:space="preserve">Equal Credit Opportunity Act (ECOA) — Reg B</w:t>
            </w:r>
          </w:p>
        </w:tc>
        <w:tc>
          <w:tcPr>
            <w:tcW w:type="pct" w:w="18%"/>
            <w:shd w:fill="FFFFFF" w:val="clear"/>
            <w:tcMar>
              <w:top w:type="dxa" w:w="100"/>
              <w:left w:type="dxa" w:w="120"/>
              <w:bottom w:type="dxa" w:w="100"/>
              <w:right w:type="dxa" w:w="120"/>
            </w:tcMar>
            <w:vAlign w:val="center"/>
          </w:tcPr>
          <w:p>
            <w:r>
              <w:rPr>
                <w:rFonts w:ascii="Calibri" w:cs="Calibri" w:eastAsia="Calibri" w:hAnsi="Calibri"/>
                <w:b w:val="false"/>
                <w:bCs w:val="false"/>
                <w:color w:val="222222"/>
                <w:sz w:val="18"/>
                <w:szCs w:val="18"/>
              </w:rPr>
              <w:t xml:space="preserve">CFPB</w:t>
            </w:r>
          </w:p>
        </w:tc>
        <w:tc>
          <w:tcPr>
            <w:tcW w:type="pct" w:w="56%"/>
            <w:shd w:fill="FFFFFF" w:val="clear"/>
            <w:tcMar>
              <w:top w:type="dxa" w:w="100"/>
              <w:left w:type="dxa" w:w="120"/>
              <w:bottom w:type="dxa" w:w="100"/>
              <w:right w:type="dxa" w:w="120"/>
            </w:tcMar>
            <w:vAlign w:val="center"/>
          </w:tcPr>
          <w:p>
            <w:r>
              <w:rPr>
                <w:rFonts w:ascii="Calibri" w:cs="Calibri" w:eastAsia="Calibri" w:hAnsi="Calibri"/>
                <w:b w:val="false"/>
                <w:bCs w:val="false"/>
                <w:color w:val="222222"/>
                <w:sz w:val="18"/>
                <w:szCs w:val="18"/>
              </w:rPr>
              <w:t xml:space="preserve">Prohibits discrimination in credit decisions and requires an adverse-action notice with specific reasons when an application is denied or a rate is adjusted.</w:t>
            </w:r>
          </w:p>
        </w:tc>
      </w:tr>
      <w:tr>
        <w:tc>
          <w:tcPr>
            <w:tcW w:type="pct" w:w="26%"/>
            <w:shd w:fill="EEF2F6" w:val="clear"/>
            <w:tcMar>
              <w:top w:type="dxa" w:w="100"/>
              <w:left w:type="dxa" w:w="120"/>
              <w:bottom w:type="dxa" w:w="100"/>
              <w:right w:type="dxa" w:w="120"/>
            </w:tcMar>
            <w:vAlign w:val="center"/>
          </w:tcPr>
          <w:p>
            <w:r>
              <w:rPr>
                <w:rFonts w:ascii="Calibri" w:cs="Calibri" w:eastAsia="Calibri" w:hAnsi="Calibri"/>
                <w:b/>
                <w:bCs/>
                <w:color w:val="0E7C7B"/>
                <w:sz w:val="18"/>
                <w:szCs w:val="18"/>
              </w:rPr>
              <w:t xml:space="preserve">FTC Holder Rule</w:t>
            </w:r>
          </w:p>
        </w:tc>
        <w:tc>
          <w:tcPr>
            <w:tcW w:type="pct" w:w="18%"/>
            <w:shd w:fill="EEF2F6" w:val="clear"/>
            <w:tcMar>
              <w:top w:type="dxa" w:w="100"/>
              <w:left w:type="dxa" w:w="120"/>
              <w:bottom w:type="dxa" w:w="100"/>
              <w:right w:type="dxa" w:w="120"/>
            </w:tcMar>
            <w:vAlign w:val="center"/>
          </w:tcPr>
          <w:p>
            <w:r>
              <w:rPr>
                <w:rFonts w:ascii="Calibri" w:cs="Calibri" w:eastAsia="Calibri" w:hAnsi="Calibri"/>
                <w:b w:val="false"/>
                <w:bCs w:val="false"/>
                <w:color w:val="222222"/>
                <w:sz w:val="18"/>
                <w:szCs w:val="18"/>
              </w:rPr>
              <w:t xml:space="preserve">FTC</w:t>
            </w:r>
          </w:p>
        </w:tc>
        <w:tc>
          <w:tcPr>
            <w:tcW w:type="pct" w:w="56%"/>
            <w:shd w:fill="EEF2F6" w:val="clear"/>
            <w:tcMar>
              <w:top w:type="dxa" w:w="100"/>
              <w:left w:type="dxa" w:w="120"/>
              <w:bottom w:type="dxa" w:w="100"/>
              <w:right w:type="dxa" w:w="120"/>
            </w:tcMar>
            <w:vAlign w:val="center"/>
          </w:tcPr>
          <w:p>
            <w:r>
              <w:rPr>
                <w:rFonts w:ascii="Calibri" w:cs="Calibri" w:eastAsia="Calibri" w:hAnsi="Calibri"/>
                <w:b w:val="false"/>
                <w:bCs w:val="false"/>
                <w:color w:val="222222"/>
                <w:sz w:val="18"/>
                <w:szCs w:val="18"/>
              </w:rPr>
              <w:t xml:space="preserve">Preserves a consumer's legal claims and defenses against a dealer even after the retail installment contract is assigned or sold to a lender — relevant when a default dispute traces back to a defect in the original sale.</w:t>
            </w:r>
          </w:p>
        </w:tc>
      </w:tr>
    </w:tbl>
    <w:p>
      <w:pPr>
        <w:pStyle w:val="Heading1"/>
        <w:pBdr>
          <w:bottom w:val="single" w:color="0E7C7B" w:sz="8" w:space="4"/>
        </w:pBdr>
        <w:spacing w:after="200" w:before="480"/>
      </w:pPr>
      <w:r>
        <w:rPr>
          <w:rFonts w:ascii="Calibri" w:cs="Calibri" w:eastAsia="Calibri" w:hAnsi="Calibri"/>
          <w:b/>
          <w:bCs/>
          <w:color w:val="0E7C7B"/>
        </w:rPr>
        <w:t xml:space="preserve">3.  </w:t>
      </w:r>
      <w:r>
        <w:rPr>
          <w:rFonts w:ascii="Calibri" w:cs="Calibri" w:eastAsia="Calibri" w:hAnsi="Calibri"/>
          <w:b/>
          <w:bCs/>
          <w:color w:val="1B2A4A"/>
          <w:sz w:val="30"/>
          <w:szCs w:val="30"/>
        </w:rPr>
        <w:t xml:space="preserve">Statutes Governing Default, Repossession &amp; Collections</w:t>
      </w:r>
    </w:p>
    <w:p>
      <w:pPr>
        <w:spacing w:after="160" w:line="288"/>
        <w:jc w:val="both"/>
      </w:pPr>
      <w:r>
        <w:rPr>
          <w:rFonts w:ascii="Calibri" w:cs="Calibri" w:eastAsia="Calibri" w:hAnsi="Calibri"/>
          <w:color w:val="222222"/>
          <w:sz w:val="21"/>
          <w:szCs w:val="21"/>
        </w:rPr>
        <w:t xml:space="preserve">This is the core of the stack that activates once a payment is missed. Some of these statutes are federal and apply uniformly nationwide; UCC Article 9 is state law but its structure is uniform enough across states that the core mechanics — self-help repossession without breach of the peace, notice before disposition, a right to redeem, and deficiency calculation — are broadly consistent even though specific notice periods and cure rights vary by state.</w:t>
      </w:r>
    </w:p>
    <w:tbl>
      <w:tblPr>
        <w:tblW w:type="pct" w:w="100%"/>
        <w:tblBorders>
          <w:top w:val="single" w:color="C9D2DC" w:sz="4"/>
          <w:left w:val="single" w:color="C9D2DC" w:sz="4"/>
          <w:bottom w:val="single" w:color="C9D2DC" w:sz="4"/>
          <w:right w:val="single" w:color="C9D2DC" w:sz="4"/>
          <w:insideH w:val="single" w:color="C9D2DC" w:sz="4"/>
          <w:insideV w:val="single" w:color="C9D2DC" w:sz="4"/>
        </w:tblBorders>
      </w:tblPr>
      <w:tblGrid>
        <w:gridCol w:w="3100"/>
        <w:gridCol w:w="2100"/>
        <w:gridCol w:w="6600"/>
      </w:tblGrid>
      <w:tr>
        <w:trPr>
          <w:tblHeader/>
        </w:trPr>
        <w:tc>
          <w:tcPr>
            <w:tcW w:type="pct" w:w="26%"/>
            <w:shd w:fill="1B2A4A" w:val="clear"/>
            <w:tcMar>
              <w:top w:type="dxa" w:w="100"/>
              <w:left w:type="dxa" w:w="120"/>
              <w:bottom w:type="dxa" w:w="100"/>
              <w:right w:type="dxa" w:w="120"/>
            </w:tcMar>
            <w:vAlign w:val="center"/>
          </w:tcPr>
          <w:p>
            <w:r>
              <w:rPr>
                <w:rFonts w:ascii="Calibri" w:cs="Calibri" w:eastAsia="Calibri" w:hAnsi="Calibri"/>
                <w:b/>
                <w:bCs/>
                <w:color w:val="FFFFFF"/>
                <w:sz w:val="18"/>
                <w:szCs w:val="18"/>
              </w:rPr>
              <w:t xml:space="preserve">Statute / Rule</w:t>
            </w:r>
          </w:p>
        </w:tc>
        <w:tc>
          <w:tcPr>
            <w:tcW w:type="pct" w:w="18%"/>
            <w:shd w:fill="1B2A4A" w:val="clear"/>
            <w:tcMar>
              <w:top w:type="dxa" w:w="100"/>
              <w:left w:type="dxa" w:w="120"/>
              <w:bottom w:type="dxa" w:w="100"/>
              <w:right w:type="dxa" w:w="120"/>
            </w:tcMar>
            <w:vAlign w:val="center"/>
          </w:tcPr>
          <w:p>
            <w:r>
              <w:rPr>
                <w:rFonts w:ascii="Calibri" w:cs="Calibri" w:eastAsia="Calibri" w:hAnsi="Calibri"/>
                <w:b/>
                <w:bCs/>
                <w:color w:val="FFFFFF"/>
                <w:sz w:val="18"/>
                <w:szCs w:val="18"/>
              </w:rPr>
              <w:t xml:space="preserve">Regulator</w:t>
            </w:r>
          </w:p>
        </w:tc>
        <w:tc>
          <w:tcPr>
            <w:tcW w:type="pct" w:w="56%"/>
            <w:shd w:fill="1B2A4A" w:val="clear"/>
            <w:tcMar>
              <w:top w:type="dxa" w:w="100"/>
              <w:left w:type="dxa" w:w="120"/>
              <w:bottom w:type="dxa" w:w="100"/>
              <w:right w:type="dxa" w:w="120"/>
            </w:tcMar>
            <w:vAlign w:val="center"/>
          </w:tcPr>
          <w:p>
            <w:r>
              <w:rPr>
                <w:rFonts w:ascii="Calibri" w:cs="Calibri" w:eastAsia="Calibri" w:hAnsi="Calibri"/>
                <w:b/>
                <w:bCs/>
                <w:color w:val="FFFFFF"/>
                <w:sz w:val="18"/>
                <w:szCs w:val="18"/>
              </w:rPr>
              <w:t xml:space="preserve">Relevance to default &amp; repossession</w:t>
            </w:r>
          </w:p>
        </w:tc>
      </w:tr>
      <w:tr>
        <w:tc>
          <w:tcPr>
            <w:tcW w:type="pct" w:w="26%"/>
            <w:shd w:fill="FFFFFF" w:val="clear"/>
            <w:tcMar>
              <w:top w:type="dxa" w:w="100"/>
              <w:left w:type="dxa" w:w="120"/>
              <w:bottom w:type="dxa" w:w="100"/>
              <w:right w:type="dxa" w:w="120"/>
            </w:tcMar>
            <w:vAlign w:val="center"/>
          </w:tcPr>
          <w:p>
            <w:r>
              <w:rPr>
                <w:rFonts w:ascii="Calibri" w:cs="Calibri" w:eastAsia="Calibri" w:hAnsi="Calibri"/>
                <w:b/>
                <w:bCs/>
                <w:color w:val="0E7C7B"/>
                <w:sz w:val="18"/>
                <w:szCs w:val="18"/>
              </w:rPr>
              <w:t xml:space="preserve">UCC Article 9 (state law, uniform core)</w:t>
            </w:r>
          </w:p>
        </w:tc>
        <w:tc>
          <w:tcPr>
            <w:tcW w:type="pct" w:w="18%"/>
            <w:shd w:fill="FFFFFF" w:val="clear"/>
            <w:tcMar>
              <w:top w:type="dxa" w:w="100"/>
              <w:left w:type="dxa" w:w="120"/>
              <w:bottom w:type="dxa" w:w="100"/>
              <w:right w:type="dxa" w:w="120"/>
            </w:tcMar>
            <w:vAlign w:val="center"/>
          </w:tcPr>
          <w:p>
            <w:r>
              <w:rPr>
                <w:rFonts w:ascii="Calibri" w:cs="Calibri" w:eastAsia="Calibri" w:hAnsi="Calibri"/>
                <w:b w:val="false"/>
                <w:bCs w:val="false"/>
                <w:color w:val="222222"/>
                <w:sz w:val="18"/>
                <w:szCs w:val="18"/>
              </w:rPr>
              <w:t xml:space="preserve">State courts / AGs</w:t>
            </w:r>
          </w:p>
        </w:tc>
        <w:tc>
          <w:tcPr>
            <w:tcW w:type="pct" w:w="56%"/>
            <w:shd w:fill="FFFFFF" w:val="clear"/>
            <w:tcMar>
              <w:top w:type="dxa" w:w="100"/>
              <w:left w:type="dxa" w:w="120"/>
              <w:bottom w:type="dxa" w:w="100"/>
              <w:right w:type="dxa" w:w="120"/>
            </w:tcMar>
            <w:vAlign w:val="center"/>
          </w:tcPr>
          <w:p>
            <w:r>
              <w:rPr>
                <w:rFonts w:ascii="Calibri" w:cs="Calibri" w:eastAsia="Calibri" w:hAnsi="Calibri"/>
                <w:b w:val="false"/>
                <w:bCs w:val="false"/>
                <w:color w:val="222222"/>
                <w:sz w:val="18"/>
                <w:szCs w:val="18"/>
              </w:rPr>
              <w:t xml:space="preserve">Governs the secured party's right to repossess collateral on default, the requirement that self-help repossession occur without “breach of the peace,” notice of intent to sell, the right to redeem or cure, and calculation of any deficiency balance after sale.</w:t>
            </w:r>
          </w:p>
        </w:tc>
      </w:tr>
      <w:tr>
        <w:tc>
          <w:tcPr>
            <w:tcW w:type="pct" w:w="26%"/>
            <w:shd w:fill="EEF2F6" w:val="clear"/>
            <w:tcMar>
              <w:top w:type="dxa" w:w="100"/>
              <w:left w:type="dxa" w:w="120"/>
              <w:bottom w:type="dxa" w:w="100"/>
              <w:right w:type="dxa" w:w="120"/>
            </w:tcMar>
            <w:vAlign w:val="center"/>
          </w:tcPr>
          <w:p>
            <w:r>
              <w:rPr>
                <w:rFonts w:ascii="Calibri" w:cs="Calibri" w:eastAsia="Calibri" w:hAnsi="Calibri"/>
                <w:b/>
                <w:bCs/>
                <w:color w:val="0E7C7B"/>
                <w:sz w:val="18"/>
                <w:szCs w:val="18"/>
              </w:rPr>
              <w:t xml:space="preserve">Fair Debt Collection Practices Act (FDCPA) — Reg F</w:t>
            </w:r>
          </w:p>
        </w:tc>
        <w:tc>
          <w:tcPr>
            <w:tcW w:type="pct" w:w="18%"/>
            <w:shd w:fill="EEF2F6" w:val="clear"/>
            <w:tcMar>
              <w:top w:type="dxa" w:w="100"/>
              <w:left w:type="dxa" w:w="120"/>
              <w:bottom w:type="dxa" w:w="100"/>
              <w:right w:type="dxa" w:w="120"/>
            </w:tcMar>
            <w:vAlign w:val="center"/>
          </w:tcPr>
          <w:p>
            <w:r>
              <w:rPr>
                <w:rFonts w:ascii="Calibri" w:cs="Calibri" w:eastAsia="Calibri" w:hAnsi="Calibri"/>
                <w:b w:val="false"/>
                <w:bCs w:val="false"/>
                <w:color w:val="222222"/>
                <w:sz w:val="18"/>
                <w:szCs w:val="18"/>
              </w:rPr>
              <w:t xml:space="preserve">CFPB</w:t>
            </w:r>
          </w:p>
        </w:tc>
        <w:tc>
          <w:tcPr>
            <w:tcW w:type="pct" w:w="56%"/>
            <w:shd w:fill="EEF2F6" w:val="clear"/>
            <w:tcMar>
              <w:top w:type="dxa" w:w="100"/>
              <w:left w:type="dxa" w:w="120"/>
              <w:bottom w:type="dxa" w:w="100"/>
              <w:right w:type="dxa" w:w="120"/>
            </w:tcMar>
            <w:vAlign w:val="center"/>
          </w:tcPr>
          <w:p>
            <w:r>
              <w:rPr>
                <w:rFonts w:ascii="Calibri" w:cs="Calibri" w:eastAsia="Calibri" w:hAnsi="Calibri"/>
                <w:b w:val="false"/>
                <w:bCs w:val="false"/>
                <w:color w:val="222222"/>
                <w:sz w:val="18"/>
                <w:szCs w:val="18"/>
              </w:rPr>
              <w:t xml:space="preserve">Governs communications from third-party collectors chasing a delinquent balance or post-repossession deficiency: caps unsolicited calls at seven per debt per seven-day period, sets validation-notice content, and restricts contact timing and venue.</w:t>
            </w:r>
          </w:p>
        </w:tc>
      </w:tr>
      <w:tr>
        <w:tc>
          <w:tcPr>
            <w:tcW w:type="pct" w:w="26%"/>
            <w:shd w:fill="FFFFFF" w:val="clear"/>
            <w:tcMar>
              <w:top w:type="dxa" w:w="100"/>
              <w:left w:type="dxa" w:w="120"/>
              <w:bottom w:type="dxa" w:w="100"/>
              <w:right w:type="dxa" w:w="120"/>
            </w:tcMar>
            <w:vAlign w:val="center"/>
          </w:tcPr>
          <w:p>
            <w:r>
              <w:rPr>
                <w:rFonts w:ascii="Calibri" w:cs="Calibri" w:eastAsia="Calibri" w:hAnsi="Calibri"/>
                <w:b/>
                <w:bCs/>
                <w:color w:val="0E7C7B"/>
                <w:sz w:val="18"/>
                <w:szCs w:val="18"/>
              </w:rPr>
              <w:t xml:space="preserve">Telephone Consumer Protection Act (TCPA)</w:t>
            </w:r>
          </w:p>
        </w:tc>
        <w:tc>
          <w:tcPr>
            <w:tcW w:type="pct" w:w="18%"/>
            <w:shd w:fill="FFFFFF" w:val="clear"/>
            <w:tcMar>
              <w:top w:type="dxa" w:w="100"/>
              <w:left w:type="dxa" w:w="120"/>
              <w:bottom w:type="dxa" w:w="100"/>
              <w:right w:type="dxa" w:w="120"/>
            </w:tcMar>
            <w:vAlign w:val="center"/>
          </w:tcPr>
          <w:p>
            <w:r>
              <w:rPr>
                <w:rFonts w:ascii="Calibri" w:cs="Calibri" w:eastAsia="Calibri" w:hAnsi="Calibri"/>
                <w:b w:val="false"/>
                <w:bCs w:val="false"/>
                <w:color w:val="222222"/>
                <w:sz w:val="18"/>
                <w:szCs w:val="18"/>
              </w:rPr>
              <w:t xml:space="preserve">FCC / private right of action</w:t>
            </w:r>
          </w:p>
        </w:tc>
        <w:tc>
          <w:tcPr>
            <w:tcW w:type="pct" w:w="56%"/>
            <w:shd w:fill="FFFFFF" w:val="clear"/>
            <w:tcMar>
              <w:top w:type="dxa" w:w="100"/>
              <w:left w:type="dxa" w:w="120"/>
              <w:bottom w:type="dxa" w:w="100"/>
              <w:right w:type="dxa" w:w="120"/>
            </w:tcMar>
            <w:vAlign w:val="center"/>
          </w:tcPr>
          <w:p>
            <w:r>
              <w:rPr>
                <w:rFonts w:ascii="Calibri" w:cs="Calibri" w:eastAsia="Calibri" w:hAnsi="Calibri"/>
                <w:b w:val="false"/>
                <w:bCs w:val="false"/>
                <w:color w:val="222222"/>
                <w:sz w:val="18"/>
                <w:szCs w:val="18"/>
              </w:rPr>
              <w:t xml:space="preserve">Requires documented consent for autodialed or prerecorded calls and texts to a borrower's cell phone during collections outreach; statutory damages accrue per message, making consent records a material litigation exposure.</w:t>
            </w:r>
          </w:p>
        </w:tc>
      </w:tr>
      <w:tr>
        <w:tc>
          <w:tcPr>
            <w:tcW w:type="pct" w:w="26%"/>
            <w:shd w:fill="EEF2F6" w:val="clear"/>
            <w:tcMar>
              <w:top w:type="dxa" w:w="100"/>
              <w:left w:type="dxa" w:w="120"/>
              <w:bottom w:type="dxa" w:w="100"/>
              <w:right w:type="dxa" w:w="120"/>
            </w:tcMar>
            <w:vAlign w:val="center"/>
          </w:tcPr>
          <w:p>
            <w:r>
              <w:rPr>
                <w:rFonts w:ascii="Calibri" w:cs="Calibri" w:eastAsia="Calibri" w:hAnsi="Calibri"/>
                <w:b/>
                <w:bCs/>
                <w:color w:val="0E7C7B"/>
                <w:sz w:val="18"/>
                <w:szCs w:val="18"/>
              </w:rPr>
              <w:t xml:space="preserve">Fair Credit Reporting Act (FCRA)</w:t>
            </w:r>
          </w:p>
        </w:tc>
        <w:tc>
          <w:tcPr>
            <w:tcW w:type="pct" w:w="18%"/>
            <w:shd w:fill="EEF2F6" w:val="clear"/>
            <w:tcMar>
              <w:top w:type="dxa" w:w="100"/>
              <w:left w:type="dxa" w:w="120"/>
              <w:bottom w:type="dxa" w:w="100"/>
              <w:right w:type="dxa" w:w="120"/>
            </w:tcMar>
            <w:vAlign w:val="center"/>
          </w:tcPr>
          <w:p>
            <w:r>
              <w:rPr>
                <w:rFonts w:ascii="Calibri" w:cs="Calibri" w:eastAsia="Calibri" w:hAnsi="Calibri"/>
                <w:b w:val="false"/>
                <w:bCs w:val="false"/>
                <w:color w:val="222222"/>
                <w:sz w:val="18"/>
                <w:szCs w:val="18"/>
              </w:rPr>
              <w:t xml:space="preserve">CFPB / FTC</w:t>
            </w:r>
          </w:p>
        </w:tc>
        <w:tc>
          <w:tcPr>
            <w:tcW w:type="pct" w:w="56%"/>
            <w:shd w:fill="EEF2F6" w:val="clear"/>
            <w:tcMar>
              <w:top w:type="dxa" w:w="100"/>
              <w:left w:type="dxa" w:w="120"/>
              <w:bottom w:type="dxa" w:w="100"/>
              <w:right w:type="dxa" w:w="120"/>
            </w:tcMar>
            <w:vAlign w:val="center"/>
          </w:tcPr>
          <w:p>
            <w:r>
              <w:rPr>
                <w:rFonts w:ascii="Calibri" w:cs="Calibri" w:eastAsia="Calibri" w:hAnsi="Calibri"/>
                <w:b w:val="false"/>
                <w:bCs w:val="false"/>
                <w:color w:val="222222"/>
                <w:sz w:val="18"/>
                <w:szCs w:val="18"/>
              </w:rPr>
              <w:t xml:space="preserve">Requires accurate, timely furnishing of repossession, charge-off, and deficiency status to credit bureaus, and a defined dispute-investigation process when a borrower challenges what was reported.</w:t>
            </w:r>
          </w:p>
        </w:tc>
      </w:tr>
      <w:tr>
        <w:tc>
          <w:tcPr>
            <w:tcW w:type="pct" w:w="26%"/>
            <w:shd w:fill="FFFFFF" w:val="clear"/>
            <w:tcMar>
              <w:top w:type="dxa" w:w="100"/>
              <w:left w:type="dxa" w:w="120"/>
              <w:bottom w:type="dxa" w:w="100"/>
              <w:right w:type="dxa" w:w="120"/>
            </w:tcMar>
            <w:vAlign w:val="center"/>
          </w:tcPr>
          <w:p>
            <w:r>
              <w:rPr>
                <w:rFonts w:ascii="Calibri" w:cs="Calibri" w:eastAsia="Calibri" w:hAnsi="Calibri"/>
                <w:b/>
                <w:bCs/>
                <w:color w:val="0E7C7B"/>
                <w:sz w:val="18"/>
                <w:szCs w:val="18"/>
              </w:rPr>
              <w:t xml:space="preserve">Servicemembers Civil Relief Act (SCRA)</w:t>
            </w:r>
          </w:p>
        </w:tc>
        <w:tc>
          <w:tcPr>
            <w:tcW w:type="pct" w:w="18%"/>
            <w:shd w:fill="FFFFFF" w:val="clear"/>
            <w:tcMar>
              <w:top w:type="dxa" w:w="100"/>
              <w:left w:type="dxa" w:w="120"/>
              <w:bottom w:type="dxa" w:w="100"/>
              <w:right w:type="dxa" w:w="120"/>
            </w:tcMar>
            <w:vAlign w:val="center"/>
          </w:tcPr>
          <w:p>
            <w:r>
              <w:rPr>
                <w:rFonts w:ascii="Calibri" w:cs="Calibri" w:eastAsia="Calibri" w:hAnsi="Calibri"/>
                <w:b w:val="false"/>
                <w:bCs w:val="false"/>
                <w:color w:val="222222"/>
                <w:sz w:val="18"/>
                <w:szCs w:val="18"/>
              </w:rPr>
              <w:t xml:space="preserve">DOJ / private right of action</w:t>
            </w:r>
          </w:p>
        </w:tc>
        <w:tc>
          <w:tcPr>
            <w:tcW w:type="pct" w:w="56%"/>
            <w:shd w:fill="FFFFFF" w:val="clear"/>
            <w:tcMar>
              <w:top w:type="dxa" w:w="100"/>
              <w:left w:type="dxa" w:w="120"/>
              <w:bottom w:type="dxa" w:w="100"/>
              <w:right w:type="dxa" w:w="120"/>
            </w:tcMar>
            <w:vAlign w:val="center"/>
          </w:tcPr>
          <w:p>
            <w:r>
              <w:rPr>
                <w:rFonts w:ascii="Calibri" w:cs="Calibri" w:eastAsia="Calibri" w:hAnsi="Calibri"/>
                <w:b w:val="false"/>
                <w:bCs w:val="false"/>
                <w:color w:val="222222"/>
                <w:sz w:val="18"/>
                <w:szCs w:val="18"/>
              </w:rPr>
              <w:t xml:space="preserve">Requires a court order before repossessing a vehicle financed before a borrower entered active duty, and caps interest at 6% on pre-service obligations upon request — self-help repossession of a covered account is a federal violation.</w:t>
            </w:r>
          </w:p>
        </w:tc>
      </w:tr>
      <w:tr>
        <w:tc>
          <w:tcPr>
            <w:tcW w:type="pct" w:w="26%"/>
            <w:shd w:fill="EEF2F6" w:val="clear"/>
            <w:tcMar>
              <w:top w:type="dxa" w:w="100"/>
              <w:left w:type="dxa" w:w="120"/>
              <w:bottom w:type="dxa" w:w="100"/>
              <w:right w:type="dxa" w:w="120"/>
            </w:tcMar>
            <w:vAlign w:val="center"/>
          </w:tcPr>
          <w:p>
            <w:r>
              <w:rPr>
                <w:rFonts w:ascii="Calibri" w:cs="Calibri" w:eastAsia="Calibri" w:hAnsi="Calibri"/>
                <w:b/>
                <w:bCs/>
                <w:color w:val="0E7C7B"/>
                <w:sz w:val="18"/>
                <w:szCs w:val="18"/>
              </w:rPr>
              <w:t xml:space="preserve">Military Lending Act (MLA)</w:t>
            </w:r>
          </w:p>
        </w:tc>
        <w:tc>
          <w:tcPr>
            <w:tcW w:type="pct" w:w="18%"/>
            <w:shd w:fill="EEF2F6" w:val="clear"/>
            <w:tcMar>
              <w:top w:type="dxa" w:w="100"/>
              <w:left w:type="dxa" w:w="120"/>
              <w:bottom w:type="dxa" w:w="100"/>
              <w:right w:type="dxa" w:w="120"/>
            </w:tcMar>
            <w:vAlign w:val="center"/>
          </w:tcPr>
          <w:p>
            <w:r>
              <w:rPr>
                <w:rFonts w:ascii="Calibri" w:cs="Calibri" w:eastAsia="Calibri" w:hAnsi="Calibri"/>
                <w:b w:val="false"/>
                <w:bCs w:val="false"/>
                <w:color w:val="222222"/>
                <w:sz w:val="18"/>
                <w:szCs w:val="18"/>
              </w:rPr>
              <w:t xml:space="preserve">DoD / CFPB</w:t>
            </w:r>
          </w:p>
        </w:tc>
        <w:tc>
          <w:tcPr>
            <w:tcW w:type="pct" w:w="56%"/>
            <w:shd w:fill="EEF2F6" w:val="clear"/>
            <w:tcMar>
              <w:top w:type="dxa" w:w="100"/>
              <w:left w:type="dxa" w:w="120"/>
              <w:bottom w:type="dxa" w:w="100"/>
              <w:right w:type="dxa" w:w="120"/>
            </w:tcMar>
            <w:vAlign w:val="center"/>
          </w:tcPr>
          <w:p>
            <w:r>
              <w:rPr>
                <w:rFonts w:ascii="Calibri" w:cs="Calibri" w:eastAsia="Calibri" w:hAnsi="Calibri"/>
                <w:b w:val="false"/>
                <w:bCs w:val="false"/>
                <w:color w:val="222222"/>
                <w:sz w:val="18"/>
                <w:szCs w:val="18"/>
              </w:rPr>
              <w:t xml:space="preserve">Caps the Military Annual Percentage Rate at 36% and bars mandatory arbitration clauses for covered consumer credit extended to active-duty members and dependents; most pure purchase-money vehicle loans are exempt, but add-on financing (GAP, service contracts) can pull a contract back into scope.</w:t>
            </w:r>
          </w:p>
        </w:tc>
      </w:tr>
      <w:tr>
        <w:tc>
          <w:tcPr>
            <w:tcW w:type="pct" w:w="26%"/>
            <w:shd w:fill="FFFFFF" w:val="clear"/>
            <w:tcMar>
              <w:top w:type="dxa" w:w="100"/>
              <w:left w:type="dxa" w:w="120"/>
              <w:bottom w:type="dxa" w:w="100"/>
              <w:right w:type="dxa" w:w="120"/>
            </w:tcMar>
            <w:vAlign w:val="center"/>
          </w:tcPr>
          <w:p>
            <w:r>
              <w:rPr>
                <w:rFonts w:ascii="Calibri" w:cs="Calibri" w:eastAsia="Calibri" w:hAnsi="Calibri"/>
                <w:b/>
                <w:bCs/>
                <w:color w:val="0E7C7B"/>
                <w:sz w:val="18"/>
                <w:szCs w:val="18"/>
              </w:rPr>
              <w:t xml:space="preserve">Gramm-Leach-Bliley Act (GLBA)</w:t>
            </w:r>
          </w:p>
        </w:tc>
        <w:tc>
          <w:tcPr>
            <w:tcW w:type="pct" w:w="18%"/>
            <w:shd w:fill="FFFFFF" w:val="clear"/>
            <w:tcMar>
              <w:top w:type="dxa" w:w="100"/>
              <w:left w:type="dxa" w:w="120"/>
              <w:bottom w:type="dxa" w:w="100"/>
              <w:right w:type="dxa" w:w="120"/>
            </w:tcMar>
            <w:vAlign w:val="center"/>
          </w:tcPr>
          <w:p>
            <w:r>
              <w:rPr>
                <w:rFonts w:ascii="Calibri" w:cs="Calibri" w:eastAsia="Calibri" w:hAnsi="Calibri"/>
                <w:b w:val="false"/>
                <w:bCs w:val="false"/>
                <w:color w:val="222222"/>
                <w:sz w:val="18"/>
                <w:szCs w:val="18"/>
              </w:rPr>
              <w:t xml:space="preserve">CFPB / FTC</w:t>
            </w:r>
          </w:p>
        </w:tc>
        <w:tc>
          <w:tcPr>
            <w:tcW w:type="pct" w:w="56%"/>
            <w:shd w:fill="FFFFFF" w:val="clear"/>
            <w:tcMar>
              <w:top w:type="dxa" w:w="100"/>
              <w:left w:type="dxa" w:w="120"/>
              <w:bottom w:type="dxa" w:w="100"/>
              <w:right w:type="dxa" w:w="120"/>
            </w:tcMar>
            <w:vAlign w:val="center"/>
          </w:tcPr>
          <w:p>
            <w:r>
              <w:rPr>
                <w:rFonts w:ascii="Calibri" w:cs="Calibri" w:eastAsia="Calibri" w:hAnsi="Calibri"/>
                <w:b w:val="false"/>
                <w:bCs w:val="false"/>
                <w:color w:val="222222"/>
                <w:sz w:val="18"/>
                <w:szCs w:val="18"/>
              </w:rPr>
              <w:t xml:space="preserve">Requires safeguarding of nonpublic personal financial information handled during servicing, collections, and repossession — including data shared with repossession agents and skip-tracing vendors.</w:t>
            </w:r>
          </w:p>
        </w:tc>
      </w:tr>
      <w:tr>
        <w:tc>
          <w:tcPr>
            <w:tcW w:type="pct" w:w="26%"/>
            <w:shd w:fill="EEF2F6" w:val="clear"/>
            <w:tcMar>
              <w:top w:type="dxa" w:w="100"/>
              <w:left w:type="dxa" w:w="120"/>
              <w:bottom w:type="dxa" w:w="100"/>
              <w:right w:type="dxa" w:w="120"/>
            </w:tcMar>
            <w:vAlign w:val="center"/>
          </w:tcPr>
          <w:p>
            <w:r>
              <w:rPr>
                <w:rFonts w:ascii="Calibri" w:cs="Calibri" w:eastAsia="Calibri" w:hAnsi="Calibri"/>
                <w:b/>
                <w:bCs/>
                <w:color w:val="0E7C7B"/>
                <w:sz w:val="18"/>
                <w:szCs w:val="18"/>
              </w:rPr>
              <w:t xml:space="preserve">U.S. Bankruptcy Code (Ch. 7 / Ch. 13)</w:t>
            </w:r>
          </w:p>
        </w:tc>
        <w:tc>
          <w:tcPr>
            <w:tcW w:type="pct" w:w="18%"/>
            <w:shd w:fill="EEF2F6" w:val="clear"/>
            <w:tcMar>
              <w:top w:type="dxa" w:w="100"/>
              <w:left w:type="dxa" w:w="120"/>
              <w:bottom w:type="dxa" w:w="100"/>
              <w:right w:type="dxa" w:w="120"/>
            </w:tcMar>
            <w:vAlign w:val="center"/>
          </w:tcPr>
          <w:p>
            <w:r>
              <w:rPr>
                <w:rFonts w:ascii="Calibri" w:cs="Calibri" w:eastAsia="Calibri" w:hAnsi="Calibri"/>
                <w:b w:val="false"/>
                <w:bCs w:val="false"/>
                <w:color w:val="222222"/>
                <w:sz w:val="18"/>
                <w:szCs w:val="18"/>
              </w:rPr>
              <w:t xml:space="preserve">Federal bankruptcy courts</w:t>
            </w:r>
          </w:p>
        </w:tc>
        <w:tc>
          <w:tcPr>
            <w:tcW w:type="pct" w:w="56%"/>
            <w:shd w:fill="EEF2F6" w:val="clear"/>
            <w:tcMar>
              <w:top w:type="dxa" w:w="100"/>
              <w:left w:type="dxa" w:w="120"/>
              <w:bottom w:type="dxa" w:w="100"/>
              <w:right w:type="dxa" w:w="120"/>
            </w:tcMar>
            <w:vAlign w:val="center"/>
          </w:tcPr>
          <w:p>
            <w:r>
              <w:rPr>
                <w:rFonts w:ascii="Calibri" w:cs="Calibri" w:eastAsia="Calibri" w:hAnsi="Calibri"/>
                <w:b w:val="false"/>
                <w:bCs w:val="false"/>
                <w:color w:val="222222"/>
                <w:sz w:val="18"/>
                <w:szCs w:val="18"/>
              </w:rPr>
              <w:t xml:space="preserve">The automatic stay halts repossession the moment a borrower files, regardless of how far collections has progressed; continuing repossession after filing without relief from stay is a federal violation with its own remedies.</w:t>
            </w:r>
          </w:p>
        </w:tc>
      </w:tr>
    </w:tbl>
    <w:p>
      <w:pPr>
        <w:spacing w:after="160" w:line="288"/>
        <w:jc w:val="both"/>
      </w:pPr>
      <w:r>
        <w:rPr>
          <w:rFonts w:ascii="Calibri" w:cs="Calibri" w:eastAsia="Calibri" w:hAnsi="Calibri"/>
          <w:color w:val="222222"/>
          <w:sz w:val="21"/>
          <w:szCs w:val="21"/>
        </w:rPr>
        <w:t xml:space="preserve">The recurring compliance flashpoint across CFPB supervisory findings in 2024–2026 is not any single statute in isolation — it is the sequencing between them: a servicer that repossesses a vehicle after a payment was actually received, or after a modification was granted, is simultaneously creating a UCC wrongful-repossession claim, an FDCPA/UDAAP exposure for the collections contact that followed, and an FCRA accuracy problem the moment the repossession is furnished to the credit bureaus.</w:t>
      </w:r>
    </w:p>
    <w:p>
      <w:pPr>
        <w:pStyle w:val="Heading1"/>
        <w:pBdr>
          <w:bottom w:val="single" w:color="0E7C7B" w:sz="8" w:space="4"/>
        </w:pBdr>
        <w:spacing w:after="200" w:before="480"/>
      </w:pPr>
      <w:r>
        <w:rPr>
          <w:rFonts w:ascii="Calibri" w:cs="Calibri" w:eastAsia="Calibri" w:hAnsi="Calibri"/>
          <w:b/>
          <w:bCs/>
          <w:color w:val="0E7C7B"/>
        </w:rPr>
        <w:t xml:space="preserve">4.  </w:t>
      </w:r>
      <w:r>
        <w:rPr>
          <w:rFonts w:ascii="Calibri" w:cs="Calibri" w:eastAsia="Calibri" w:hAnsi="Calibri"/>
          <w:b/>
          <w:bCs/>
          <w:color w:val="1B2A4A"/>
          <w:sz w:val="30"/>
          <w:szCs w:val="30"/>
        </w:rPr>
        <w:t xml:space="preserve">Federal &amp; State Oversight Authorities</w:t>
      </w:r>
    </w:p>
    <w:p>
      <w:pPr>
        <w:spacing w:after="160" w:line="288"/>
        <w:jc w:val="both"/>
      </w:pPr>
      <w:r>
        <w:rPr>
          <w:rFonts w:ascii="Calibri" w:cs="Calibri" w:eastAsia="Calibri" w:hAnsi="Calibri"/>
          <w:color w:val="222222"/>
          <w:sz w:val="21"/>
          <w:szCs w:val="21"/>
        </w:rPr>
        <w:t xml:space="preserve">Enforcement of the statutes above does not run through a single regulator. Four distinct authorities are active in this space simultaneously, and their relative weight has shifted materially since 2025.</w:t>
      </w:r>
    </w:p>
    <w:tbl>
      <w:tblPr>
        <w:tblW w:type="pct" w:w="100%"/>
        <w:tblBorders>
          <w:top w:val="single" w:color="C9D2DC" w:sz="4"/>
          <w:left w:val="single" w:color="C9D2DC" w:sz="4"/>
          <w:bottom w:val="single" w:color="C9D2DC" w:sz="4"/>
          <w:right w:val="single" w:color="C9D2DC" w:sz="4"/>
          <w:insideH w:val="single" w:color="C9D2DC" w:sz="4"/>
          <w:insideV w:val="single" w:color="C9D2DC" w:sz="4"/>
        </w:tblBorders>
      </w:tblPr>
      <w:tblGrid>
        <w:gridCol w:w="2900"/>
        <w:gridCol w:w="2400"/>
        <w:gridCol w:w="6500"/>
      </w:tblGrid>
      <w:tr>
        <w:trPr>
          <w:tblHeader/>
        </w:trPr>
        <w:tc>
          <w:tcPr>
            <w:tcW w:type="pct" w:w="24%"/>
            <w:shd w:fill="1B2A4A" w:val="clear"/>
            <w:tcMar>
              <w:top w:type="dxa" w:w="100"/>
              <w:left w:type="dxa" w:w="120"/>
              <w:bottom w:type="dxa" w:w="100"/>
              <w:right w:type="dxa" w:w="120"/>
            </w:tcMar>
            <w:vAlign w:val="center"/>
          </w:tcPr>
          <w:p>
            <w:r>
              <w:rPr>
                <w:rFonts w:ascii="Calibri" w:cs="Calibri" w:eastAsia="Calibri" w:hAnsi="Calibri"/>
                <w:b/>
                <w:bCs/>
                <w:color w:val="FFFFFF"/>
                <w:sz w:val="18"/>
                <w:szCs w:val="18"/>
              </w:rPr>
              <w:t xml:space="preserve">Authority</w:t>
            </w:r>
          </w:p>
        </w:tc>
        <w:tc>
          <w:tcPr>
            <w:tcW w:type="pct" w:w="20%"/>
            <w:shd w:fill="1B2A4A" w:val="clear"/>
            <w:tcMar>
              <w:top w:type="dxa" w:w="100"/>
              <w:left w:type="dxa" w:w="120"/>
              <w:bottom w:type="dxa" w:w="100"/>
              <w:right w:type="dxa" w:w="120"/>
            </w:tcMar>
            <w:vAlign w:val="center"/>
          </w:tcPr>
          <w:p>
            <w:r>
              <w:rPr>
                <w:rFonts w:ascii="Calibri" w:cs="Calibri" w:eastAsia="Calibri" w:hAnsi="Calibri"/>
                <w:b/>
                <w:bCs/>
                <w:color w:val="FFFFFF"/>
                <w:sz w:val="18"/>
                <w:szCs w:val="18"/>
              </w:rPr>
              <w:t xml:space="preserve">Basis</w:t>
            </w:r>
          </w:p>
        </w:tc>
        <w:tc>
          <w:tcPr>
            <w:tcW w:type="pct" w:w="56%"/>
            <w:shd w:fill="1B2A4A" w:val="clear"/>
            <w:tcMar>
              <w:top w:type="dxa" w:w="100"/>
              <w:left w:type="dxa" w:w="120"/>
              <w:bottom w:type="dxa" w:w="100"/>
              <w:right w:type="dxa" w:w="120"/>
            </w:tcMar>
            <w:vAlign w:val="center"/>
          </w:tcPr>
          <w:p>
            <w:r>
              <w:rPr>
                <w:rFonts w:ascii="Calibri" w:cs="Calibri" w:eastAsia="Calibri" w:hAnsi="Calibri"/>
                <w:b/>
                <w:bCs/>
                <w:color w:val="FFFFFF"/>
                <w:sz w:val="18"/>
                <w:szCs w:val="18"/>
              </w:rPr>
              <w:t xml:space="preserve">Role in auto default / repossession</w:t>
            </w:r>
          </w:p>
        </w:tc>
      </w:tr>
      <w:tr>
        <w:tc>
          <w:tcPr>
            <w:tcW w:type="pct" w:w="24%"/>
            <w:shd w:fill="FFFFFF" w:val="clear"/>
            <w:tcMar>
              <w:top w:type="dxa" w:w="100"/>
              <w:left w:type="dxa" w:w="120"/>
              <w:bottom w:type="dxa" w:w="100"/>
              <w:right w:type="dxa" w:w="120"/>
            </w:tcMar>
            <w:vAlign w:val="center"/>
          </w:tcPr>
          <w:p>
            <w:r>
              <w:rPr>
                <w:rFonts w:ascii="Calibri" w:cs="Calibri" w:eastAsia="Calibri" w:hAnsi="Calibri"/>
                <w:b/>
                <w:bCs/>
                <w:color w:val="0E7C7B"/>
                <w:sz w:val="18"/>
                <w:szCs w:val="18"/>
              </w:rPr>
              <w:t xml:space="preserve">Consumer Financial Protection Bureau (CFPB)</w:t>
            </w:r>
          </w:p>
        </w:tc>
        <w:tc>
          <w:tcPr>
            <w:tcW w:type="pct" w:w="20%"/>
            <w:shd w:fill="FFFFFF" w:val="clear"/>
            <w:tcMar>
              <w:top w:type="dxa" w:w="100"/>
              <w:left w:type="dxa" w:w="120"/>
              <w:bottom w:type="dxa" w:w="100"/>
              <w:right w:type="dxa" w:w="120"/>
            </w:tcMar>
            <w:vAlign w:val="center"/>
          </w:tcPr>
          <w:p>
            <w:r>
              <w:rPr>
                <w:rFonts w:ascii="Calibri" w:cs="Calibri" w:eastAsia="Calibri" w:hAnsi="Calibri"/>
                <w:b w:val="false"/>
                <w:bCs w:val="false"/>
                <w:color w:val="222222"/>
                <w:sz w:val="18"/>
                <w:szCs w:val="18"/>
              </w:rPr>
              <w:t xml:space="preserve">Dodd-Frank Act / Consumer Financial Protection Act (CFPA)</w:t>
            </w:r>
          </w:p>
        </w:tc>
        <w:tc>
          <w:tcPr>
            <w:tcW w:type="pct" w:w="56%"/>
            <w:shd w:fill="FFFFFF" w:val="clear"/>
            <w:tcMar>
              <w:top w:type="dxa" w:w="100"/>
              <w:left w:type="dxa" w:w="120"/>
              <w:bottom w:type="dxa" w:w="100"/>
              <w:right w:type="dxa" w:w="120"/>
            </w:tcMar>
            <w:vAlign w:val="center"/>
          </w:tcPr>
          <w:p>
            <w:r>
              <w:rPr>
                <w:rFonts w:ascii="Calibri" w:cs="Calibri" w:eastAsia="Calibri" w:hAnsi="Calibri"/>
                <w:b w:val="false"/>
                <w:bCs w:val="false"/>
                <w:color w:val="222222"/>
                <w:sz w:val="18"/>
                <w:szCs w:val="18"/>
              </w:rPr>
              <w:t xml:space="preserve">Supervises larger bank and nonbank auto lenders/servicers for unfair, deceptive, or abusive acts or practices (UDAAP); has cited wrongful repossession of vehicles after timely payment, misapplied payments, and inaccurate credit furnishing as recurring exam findings.</w:t>
            </w:r>
          </w:p>
        </w:tc>
      </w:tr>
      <w:tr>
        <w:tc>
          <w:tcPr>
            <w:tcW w:type="pct" w:w="24%"/>
            <w:shd w:fill="EEF2F6" w:val="clear"/>
            <w:tcMar>
              <w:top w:type="dxa" w:w="100"/>
              <w:left w:type="dxa" w:w="120"/>
              <w:bottom w:type="dxa" w:w="100"/>
              <w:right w:type="dxa" w:w="120"/>
            </w:tcMar>
            <w:vAlign w:val="center"/>
          </w:tcPr>
          <w:p>
            <w:r>
              <w:rPr>
                <w:rFonts w:ascii="Calibri" w:cs="Calibri" w:eastAsia="Calibri" w:hAnsi="Calibri"/>
                <w:b/>
                <w:bCs/>
                <w:color w:val="0E7C7B"/>
                <w:sz w:val="18"/>
                <w:szCs w:val="18"/>
              </w:rPr>
              <w:t xml:space="preserve">Federal Trade Commission (FTC)</w:t>
            </w:r>
          </w:p>
        </w:tc>
        <w:tc>
          <w:tcPr>
            <w:tcW w:type="pct" w:w="20%"/>
            <w:shd w:fill="EEF2F6" w:val="clear"/>
            <w:tcMar>
              <w:top w:type="dxa" w:w="100"/>
              <w:left w:type="dxa" w:w="120"/>
              <w:bottom w:type="dxa" w:w="100"/>
              <w:right w:type="dxa" w:w="120"/>
            </w:tcMar>
            <w:vAlign w:val="center"/>
          </w:tcPr>
          <w:p>
            <w:r>
              <w:rPr>
                <w:rFonts w:ascii="Calibri" w:cs="Calibri" w:eastAsia="Calibri" w:hAnsi="Calibri"/>
                <w:b w:val="false"/>
                <w:bCs w:val="false"/>
                <w:color w:val="222222"/>
                <w:sz w:val="18"/>
                <w:szCs w:val="18"/>
              </w:rPr>
              <w:t xml:space="preserve">Section 5, FTC Act</w:t>
            </w:r>
          </w:p>
        </w:tc>
        <w:tc>
          <w:tcPr>
            <w:tcW w:type="pct" w:w="56%"/>
            <w:shd w:fill="EEF2F6" w:val="clear"/>
            <w:tcMar>
              <w:top w:type="dxa" w:w="100"/>
              <w:left w:type="dxa" w:w="120"/>
              <w:bottom w:type="dxa" w:w="100"/>
              <w:right w:type="dxa" w:w="120"/>
            </w:tcMar>
            <w:vAlign w:val="center"/>
          </w:tcPr>
          <w:p>
            <w:r>
              <w:rPr>
                <w:rFonts w:ascii="Calibri" w:cs="Calibri" w:eastAsia="Calibri" w:hAnsi="Calibri"/>
                <w:b w:val="false"/>
                <w:bCs w:val="false"/>
                <w:color w:val="222222"/>
                <w:sz w:val="18"/>
                <w:szCs w:val="18"/>
              </w:rPr>
              <w:t xml:space="preserve">Enforces against deceptive dealer advertising and unfair sales practices under general UDAP authority; its dedicated CARS Rule for dealer pricing and add-on consent was vacated by the Fifth Circuit in January 2025 on procedural grounds and formally withdrawn in February 2026, so enforcement here now runs through Section 5 case-by-case action rather than a standing rule.</w:t>
            </w:r>
          </w:p>
        </w:tc>
      </w:tr>
      <w:tr>
        <w:tc>
          <w:tcPr>
            <w:tcW w:type="pct" w:w="24%"/>
            <w:shd w:fill="FFFFFF" w:val="clear"/>
            <w:tcMar>
              <w:top w:type="dxa" w:w="100"/>
              <w:left w:type="dxa" w:w="120"/>
              <w:bottom w:type="dxa" w:w="100"/>
              <w:right w:type="dxa" w:w="120"/>
            </w:tcMar>
            <w:vAlign w:val="center"/>
          </w:tcPr>
          <w:p>
            <w:r>
              <w:rPr>
                <w:rFonts w:ascii="Calibri" w:cs="Calibri" w:eastAsia="Calibri" w:hAnsi="Calibri"/>
                <w:b/>
                <w:bCs/>
                <w:color w:val="0E7C7B"/>
                <w:sz w:val="18"/>
                <w:szCs w:val="18"/>
              </w:rPr>
              <w:t xml:space="preserve">State Attorneys General</w:t>
            </w:r>
          </w:p>
        </w:tc>
        <w:tc>
          <w:tcPr>
            <w:tcW w:type="pct" w:w="20%"/>
            <w:shd w:fill="FFFFFF" w:val="clear"/>
            <w:tcMar>
              <w:top w:type="dxa" w:w="100"/>
              <w:left w:type="dxa" w:w="120"/>
              <w:bottom w:type="dxa" w:w="100"/>
              <w:right w:type="dxa" w:w="120"/>
            </w:tcMar>
            <w:vAlign w:val="center"/>
          </w:tcPr>
          <w:p>
            <w:r>
              <w:rPr>
                <w:rFonts w:ascii="Calibri" w:cs="Calibri" w:eastAsia="Calibri" w:hAnsi="Calibri"/>
                <w:b w:val="false"/>
                <w:bCs w:val="false"/>
                <w:color w:val="222222"/>
                <w:sz w:val="18"/>
                <w:szCs w:val="18"/>
              </w:rPr>
              <w:t xml:space="preserve">State UDAP / consumer protection statutes</w:t>
            </w:r>
          </w:p>
        </w:tc>
        <w:tc>
          <w:tcPr>
            <w:tcW w:type="pct" w:w="56%"/>
            <w:shd w:fill="FFFFFF" w:val="clear"/>
            <w:tcMar>
              <w:top w:type="dxa" w:w="100"/>
              <w:left w:type="dxa" w:w="120"/>
              <w:bottom w:type="dxa" w:w="100"/>
              <w:right w:type="dxa" w:w="120"/>
            </w:tcMar>
            <w:vAlign w:val="center"/>
          </w:tcPr>
          <w:p>
            <w:r>
              <w:rPr>
                <w:rFonts w:ascii="Calibri" w:cs="Calibri" w:eastAsia="Calibri" w:hAnsi="Calibri"/>
                <w:b w:val="false"/>
                <w:bCs w:val="false"/>
                <w:color w:val="222222"/>
                <w:sz w:val="18"/>
                <w:szCs w:val="18"/>
              </w:rPr>
              <w:t xml:space="preserve">Have expanded activity as federal rulemaking has slowed in 2026, particularly around Buy-Here-Pay-Here lenders, which show sharply higher repossession rates than traditional financing.</w:t>
            </w:r>
          </w:p>
        </w:tc>
      </w:tr>
      <w:tr>
        <w:tc>
          <w:tcPr>
            <w:tcW w:type="pct" w:w="24%"/>
            <w:shd w:fill="EEF2F6" w:val="clear"/>
            <w:tcMar>
              <w:top w:type="dxa" w:w="100"/>
              <w:left w:type="dxa" w:w="120"/>
              <w:bottom w:type="dxa" w:w="100"/>
              <w:right w:type="dxa" w:w="120"/>
            </w:tcMar>
            <w:vAlign w:val="center"/>
          </w:tcPr>
          <w:p>
            <w:r>
              <w:rPr>
                <w:rFonts w:ascii="Calibri" w:cs="Calibri" w:eastAsia="Calibri" w:hAnsi="Calibri"/>
                <w:b/>
                <w:bCs/>
                <w:color w:val="0E7C7B"/>
                <w:sz w:val="18"/>
                <w:szCs w:val="18"/>
              </w:rPr>
              <w:t xml:space="preserve">State legislatures</w:t>
            </w:r>
          </w:p>
        </w:tc>
        <w:tc>
          <w:tcPr>
            <w:tcW w:type="pct" w:w="20%"/>
            <w:shd w:fill="EEF2F6" w:val="clear"/>
            <w:tcMar>
              <w:top w:type="dxa" w:w="100"/>
              <w:left w:type="dxa" w:w="120"/>
              <w:bottom w:type="dxa" w:w="100"/>
              <w:right w:type="dxa" w:w="120"/>
            </w:tcMar>
            <w:vAlign w:val="center"/>
          </w:tcPr>
          <w:p>
            <w:r>
              <w:rPr>
                <w:rFonts w:ascii="Calibri" w:cs="Calibri" w:eastAsia="Calibri" w:hAnsi="Calibri"/>
                <w:b w:val="false"/>
                <w:bCs w:val="false"/>
                <w:color w:val="222222"/>
                <w:sz w:val="18"/>
                <w:szCs w:val="18"/>
              </w:rPr>
              <w:t xml:space="preserve">State UCC Article 9 variations &amp; new consumer statutes</w:t>
            </w:r>
          </w:p>
        </w:tc>
        <w:tc>
          <w:tcPr>
            <w:tcW w:type="pct" w:w="56%"/>
            <w:shd w:fill="EEF2F6" w:val="clear"/>
            <w:tcMar>
              <w:top w:type="dxa" w:w="100"/>
              <w:left w:type="dxa" w:w="120"/>
              <w:bottom w:type="dxa" w:w="100"/>
              <w:right w:type="dxa" w:w="120"/>
            </w:tcMar>
            <w:vAlign w:val="center"/>
          </w:tcPr>
          <w:p>
            <w:r>
              <w:rPr>
                <w:rFonts w:ascii="Calibri" w:cs="Calibri" w:eastAsia="Calibri" w:hAnsi="Calibri"/>
                <w:b w:val="false"/>
                <w:bCs w:val="false"/>
                <w:color w:val="222222"/>
                <w:sz w:val="18"/>
                <w:szCs w:val="18"/>
              </w:rPr>
              <w:t xml:space="preserve">Increasingly active independent of federal action — e.g., 2026 state bills adding defined cure periods, restricting vehicle-disabling (“kill switch”) technology, and creating short buyer's-remorse return windows.</w:t>
            </w:r>
          </w:p>
        </w:tc>
      </w:tr>
    </w:tbl>
    <w:tbl>
      <w:tblPr>
        <w:tblW w:type="pct" w:w="100%"/>
        <w:tblBorders>
          <w:top w:val="single" w:color="B4720A" w:sz="6"/>
          <w:left w:val="single" w:color="B4720A" w:sz="6"/>
          <w:bottom w:val="single" w:color="B4720A" w:sz="6"/>
          <w:right w:val="single" w:color="B4720A" w:sz="6"/>
          <w:insideH w:val="none" w:color="FFFFFF" w:sz="0"/>
          <w:insideV w:val="none" w:color="FFFFFF" w:sz="0"/>
        </w:tblBorders>
      </w:tblPr>
      <w:tblGrid>
        <w:gridCol w:w="100"/>
      </w:tblGrid>
      <w:tr>
        <w:tc>
          <w:tcPr>
            <w:shd w:fill="EEF2F6" w:val="clear"/>
            <w:tcMar>
              <w:top w:type="dxa" w:w="160"/>
              <w:left w:type="dxa" w:w="200"/>
              <w:bottom w:type="dxa" w:w="160"/>
              <w:right w:type="dxa" w:w="200"/>
            </w:tcMar>
          </w:tcPr>
          <w:p>
            <w:pPr>
              <w:spacing w:after="60"/>
            </w:pPr>
            <w:r>
              <w:rPr>
                <w:rFonts w:ascii="Calibri" w:cs="Calibri" w:eastAsia="Calibri" w:hAnsi="Calibri"/>
                <w:b/>
                <w:bCs/>
                <w:color w:val="B4720A"/>
                <w:sz w:val="18"/>
                <w:szCs w:val="18"/>
              </w:rPr>
              <w:t xml:space="preserve">WHAT CHANGED</w:t>
            </w:r>
          </w:p>
          <w:p>
            <w:pPr>
              <w:spacing w:after="0"/>
            </w:pPr>
            <w:r>
              <w:rPr>
                <w:rFonts w:ascii="Calibri" w:cs="Calibri" w:eastAsia="Calibri" w:hAnsi="Calibri"/>
                <w:i/>
                <w:iCs/>
                <w:color w:val="1B2A4A"/>
                <w:sz w:val="21"/>
                <w:szCs w:val="21"/>
              </w:rPr>
              <w:t xml:space="preserve">With the CARS Rule withdrawn and CFPB supervisory posture described by practitioners as reduced through 2026, state attorneys general and state legislatures have become the more active source of new obligations — a meaningful shift for any multi-state servicing operation's compliance mapping.</w:t>
            </w:r>
          </w:p>
        </w:tc>
      </w:tr>
    </w:tbl>
    <w:p>
      <w:pPr>
        <w:pStyle w:val="Heading1"/>
        <w:pBdr>
          <w:bottom w:val="single" w:color="0E7C7B" w:sz="8" w:space="4"/>
        </w:pBdr>
        <w:spacing w:after="200" w:before="480"/>
      </w:pPr>
      <w:r>
        <w:rPr>
          <w:rFonts w:ascii="Calibri" w:cs="Calibri" w:eastAsia="Calibri" w:hAnsi="Calibri"/>
          <w:b/>
          <w:bCs/>
          <w:color w:val="0E7C7B"/>
        </w:rPr>
        <w:t xml:space="preserve">5.  </w:t>
      </w:r>
      <w:r>
        <w:rPr>
          <w:rFonts w:ascii="Calibri" w:cs="Calibri" w:eastAsia="Calibri" w:hAnsi="Calibri"/>
          <w:b/>
          <w:bCs/>
          <w:color w:val="1B2A4A"/>
          <w:sz w:val="30"/>
          <w:szCs w:val="30"/>
        </w:rPr>
        <w:t xml:space="preserve">Retail Loan vs. Lease: Where the Rules Diverge</w:t>
      </w:r>
    </w:p>
    <w:p>
      <w:pPr>
        <w:spacing w:after="160" w:line="288"/>
        <w:jc w:val="both"/>
      </w:pPr>
      <w:r>
        <w:rPr>
          <w:rFonts w:ascii="Calibri" w:cs="Calibri" w:eastAsia="Calibri" w:hAnsi="Calibri"/>
          <w:color w:val="222222"/>
          <w:sz w:val="21"/>
          <w:szCs w:val="21"/>
        </w:rPr>
        <w:t xml:space="preserve">Retail installment contracts and consumer leases are financed, disclosed, and defaulted on under materially different legal frameworks, even though both end in the same physical event — the vehicle being repossessed. Treating them as a single compliance workflow is one of the more common process gaps in back-office servicing operations that handle both products.</w:t>
      </w:r>
    </w:p>
    <w:tbl>
      <w:tblPr>
        <w:tblW w:type="pct" w:w="100%"/>
        <w:tblBorders>
          <w:top w:val="single" w:color="C9D2DC" w:sz="4"/>
          <w:left w:val="single" w:color="C9D2DC" w:sz="4"/>
          <w:bottom w:val="single" w:color="C9D2DC" w:sz="4"/>
          <w:right w:val="single" w:color="C9D2DC" w:sz="4"/>
          <w:insideH w:val="single" w:color="C9D2DC" w:sz="4"/>
          <w:insideV w:val="single" w:color="C9D2DC" w:sz="4"/>
        </w:tblBorders>
      </w:tblPr>
      <w:tblGrid>
        <w:gridCol w:w="2000"/>
        <w:gridCol w:w="3900"/>
        <w:gridCol w:w="3900"/>
      </w:tblGrid>
      <w:tr>
        <w:trPr>
          <w:tblHeader/>
        </w:trPr>
        <w:tc>
          <w:tcPr>
            <w:tcW w:type="pct" w:w="22%"/>
            <w:shd w:fill="1B2A4A" w:val="clear"/>
            <w:tcMar>
              <w:top w:type="dxa" w:w="100"/>
              <w:left w:type="dxa" w:w="120"/>
              <w:bottom w:type="dxa" w:w="100"/>
              <w:right w:type="dxa" w:w="120"/>
            </w:tcMar>
            <w:vAlign w:val="center"/>
          </w:tcPr>
          <w:p>
            <w:r>
              <w:rPr>
                <w:rFonts w:ascii="Calibri" w:cs="Calibri" w:eastAsia="Calibri" w:hAnsi="Calibri"/>
                <w:b/>
                <w:bCs/>
                <w:color w:val="FFFFFF"/>
                <w:sz w:val="18"/>
                <w:szCs w:val="18"/>
              </w:rPr>
              <w:t xml:space="preserve">Dimension</w:t>
            </w:r>
          </w:p>
        </w:tc>
        <w:tc>
          <w:tcPr>
            <w:tcW w:type="pct" w:w="39%"/>
            <w:shd w:fill="1B2A4A" w:val="clear"/>
            <w:tcMar>
              <w:top w:type="dxa" w:w="100"/>
              <w:left w:type="dxa" w:w="120"/>
              <w:bottom w:type="dxa" w:w="100"/>
              <w:right w:type="dxa" w:w="120"/>
            </w:tcMar>
            <w:vAlign w:val="center"/>
          </w:tcPr>
          <w:p>
            <w:r>
              <w:rPr>
                <w:rFonts w:ascii="Calibri" w:cs="Calibri" w:eastAsia="Calibri" w:hAnsi="Calibri"/>
                <w:b/>
                <w:bCs/>
                <w:color w:val="FFFFFF"/>
                <w:sz w:val="18"/>
                <w:szCs w:val="18"/>
              </w:rPr>
              <w:t xml:space="preserve">Retail installment loan</w:t>
            </w:r>
          </w:p>
        </w:tc>
        <w:tc>
          <w:tcPr>
            <w:tcW w:type="pct" w:w="39%"/>
            <w:shd w:fill="1B2A4A" w:val="clear"/>
            <w:tcMar>
              <w:top w:type="dxa" w:w="100"/>
              <w:left w:type="dxa" w:w="120"/>
              <w:bottom w:type="dxa" w:w="100"/>
              <w:right w:type="dxa" w:w="120"/>
            </w:tcMar>
            <w:vAlign w:val="center"/>
          </w:tcPr>
          <w:p>
            <w:r>
              <w:rPr>
                <w:rFonts w:ascii="Calibri" w:cs="Calibri" w:eastAsia="Calibri" w:hAnsi="Calibri"/>
                <w:b/>
                <w:bCs/>
                <w:color w:val="FFFFFF"/>
                <w:sz w:val="18"/>
                <w:szCs w:val="18"/>
              </w:rPr>
              <w:t xml:space="preserve">Vehicle lease</w:t>
            </w:r>
          </w:p>
        </w:tc>
      </w:tr>
      <w:tr>
        <w:tc>
          <w:tcPr>
            <w:tcW w:type="pct" w:w="22%"/>
            <w:shd w:fill="FFFFFF" w:val="clear"/>
            <w:tcMar>
              <w:top w:type="dxa" w:w="100"/>
              <w:left w:type="dxa" w:w="120"/>
              <w:bottom w:type="dxa" w:w="100"/>
              <w:right w:type="dxa" w:w="120"/>
            </w:tcMar>
            <w:vAlign w:val="center"/>
          </w:tcPr>
          <w:p>
            <w:r>
              <w:rPr>
                <w:rFonts w:ascii="Calibri" w:cs="Calibri" w:eastAsia="Calibri" w:hAnsi="Calibri"/>
                <w:b/>
                <w:bCs/>
                <w:color w:val="0E7C7B"/>
                <w:sz w:val="18"/>
                <w:szCs w:val="18"/>
              </w:rPr>
              <w:t xml:space="preserve">Governing disclosure regime</w:t>
            </w:r>
          </w:p>
        </w:tc>
        <w:tc>
          <w:tcPr>
            <w:tcW w:type="pct" w:w="39%"/>
            <w:shd w:fill="FFFFFF" w:val="clear"/>
            <w:tcMar>
              <w:top w:type="dxa" w:w="100"/>
              <w:left w:type="dxa" w:w="120"/>
              <w:bottom w:type="dxa" w:w="100"/>
              <w:right w:type="dxa" w:w="120"/>
            </w:tcMar>
            <w:vAlign w:val="center"/>
          </w:tcPr>
          <w:p>
            <w:r>
              <w:rPr>
                <w:rFonts w:ascii="Calibri" w:cs="Calibri" w:eastAsia="Calibri" w:hAnsi="Calibri"/>
                <w:b w:val="false"/>
                <w:bCs w:val="false"/>
                <w:color w:val="222222"/>
                <w:sz w:val="18"/>
                <w:szCs w:val="18"/>
              </w:rPr>
              <w:t xml:space="preserve">TILA / Regulation Z</w:t>
            </w:r>
          </w:p>
        </w:tc>
        <w:tc>
          <w:tcPr>
            <w:tcW w:type="pct" w:w="39%"/>
            <w:shd w:fill="FFFFFF" w:val="clear"/>
            <w:tcMar>
              <w:top w:type="dxa" w:w="100"/>
              <w:left w:type="dxa" w:w="120"/>
              <w:bottom w:type="dxa" w:w="100"/>
              <w:right w:type="dxa" w:w="120"/>
            </w:tcMar>
            <w:vAlign w:val="center"/>
          </w:tcPr>
          <w:p>
            <w:r>
              <w:rPr>
                <w:rFonts w:ascii="Calibri" w:cs="Calibri" w:eastAsia="Calibri" w:hAnsi="Calibri"/>
                <w:b w:val="false"/>
                <w:bCs w:val="false"/>
                <w:color w:val="222222"/>
                <w:sz w:val="18"/>
                <w:szCs w:val="18"/>
              </w:rPr>
              <w:t xml:space="preserve">Consumer Leasing Act / Regulation M</w:t>
            </w:r>
          </w:p>
        </w:tc>
      </w:tr>
      <w:tr>
        <w:tc>
          <w:tcPr>
            <w:tcW w:type="pct" w:w="22%"/>
            <w:shd w:fill="EEF2F6" w:val="clear"/>
            <w:tcMar>
              <w:top w:type="dxa" w:w="100"/>
              <w:left w:type="dxa" w:w="120"/>
              <w:bottom w:type="dxa" w:w="100"/>
              <w:right w:type="dxa" w:w="120"/>
            </w:tcMar>
            <w:vAlign w:val="center"/>
          </w:tcPr>
          <w:p>
            <w:r>
              <w:rPr>
                <w:rFonts w:ascii="Calibri" w:cs="Calibri" w:eastAsia="Calibri" w:hAnsi="Calibri"/>
                <w:b/>
                <w:bCs/>
                <w:color w:val="0E7C7B"/>
                <w:sz w:val="18"/>
                <w:szCs w:val="18"/>
              </w:rPr>
              <w:t xml:space="preserve">Security interest on default</w:t>
            </w:r>
          </w:p>
        </w:tc>
        <w:tc>
          <w:tcPr>
            <w:tcW w:type="pct" w:w="39%"/>
            <w:shd w:fill="EEF2F6" w:val="clear"/>
            <w:tcMar>
              <w:top w:type="dxa" w:w="100"/>
              <w:left w:type="dxa" w:w="120"/>
              <w:bottom w:type="dxa" w:w="100"/>
              <w:right w:type="dxa" w:w="120"/>
            </w:tcMar>
            <w:vAlign w:val="center"/>
          </w:tcPr>
          <w:p>
            <w:r>
              <w:rPr>
                <w:rFonts w:ascii="Calibri" w:cs="Calibri" w:eastAsia="Calibri" w:hAnsi="Calibri"/>
                <w:b w:val="false"/>
                <w:bCs w:val="false"/>
                <w:color w:val="222222"/>
                <w:sz w:val="18"/>
                <w:szCs w:val="18"/>
              </w:rPr>
              <w:t xml:space="preserve">UCC Article 9 secured transaction — lender holds a lien and can repossess the collateral it financed</w:t>
            </w:r>
          </w:p>
        </w:tc>
        <w:tc>
          <w:tcPr>
            <w:tcW w:type="pct" w:w="39%"/>
            <w:shd w:fill="EEF2F6" w:val="clear"/>
            <w:tcMar>
              <w:top w:type="dxa" w:w="100"/>
              <w:left w:type="dxa" w:w="120"/>
              <w:bottom w:type="dxa" w:w="100"/>
              <w:right w:type="dxa" w:w="120"/>
            </w:tcMar>
            <w:vAlign w:val="center"/>
          </w:tcPr>
          <w:p>
            <w:r>
              <w:rPr>
                <w:rFonts w:ascii="Calibri" w:cs="Calibri" w:eastAsia="Calibri" w:hAnsi="Calibri"/>
                <w:b w:val="false"/>
                <w:bCs w:val="false"/>
                <w:color w:val="222222"/>
                <w:sz w:val="18"/>
                <w:szCs w:val="18"/>
              </w:rPr>
              <w:t xml:space="preserve">Lessor retains title throughout; repossession follows the lease contract and UCC Article 2A concepts rather than Article 9 lien enforcement</w:t>
            </w:r>
          </w:p>
        </w:tc>
      </w:tr>
      <w:tr>
        <w:tc>
          <w:tcPr>
            <w:tcW w:type="pct" w:w="22%"/>
            <w:shd w:fill="FFFFFF" w:val="clear"/>
            <w:tcMar>
              <w:top w:type="dxa" w:w="100"/>
              <w:left w:type="dxa" w:w="120"/>
              <w:bottom w:type="dxa" w:w="100"/>
              <w:right w:type="dxa" w:w="120"/>
            </w:tcMar>
            <w:vAlign w:val="center"/>
          </w:tcPr>
          <w:p>
            <w:r>
              <w:rPr>
                <w:rFonts w:ascii="Calibri" w:cs="Calibri" w:eastAsia="Calibri" w:hAnsi="Calibri"/>
                <w:b/>
                <w:bCs/>
                <w:color w:val="0E7C7B"/>
                <w:sz w:val="18"/>
                <w:szCs w:val="18"/>
              </w:rPr>
              <w:t xml:space="preserve">What follows a default</w:t>
            </w:r>
          </w:p>
        </w:tc>
        <w:tc>
          <w:tcPr>
            <w:tcW w:type="pct" w:w="39%"/>
            <w:shd w:fill="FFFFFF" w:val="clear"/>
            <w:tcMar>
              <w:top w:type="dxa" w:w="100"/>
              <w:left w:type="dxa" w:w="120"/>
              <w:bottom w:type="dxa" w:w="100"/>
              <w:right w:type="dxa" w:w="120"/>
            </w:tcMar>
            <w:vAlign w:val="center"/>
          </w:tcPr>
          <w:p>
            <w:r>
              <w:rPr>
                <w:rFonts w:ascii="Calibri" w:cs="Calibri" w:eastAsia="Calibri" w:hAnsi="Calibri"/>
                <w:b w:val="false"/>
                <w:bCs w:val="false"/>
                <w:color w:val="222222"/>
                <w:sz w:val="18"/>
                <w:szCs w:val="18"/>
              </w:rPr>
              <w:t xml:space="preserve">Repossession, sale of collateral, deficiency balance calculated against payoff</w:t>
            </w:r>
          </w:p>
        </w:tc>
        <w:tc>
          <w:tcPr>
            <w:tcW w:type="pct" w:w="39%"/>
            <w:shd w:fill="FFFFFF" w:val="clear"/>
            <w:tcMar>
              <w:top w:type="dxa" w:w="100"/>
              <w:left w:type="dxa" w:w="120"/>
              <w:bottom w:type="dxa" w:w="100"/>
              <w:right w:type="dxa" w:w="120"/>
            </w:tcMar>
            <w:vAlign w:val="center"/>
          </w:tcPr>
          <w:p>
            <w:r>
              <w:rPr>
                <w:rFonts w:ascii="Calibri" w:cs="Calibri" w:eastAsia="Calibri" w:hAnsi="Calibri"/>
                <w:b w:val="false"/>
                <w:bCs w:val="false"/>
                <w:color w:val="222222"/>
                <w:sz w:val="18"/>
                <w:szCs w:val="18"/>
              </w:rPr>
              <w:t xml:space="preserve">Early termination, repossession, and an early-termination liability calculated against the lease's residual value — often larger and less intuitive to the consumer than a loan deficiency</w:t>
            </w:r>
          </w:p>
        </w:tc>
      </w:tr>
      <w:tr>
        <w:tc>
          <w:tcPr>
            <w:tcW w:type="pct" w:w="22%"/>
            <w:shd w:fill="EEF2F6" w:val="clear"/>
            <w:tcMar>
              <w:top w:type="dxa" w:w="100"/>
              <w:left w:type="dxa" w:w="120"/>
              <w:bottom w:type="dxa" w:w="100"/>
              <w:right w:type="dxa" w:w="120"/>
            </w:tcMar>
            <w:vAlign w:val="center"/>
          </w:tcPr>
          <w:p>
            <w:r>
              <w:rPr>
                <w:rFonts w:ascii="Calibri" w:cs="Calibri" w:eastAsia="Calibri" w:hAnsi="Calibri"/>
                <w:b/>
                <w:bCs/>
                <w:color w:val="0E7C7B"/>
                <w:sz w:val="18"/>
                <w:szCs w:val="18"/>
              </w:rPr>
              <w:t xml:space="preserve">Consumer's post-default exposure</w:t>
            </w:r>
          </w:p>
        </w:tc>
        <w:tc>
          <w:tcPr>
            <w:tcW w:type="pct" w:w="39%"/>
            <w:shd w:fill="EEF2F6" w:val="clear"/>
            <w:tcMar>
              <w:top w:type="dxa" w:w="100"/>
              <w:left w:type="dxa" w:w="120"/>
              <w:bottom w:type="dxa" w:w="100"/>
              <w:right w:type="dxa" w:w="120"/>
            </w:tcMar>
            <w:vAlign w:val="center"/>
          </w:tcPr>
          <w:p>
            <w:r>
              <w:rPr>
                <w:rFonts w:ascii="Calibri" w:cs="Calibri" w:eastAsia="Calibri" w:hAnsi="Calibri"/>
                <w:b w:val="false"/>
                <w:bCs w:val="false"/>
                <w:color w:val="222222"/>
                <w:sz w:val="18"/>
                <w:szCs w:val="18"/>
              </w:rPr>
              <w:t xml:space="preserve">Deficiency balance (loan payoff minus net sale proceeds)</w:t>
            </w:r>
          </w:p>
        </w:tc>
        <w:tc>
          <w:tcPr>
            <w:tcW w:type="pct" w:w="39%"/>
            <w:shd w:fill="EEF2F6" w:val="clear"/>
            <w:tcMar>
              <w:top w:type="dxa" w:w="100"/>
              <w:left w:type="dxa" w:w="120"/>
              <w:bottom w:type="dxa" w:w="100"/>
              <w:right w:type="dxa" w:w="120"/>
            </w:tcMar>
            <w:vAlign w:val="center"/>
          </w:tcPr>
          <w:p>
            <w:r>
              <w:rPr>
                <w:rFonts w:ascii="Calibri" w:cs="Calibri" w:eastAsia="Calibri" w:hAnsi="Calibri"/>
                <w:b w:val="false"/>
                <w:bCs w:val="false"/>
                <w:color w:val="222222"/>
                <w:sz w:val="18"/>
                <w:szCs w:val="18"/>
              </w:rPr>
              <w:t xml:space="preserve">Early-termination charges plus excess wear-and-mileage assessed at turn-in, which can apply even without a payment default</w:t>
            </w:r>
          </w:p>
        </w:tc>
      </w:tr>
      <w:tr>
        <w:tc>
          <w:tcPr>
            <w:tcW w:type="pct" w:w="22%"/>
            <w:shd w:fill="FFFFFF" w:val="clear"/>
            <w:tcMar>
              <w:top w:type="dxa" w:w="100"/>
              <w:left w:type="dxa" w:w="120"/>
              <w:bottom w:type="dxa" w:w="100"/>
              <w:right w:type="dxa" w:w="120"/>
            </w:tcMar>
            <w:vAlign w:val="center"/>
          </w:tcPr>
          <w:p>
            <w:r>
              <w:rPr>
                <w:rFonts w:ascii="Calibri" w:cs="Calibri" w:eastAsia="Calibri" w:hAnsi="Calibri"/>
                <w:b/>
                <w:bCs/>
                <w:color w:val="0E7C7B"/>
                <w:sz w:val="18"/>
                <w:szCs w:val="18"/>
              </w:rPr>
              <w:t xml:space="preserve">Distinct compliance flashpoint</w:t>
            </w:r>
          </w:p>
        </w:tc>
        <w:tc>
          <w:tcPr>
            <w:tcW w:type="pct" w:w="39%"/>
            <w:shd w:fill="FFFFFF" w:val="clear"/>
            <w:tcMar>
              <w:top w:type="dxa" w:w="100"/>
              <w:left w:type="dxa" w:w="120"/>
              <w:bottom w:type="dxa" w:w="100"/>
              <w:right w:type="dxa" w:w="120"/>
            </w:tcMar>
            <w:vAlign w:val="center"/>
          </w:tcPr>
          <w:p>
            <w:r>
              <w:rPr>
                <w:rFonts w:ascii="Calibri" w:cs="Calibri" w:eastAsia="Calibri" w:hAnsi="Calibri"/>
                <w:b w:val="false"/>
                <w:bCs w:val="false"/>
                <w:color w:val="222222"/>
                <w:sz w:val="18"/>
                <w:szCs w:val="18"/>
              </w:rPr>
              <w:t xml:space="preserve">Payment misapplication and post-cure repossession — the CFPB's most cited 2024–26 finding</w:t>
            </w:r>
          </w:p>
        </w:tc>
        <w:tc>
          <w:tcPr>
            <w:tcW w:type="pct" w:w="39%"/>
            <w:shd w:fill="FFFFFF" w:val="clear"/>
            <w:tcMar>
              <w:top w:type="dxa" w:w="100"/>
              <w:left w:type="dxa" w:w="120"/>
              <w:bottom w:type="dxa" w:w="100"/>
              <w:right w:type="dxa" w:w="120"/>
            </w:tcMar>
            <w:vAlign w:val="center"/>
          </w:tcPr>
          <w:p>
            <w:r>
              <w:rPr>
                <w:rFonts w:ascii="Calibri" w:cs="Calibri" w:eastAsia="Calibri" w:hAnsi="Calibri"/>
                <w:b w:val="false"/>
                <w:bCs w:val="false"/>
                <w:color w:val="222222"/>
                <w:sz w:val="18"/>
                <w:szCs w:val="18"/>
              </w:rPr>
              <w:t xml:space="preserve">End-of-term condition disputes and excess-mileage/wear billing, an area with materially less standardized guidance than loan servicing</w:t>
            </w:r>
          </w:p>
        </w:tc>
      </w:tr>
    </w:tbl>
    <w:p>
      <w:pPr>
        <w:spacing w:after="160" w:line="288"/>
        <w:jc w:val="both"/>
      </w:pPr>
      <w:r>
        <w:rPr>
          <w:rFonts w:ascii="Calibri" w:cs="Calibri" w:eastAsia="Calibri" w:hAnsi="Calibri"/>
          <w:color w:val="222222"/>
          <w:sz w:val="21"/>
          <w:szCs w:val="21"/>
        </w:rPr>
        <w:t xml:space="preserve">The practical consequence is that a lease default queue needs its own disclosure baseline (Reg M, not Reg Z), its own liability calculation (early-termination charge against residual value, not a loan-payoff deficiency), and its own documentation of vehicle condition at turn-in — none of which a loan-servicing workflow built around UCC Article 9 deficiency mechanics will produce correctly by default.</w:t>
      </w:r>
    </w:p>
    <w:p>
      <w:pPr>
        <w:pStyle w:val="Heading1"/>
        <w:pBdr>
          <w:bottom w:val="single" w:color="0E7C7B" w:sz="8" w:space="4"/>
        </w:pBdr>
        <w:spacing w:after="200" w:before="480"/>
      </w:pPr>
      <w:r>
        <w:rPr>
          <w:rFonts w:ascii="Calibri" w:cs="Calibri" w:eastAsia="Calibri" w:hAnsi="Calibri"/>
          <w:b/>
          <w:bCs/>
          <w:color w:val="0E7C7B"/>
        </w:rPr>
        <w:t xml:space="preserve">6.  </w:t>
      </w:r>
      <w:r>
        <w:rPr>
          <w:rFonts w:ascii="Calibri" w:cs="Calibri" w:eastAsia="Calibri" w:hAnsi="Calibri"/>
          <w:b/>
          <w:bCs/>
          <w:color w:val="1B2A4A"/>
          <w:sz w:val="30"/>
          <w:szCs w:val="30"/>
        </w:rPr>
        <w:t xml:space="preserve">Regulatory Timeline: 2025–2026</w:t>
      </w:r>
    </w:p>
    <w:p>
      <w:pPr>
        <w:spacing w:after="160" w:line="288"/>
        <w:jc w:val="both"/>
      </w:pPr>
      <w:r>
        <w:rPr>
          <w:rFonts w:ascii="Calibri" w:cs="Calibri" w:eastAsia="Calibri" w:hAnsi="Calibri"/>
          <w:color w:val="222222"/>
          <w:sz w:val="21"/>
          <w:szCs w:val="21"/>
        </w:rPr>
        <w:t xml:space="preserve">The following developments have concretely reshaped enforcement exposure over the past 18 months and are the ones most likely to be raised in a compliance review or examination today.</w:t>
      </w:r>
    </w:p>
    <w:tbl>
      <w:tblPr>
        <w:tblW w:type="pct" w:w="100%"/>
        <w:tblBorders>
          <w:top w:val="single" w:color="C9D2DC" w:sz="4"/>
          <w:left w:val="single" w:color="C9D2DC" w:sz="4"/>
          <w:bottom w:val="single" w:color="C9D2DC" w:sz="4"/>
          <w:right w:val="single" w:color="C9D2DC" w:sz="4"/>
          <w:insideH w:val="single" w:color="C9D2DC" w:sz="4"/>
          <w:insideV w:val="single" w:color="C9D2DC" w:sz="4"/>
        </w:tblBorders>
      </w:tblPr>
      <w:tblGrid>
        <w:gridCol w:w="1600"/>
        <w:gridCol w:w="8600"/>
      </w:tblGrid>
      <w:tr>
        <w:trPr>
          <w:tblHeader/>
        </w:trPr>
        <w:tc>
          <w:tcPr>
            <w:tcW w:type="pct" w:w="18%"/>
            <w:shd w:fill="1B2A4A" w:val="clear"/>
            <w:tcMar>
              <w:top w:type="dxa" w:w="100"/>
              <w:left w:type="dxa" w:w="120"/>
              <w:bottom w:type="dxa" w:w="100"/>
              <w:right w:type="dxa" w:w="120"/>
            </w:tcMar>
            <w:vAlign w:val="center"/>
          </w:tcPr>
          <w:p>
            <w:r>
              <w:rPr>
                <w:rFonts w:ascii="Calibri" w:cs="Calibri" w:eastAsia="Calibri" w:hAnsi="Calibri"/>
                <w:b/>
                <w:bCs/>
                <w:color w:val="FFFFFF"/>
                <w:sz w:val="18"/>
                <w:szCs w:val="18"/>
              </w:rPr>
              <w:t xml:space="preserve">Date</w:t>
            </w:r>
          </w:p>
        </w:tc>
        <w:tc>
          <w:tcPr>
            <w:tcW w:type="pct" w:w="82%"/>
            <w:shd w:fill="1B2A4A" w:val="clear"/>
            <w:tcMar>
              <w:top w:type="dxa" w:w="100"/>
              <w:left w:type="dxa" w:w="120"/>
              <w:bottom w:type="dxa" w:w="100"/>
              <w:right w:type="dxa" w:w="120"/>
            </w:tcMar>
            <w:vAlign w:val="center"/>
          </w:tcPr>
          <w:p>
            <w:r>
              <w:rPr>
                <w:rFonts w:ascii="Calibri" w:cs="Calibri" w:eastAsia="Calibri" w:hAnsi="Calibri"/>
                <w:b/>
                <w:bCs/>
                <w:color w:val="FFFFFF"/>
                <w:sz w:val="18"/>
                <w:szCs w:val="18"/>
              </w:rPr>
              <w:t xml:space="preserve">Development</w:t>
            </w:r>
          </w:p>
        </w:tc>
      </w:tr>
      <w:tr>
        <w:tc>
          <w:tcPr>
            <w:tcW w:type="pct" w:w="18%"/>
            <w:shd w:fill="FFFFFF" w:val="clear"/>
            <w:tcMar>
              <w:top w:type="dxa" w:w="100"/>
              <w:left w:type="dxa" w:w="120"/>
              <w:bottom w:type="dxa" w:w="100"/>
              <w:right w:type="dxa" w:w="120"/>
            </w:tcMar>
            <w:vAlign w:val="center"/>
          </w:tcPr>
          <w:p>
            <w:r>
              <w:rPr>
                <w:rFonts w:ascii="Calibri" w:cs="Calibri" w:eastAsia="Calibri" w:hAnsi="Calibri"/>
                <w:b/>
                <w:bCs/>
                <w:color w:val="0E7C7B"/>
                <w:sz w:val="18"/>
                <w:szCs w:val="18"/>
              </w:rPr>
              <w:t xml:space="preserve">Jan 2025</w:t>
            </w:r>
          </w:p>
        </w:tc>
        <w:tc>
          <w:tcPr>
            <w:tcW w:type="pct" w:w="82%"/>
            <w:shd w:fill="FFFFFF" w:val="clear"/>
            <w:tcMar>
              <w:top w:type="dxa" w:w="100"/>
              <w:left w:type="dxa" w:w="120"/>
              <w:bottom w:type="dxa" w:w="100"/>
              <w:right w:type="dxa" w:w="120"/>
            </w:tcMar>
            <w:vAlign w:val="center"/>
          </w:tcPr>
          <w:p>
            <w:r>
              <w:rPr>
                <w:rFonts w:ascii="Calibri" w:cs="Calibri" w:eastAsia="Calibri" w:hAnsi="Calibri"/>
                <w:b w:val="false"/>
                <w:bCs w:val="false"/>
                <w:color w:val="222222"/>
                <w:sz w:val="18"/>
                <w:szCs w:val="18"/>
              </w:rPr>
              <w:t xml:space="preserve">Fifth Circuit vacates the FTC's Combating Auto Retail Scams (CARS) Rule on procedural grounds, halting the federal dealer pricing/add-on-consent standard before it took effect.</w:t>
            </w:r>
          </w:p>
        </w:tc>
      </w:tr>
      <w:tr>
        <w:tc>
          <w:tcPr>
            <w:tcW w:type="pct" w:w="18%"/>
            <w:shd w:fill="EEF2F6" w:val="clear"/>
            <w:tcMar>
              <w:top w:type="dxa" w:w="100"/>
              <w:left w:type="dxa" w:w="120"/>
              <w:bottom w:type="dxa" w:w="100"/>
              <w:right w:type="dxa" w:w="120"/>
            </w:tcMar>
            <w:vAlign w:val="center"/>
          </w:tcPr>
          <w:p>
            <w:r>
              <w:rPr>
                <w:rFonts w:ascii="Calibri" w:cs="Calibri" w:eastAsia="Calibri" w:hAnsi="Calibri"/>
                <w:b/>
                <w:bCs/>
                <w:color w:val="0E7C7B"/>
                <w:sz w:val="18"/>
                <w:szCs w:val="18"/>
              </w:rPr>
              <w:t xml:space="preserve">Aug 2025</w:t>
            </w:r>
          </w:p>
        </w:tc>
        <w:tc>
          <w:tcPr>
            <w:tcW w:type="pct" w:w="82%"/>
            <w:shd w:fill="EEF2F6" w:val="clear"/>
            <w:tcMar>
              <w:top w:type="dxa" w:w="100"/>
              <w:left w:type="dxa" w:w="120"/>
              <w:bottom w:type="dxa" w:w="100"/>
              <w:right w:type="dxa" w:w="120"/>
            </w:tcMar>
            <w:vAlign w:val="center"/>
          </w:tcPr>
          <w:p>
            <w:r>
              <w:rPr>
                <w:rFonts w:ascii="Calibri" w:cs="Calibri" w:eastAsia="Calibri" w:hAnsi="Calibri"/>
                <w:b w:val="false"/>
                <w:bCs w:val="false"/>
                <w:color w:val="222222"/>
                <w:sz w:val="18"/>
                <w:szCs w:val="18"/>
              </w:rPr>
              <w:t xml:space="preserve">CFPB opens an advance notice of proposed rulemaking on whether to raise the asset threshold that defines a “larger nonbank” auto servicer subject to its supervisory authority.</w:t>
            </w:r>
          </w:p>
        </w:tc>
      </w:tr>
      <w:tr>
        <w:tc>
          <w:tcPr>
            <w:tcW w:type="pct" w:w="18%"/>
            <w:shd w:fill="FFFFFF" w:val="clear"/>
            <w:tcMar>
              <w:top w:type="dxa" w:w="100"/>
              <w:left w:type="dxa" w:w="120"/>
              <w:bottom w:type="dxa" w:w="100"/>
              <w:right w:type="dxa" w:w="120"/>
            </w:tcMar>
            <w:vAlign w:val="center"/>
          </w:tcPr>
          <w:p>
            <w:r>
              <w:rPr>
                <w:rFonts w:ascii="Calibri" w:cs="Calibri" w:eastAsia="Calibri" w:hAnsi="Calibri"/>
                <w:b/>
                <w:bCs/>
                <w:color w:val="0E7C7B"/>
                <w:sz w:val="18"/>
                <w:szCs w:val="18"/>
              </w:rPr>
              <w:t xml:space="preserve">Feb 2026</w:t>
            </w:r>
          </w:p>
        </w:tc>
        <w:tc>
          <w:tcPr>
            <w:tcW w:type="pct" w:w="82%"/>
            <w:shd w:fill="FFFFFF" w:val="clear"/>
            <w:tcMar>
              <w:top w:type="dxa" w:w="100"/>
              <w:left w:type="dxa" w:w="120"/>
              <w:bottom w:type="dxa" w:w="100"/>
              <w:right w:type="dxa" w:w="120"/>
            </w:tcMar>
            <w:vAlign w:val="center"/>
          </w:tcPr>
          <w:p>
            <w:r>
              <w:rPr>
                <w:rFonts w:ascii="Calibri" w:cs="Calibri" w:eastAsia="Calibri" w:hAnsi="Calibri"/>
                <w:b w:val="false"/>
                <w:bCs w:val="false"/>
                <w:color w:val="222222"/>
                <w:sz w:val="18"/>
                <w:szCs w:val="18"/>
              </w:rPr>
              <w:t xml:space="preserve">FTC formally withdraws the CARS Rule from the Code of Federal Regulations, closing the door on that specific rule without a re-proposal; dealer pricing conduct reverts to general Section 5 UDAP enforcement.</w:t>
            </w:r>
          </w:p>
        </w:tc>
      </w:tr>
      <w:tr>
        <w:tc>
          <w:tcPr>
            <w:tcW w:type="pct" w:w="18%"/>
            <w:shd w:fill="EEF2F6" w:val="clear"/>
            <w:tcMar>
              <w:top w:type="dxa" w:w="100"/>
              <w:left w:type="dxa" w:w="120"/>
              <w:bottom w:type="dxa" w:w="100"/>
              <w:right w:type="dxa" w:w="120"/>
            </w:tcMar>
            <w:vAlign w:val="center"/>
          </w:tcPr>
          <w:p>
            <w:r>
              <w:rPr>
                <w:rFonts w:ascii="Calibri" w:cs="Calibri" w:eastAsia="Calibri" w:hAnsi="Calibri"/>
                <w:b/>
                <w:bCs/>
                <w:color w:val="0E7C7B"/>
                <w:sz w:val="18"/>
                <w:szCs w:val="18"/>
              </w:rPr>
              <w:t xml:space="preserve">Feb 2026</w:t>
            </w:r>
          </w:p>
        </w:tc>
        <w:tc>
          <w:tcPr>
            <w:tcW w:type="pct" w:w="82%"/>
            <w:shd w:fill="EEF2F6" w:val="clear"/>
            <w:tcMar>
              <w:top w:type="dxa" w:w="100"/>
              <w:left w:type="dxa" w:w="120"/>
              <w:bottom w:type="dxa" w:w="100"/>
              <w:right w:type="dxa" w:w="120"/>
            </w:tcMar>
            <w:vAlign w:val="center"/>
          </w:tcPr>
          <w:p>
            <w:r>
              <w:rPr>
                <w:rFonts w:ascii="Calibri" w:cs="Calibri" w:eastAsia="Calibri" w:hAnsi="Calibri"/>
                <w:b w:val="false"/>
                <w:bCs w:val="false"/>
                <w:color w:val="222222"/>
                <w:sz w:val="18"/>
                <w:szCs w:val="18"/>
              </w:rPr>
              <w:t xml:space="preserve">Colorado introduces HB 26-1261, adding a defined cure period, restrictions on vehicle-disabling technology, and a short buyer return right for certain vehicles — illustrating the state-level pattern filling the federal gap.</w:t>
            </w:r>
          </w:p>
        </w:tc>
      </w:tr>
      <w:tr>
        <w:tc>
          <w:tcPr>
            <w:tcW w:type="pct" w:w="18%"/>
            <w:shd w:fill="FFFFFF" w:val="clear"/>
            <w:tcMar>
              <w:top w:type="dxa" w:w="100"/>
              <w:left w:type="dxa" w:w="120"/>
              <w:bottom w:type="dxa" w:w="100"/>
              <w:right w:type="dxa" w:w="120"/>
            </w:tcMar>
            <w:vAlign w:val="center"/>
          </w:tcPr>
          <w:p>
            <w:r>
              <w:rPr>
                <w:rFonts w:ascii="Calibri" w:cs="Calibri" w:eastAsia="Calibri" w:hAnsi="Calibri"/>
                <w:b/>
                <w:bCs/>
                <w:color w:val="0E7C7B"/>
                <w:sz w:val="18"/>
                <w:szCs w:val="18"/>
              </w:rPr>
              <w:t xml:space="preserve">Mar 2026</w:t>
            </w:r>
          </w:p>
        </w:tc>
        <w:tc>
          <w:tcPr>
            <w:tcW w:type="pct" w:w="82%"/>
            <w:shd w:fill="FFFFFF" w:val="clear"/>
            <w:tcMar>
              <w:top w:type="dxa" w:w="100"/>
              <w:left w:type="dxa" w:w="120"/>
              <w:bottom w:type="dxa" w:w="100"/>
              <w:right w:type="dxa" w:w="120"/>
            </w:tcMar>
            <w:vAlign w:val="center"/>
          </w:tcPr>
          <w:p>
            <w:r>
              <w:rPr>
                <w:rFonts w:ascii="Calibri" w:cs="Calibri" w:eastAsia="Calibri" w:hAnsi="Calibri"/>
                <w:b w:val="false"/>
                <w:bCs w:val="false"/>
                <w:color w:val="222222"/>
                <w:sz w:val="18"/>
                <w:szCs w:val="18"/>
              </w:rPr>
              <w:t xml:space="preserve">FTC sends warning letters to 97 dealerships over advertising and pricing practices, signaling renewed case-by-case federal attention even without a standing rule.</w:t>
            </w:r>
          </w:p>
        </w:tc>
      </w:tr>
      <w:tr>
        <w:tc>
          <w:tcPr>
            <w:tcW w:type="pct" w:w="18%"/>
            <w:shd w:fill="EEF2F6" w:val="clear"/>
            <w:tcMar>
              <w:top w:type="dxa" w:w="100"/>
              <w:left w:type="dxa" w:w="120"/>
              <w:bottom w:type="dxa" w:w="100"/>
              <w:right w:type="dxa" w:w="120"/>
            </w:tcMar>
            <w:vAlign w:val="center"/>
          </w:tcPr>
          <w:p>
            <w:r>
              <w:rPr>
                <w:rFonts w:ascii="Calibri" w:cs="Calibri" w:eastAsia="Calibri" w:hAnsi="Calibri"/>
                <w:b/>
                <w:bCs/>
                <w:color w:val="0E7C7B"/>
                <w:sz w:val="18"/>
                <w:szCs w:val="18"/>
              </w:rPr>
              <w:t xml:space="preserve">May 2026</w:t>
            </w:r>
          </w:p>
        </w:tc>
        <w:tc>
          <w:tcPr>
            <w:tcW w:type="pct" w:w="82%"/>
            <w:shd w:fill="EEF2F6" w:val="clear"/>
            <w:tcMar>
              <w:top w:type="dxa" w:w="100"/>
              <w:left w:type="dxa" w:w="120"/>
              <w:bottom w:type="dxa" w:w="100"/>
              <w:right w:type="dxa" w:w="120"/>
            </w:tcMar>
            <w:vAlign w:val="center"/>
          </w:tcPr>
          <w:p>
            <w:r>
              <w:rPr>
                <w:rFonts w:ascii="Calibri" w:cs="Calibri" w:eastAsia="Calibri" w:hAnsi="Calibri"/>
                <w:b w:val="false"/>
                <w:bCs w:val="false"/>
                <w:color w:val="222222"/>
                <w:sz w:val="18"/>
                <w:szCs w:val="18"/>
              </w:rPr>
              <w:t xml:space="preserve">Federal Reserve research finds Buy-Here-Pay-Here loans carry repossession rates many times higher than traditional financing, sharpening congressional and state AG focus on that segment.</w:t>
            </w:r>
          </w:p>
        </w:tc>
      </w:tr>
      <w:tr>
        <w:tc>
          <w:tcPr>
            <w:tcW w:type="pct" w:w="18%"/>
            <w:shd w:fill="FFFFFF" w:val="clear"/>
            <w:tcMar>
              <w:top w:type="dxa" w:w="100"/>
              <w:left w:type="dxa" w:w="120"/>
              <w:bottom w:type="dxa" w:w="100"/>
              <w:right w:type="dxa" w:w="120"/>
            </w:tcMar>
            <w:vAlign w:val="center"/>
          </w:tcPr>
          <w:p>
            <w:r>
              <w:rPr>
                <w:rFonts w:ascii="Calibri" w:cs="Calibri" w:eastAsia="Calibri" w:hAnsi="Calibri"/>
                <w:b/>
                <w:bCs/>
                <w:color w:val="0E7C7B"/>
                <w:sz w:val="18"/>
                <w:szCs w:val="18"/>
              </w:rPr>
              <w:t xml:space="preserve">Jun 2026</w:t>
            </w:r>
          </w:p>
        </w:tc>
        <w:tc>
          <w:tcPr>
            <w:tcW w:type="pct" w:w="82%"/>
            <w:shd w:fill="FFFFFF" w:val="clear"/>
            <w:tcMar>
              <w:top w:type="dxa" w:w="100"/>
              <w:left w:type="dxa" w:w="120"/>
              <w:bottom w:type="dxa" w:w="100"/>
              <w:right w:type="dxa" w:w="120"/>
            </w:tcMar>
            <w:vAlign w:val="center"/>
          </w:tcPr>
          <w:p>
            <w:r>
              <w:rPr>
                <w:rFonts w:ascii="Calibri" w:cs="Calibri" w:eastAsia="Calibri" w:hAnsi="Calibri"/>
                <w:b w:val="false"/>
                <w:bCs w:val="false"/>
                <w:color w:val="222222"/>
                <w:sz w:val="18"/>
                <w:szCs w:val="18"/>
              </w:rPr>
              <w:t xml:space="preserve">CFPB Supervisory Highlights again cites servicers for repossessing vehicles after timely payment or an agreed loan modification, alongside payment misapplication and inaccurate credit furnishing.</w:t>
            </w:r>
          </w:p>
        </w:tc>
      </w:tr>
    </w:tbl>
    <w:p>
      <w:pPr>
        <w:pStyle w:val="Heading1"/>
        <w:pBdr>
          <w:bottom w:val="single" w:color="0E7C7B" w:sz="8" w:space="4"/>
        </w:pBdr>
        <w:spacing w:after="200" w:before="480"/>
      </w:pPr>
      <w:r>
        <w:rPr>
          <w:rFonts w:ascii="Calibri" w:cs="Calibri" w:eastAsia="Calibri" w:hAnsi="Calibri"/>
          <w:b/>
          <w:bCs/>
          <w:color w:val="0E7C7B"/>
        </w:rPr>
        <w:t xml:space="preserve">7.  </w:t>
      </w:r>
      <w:r>
        <w:rPr>
          <w:rFonts w:ascii="Calibri" w:cs="Calibri" w:eastAsia="Calibri" w:hAnsi="Calibri"/>
          <w:b/>
          <w:bCs/>
          <w:color w:val="1B2A4A"/>
          <w:sz w:val="30"/>
          <w:szCs w:val="30"/>
        </w:rPr>
        <w:t xml:space="preserve">Special-Population Protections: SCRA and MLA</w:t>
      </w:r>
    </w:p>
    <w:p>
      <w:pPr>
        <w:spacing w:after="160" w:line="288"/>
        <w:jc w:val="both"/>
      </w:pPr>
      <w:r>
        <w:rPr>
          <w:rFonts w:ascii="Calibri" w:cs="Calibri" w:eastAsia="Calibri" w:hAnsi="Calibri"/>
          <w:color w:val="222222"/>
          <w:sz w:val="21"/>
          <w:szCs w:val="21"/>
        </w:rPr>
        <w:t xml:space="preserve">Two statutes apply on top of the general framework specifically because of the borrower's military status, and both carry federal-level consequences distinct from ordinary UDAAP exposure.</w:t>
      </w:r>
    </w:p>
    <w:p>
      <w:pPr>
        <w:pStyle w:val="ListParagraph"/>
        <w:numPr>
          <w:ilvl w:val="0"/>
          <w:numId w:val="2"/>
        </w:numPr>
        <w:spacing w:after="100" w:line="276"/>
      </w:pPr>
      <w:r>
        <w:rPr>
          <w:rFonts w:ascii="Calibri" w:cs="Calibri" w:eastAsia="Calibri" w:hAnsi="Calibri"/>
          <w:color w:val="222222"/>
          <w:sz w:val="21"/>
          <w:szCs w:val="21"/>
        </w:rPr>
        <w:t xml:space="preserve">The Servicemembers Civil Relief Act requires a court order before repossessing a vehicle financed prior to the borrower's active-duty service, and allows the servicemember to request a 6% interest-rate cap on that pre-service obligation. Self-help repossession of a covered account — the default path for an ordinary retail installment default — is itself the violation, independent of anything else the servicer did correctly.</w:t>
      </w:r>
    </w:p>
    <w:p>
      <w:pPr>
        <w:pStyle w:val="ListParagraph"/>
        <w:numPr>
          <w:ilvl w:val="0"/>
          <w:numId w:val="2"/>
        </w:numPr>
        <w:spacing w:after="100" w:line="276"/>
      </w:pPr>
      <w:r>
        <w:rPr>
          <w:rFonts w:ascii="Calibri" w:cs="Calibri" w:eastAsia="Calibri" w:hAnsi="Calibri"/>
          <w:color w:val="222222"/>
          <w:sz w:val="21"/>
          <w:szCs w:val="21"/>
        </w:rPr>
        <w:t xml:space="preserve">The Military Lending Act caps the Military Annual Percentage Rate at 36% and bars mandatory pre-dispute arbitration clauses for covered credit extended to active-duty members and their dependents. Pure purchase-money loans secured by the vehicle being financed are generally exempt, but financing add-on products — GAP waivers, service contracts, credit insurance — into the same contract can pull the whole transaction back into MLA coverage, a distinction that trips up standard contract templates more often than deliberate noncompliance.</w:t>
      </w:r>
    </w:p>
    <w:p>
      <w:pPr>
        <w:spacing w:after="160" w:line="288"/>
        <w:jc w:val="both"/>
      </w:pPr>
      <w:r>
        <w:rPr>
          <w:rFonts w:ascii="Calibri" w:cs="Calibri" w:eastAsia="Calibri" w:hAnsi="Calibri"/>
          <w:color w:val="222222"/>
          <w:sz w:val="21"/>
          <w:szCs w:val="21"/>
        </w:rPr>
        <w:t xml:space="preserve">Both statutes require active-duty status verification against the Department of Defense database before repossession proceeds — a step that has to happen before, not after, a vehicle is recovered.</w:t>
      </w:r>
    </w:p>
    <w:p>
      <w:pPr>
        <w:pStyle w:val="Heading1"/>
        <w:pBdr>
          <w:bottom w:val="single" w:color="0E7C7B" w:sz="8" w:space="4"/>
        </w:pBdr>
        <w:spacing w:after="200" w:before="480"/>
      </w:pPr>
      <w:r>
        <w:rPr>
          <w:rFonts w:ascii="Calibri" w:cs="Calibri" w:eastAsia="Calibri" w:hAnsi="Calibri"/>
          <w:b/>
          <w:bCs/>
          <w:color w:val="0E7C7B"/>
        </w:rPr>
        <w:t xml:space="preserve">8.  </w:t>
      </w:r>
      <w:r>
        <w:rPr>
          <w:rFonts w:ascii="Calibri" w:cs="Calibri" w:eastAsia="Calibri" w:hAnsi="Calibri"/>
          <w:b/>
          <w:bCs/>
          <w:color w:val="1B2A4A"/>
          <w:sz w:val="30"/>
          <w:szCs w:val="30"/>
        </w:rPr>
        <w:t xml:space="preserve">Recommendations</w:t>
      </w:r>
    </w:p>
    <w:p>
      <w:pPr>
        <w:pStyle w:val="ListParagraph"/>
        <w:numPr>
          <w:ilvl w:val="0"/>
          <w:numId w:val="2"/>
        </w:numPr>
        <w:spacing w:after="100" w:line="276"/>
      </w:pPr>
      <w:r>
        <w:rPr>
          <w:rFonts w:ascii="Calibri" w:cs="Calibri" w:eastAsia="Calibri" w:hAnsi="Calibri"/>
          <w:color w:val="222222"/>
          <w:sz w:val="21"/>
          <w:szCs w:val="21"/>
        </w:rPr>
        <w:t xml:space="preserve">Map default and collections workflows separately for retail loans and leases — Reg Z/UCC Article 9 mechanics and Reg M/lease-termination mechanics should not share a single decision tree.</w:t>
      </w:r>
    </w:p>
    <w:p>
      <w:pPr>
        <w:pStyle w:val="ListParagraph"/>
        <w:numPr>
          <w:ilvl w:val="0"/>
          <w:numId w:val="2"/>
        </w:numPr>
        <w:spacing w:after="100" w:line="276"/>
      </w:pPr>
      <w:r>
        <w:rPr>
          <w:rFonts w:ascii="Calibri" w:cs="Calibri" w:eastAsia="Calibri" w:hAnsi="Calibri"/>
          <w:color w:val="222222"/>
          <w:sz w:val="21"/>
          <w:szCs w:val="21"/>
        </w:rPr>
        <w:t xml:space="preserve">Treat “payment received or modification granted, then repossessed anyway” as the single highest-priority control gap to close; it is the most consistently cited finding across 2024–2026 CFPB supervisory reports and simultaneously implicates UCC, FDCPA/UDAAP, and FCRA exposure.</w:t>
      </w:r>
    </w:p>
    <w:p>
      <w:pPr>
        <w:pStyle w:val="ListParagraph"/>
        <w:numPr>
          <w:ilvl w:val="0"/>
          <w:numId w:val="2"/>
        </w:numPr>
        <w:spacing w:after="100" w:line="276"/>
      </w:pPr>
      <w:r>
        <w:rPr>
          <w:rFonts w:ascii="Calibri" w:cs="Calibri" w:eastAsia="Calibri" w:hAnsi="Calibri"/>
          <w:color w:val="222222"/>
          <w:sz w:val="21"/>
          <w:szCs w:val="21"/>
        </w:rPr>
        <w:t xml:space="preserve">Verify active-duty status against the DoD database before every repossession, not only when military status is suspected, and route any hit to a court-order path rather than self-help recovery.</w:t>
      </w:r>
    </w:p>
    <w:p>
      <w:pPr>
        <w:pStyle w:val="ListParagraph"/>
        <w:numPr>
          <w:ilvl w:val="0"/>
          <w:numId w:val="2"/>
        </w:numPr>
        <w:spacing w:after="100" w:line="276"/>
      </w:pPr>
      <w:r>
        <w:rPr>
          <w:rFonts w:ascii="Calibri" w:cs="Calibri" w:eastAsia="Calibri" w:hAnsi="Calibri"/>
          <w:color w:val="222222"/>
          <w:sz w:val="21"/>
          <w:szCs w:val="21"/>
        </w:rPr>
        <w:t xml:space="preserve">Reconfirm which add-on products are bundled into each contract, since GAP and service-contract financing can move a purchase-money loan into Military Lending Act coverage despite the general purchase-money exemption.</w:t>
      </w:r>
    </w:p>
    <w:p>
      <w:pPr>
        <w:pStyle w:val="ListParagraph"/>
        <w:numPr>
          <w:ilvl w:val="0"/>
          <w:numId w:val="2"/>
        </w:numPr>
        <w:spacing w:after="100" w:line="276"/>
      </w:pPr>
      <w:r>
        <w:rPr>
          <w:rFonts w:ascii="Calibri" w:cs="Calibri" w:eastAsia="Calibri" w:hAnsi="Calibri"/>
          <w:color w:val="222222"/>
          <w:sz w:val="21"/>
          <w:szCs w:val="21"/>
        </w:rPr>
        <w:t xml:space="preserve">Track state-level repossession and cure-period legislation as an independent compliance workstream rather than a downstream footnote to federal rules — the direction of travel in 2026 is state legislatures and state AGs filling the gap left by a withdrawn federal rule, not federal rulemaking resuming.</w:t>
      </w:r>
    </w:p>
    <w:p>
      <w:pPr>
        <w:pStyle w:val="ListParagraph"/>
        <w:numPr>
          <w:ilvl w:val="0"/>
          <w:numId w:val="2"/>
        </w:numPr>
        <w:spacing w:after="100" w:line="276"/>
      </w:pPr>
      <w:r>
        <w:rPr>
          <w:rFonts w:ascii="Calibri" w:cs="Calibri" w:eastAsia="Calibri" w:hAnsi="Calibri"/>
          <w:color w:val="222222"/>
          <w:sz w:val="21"/>
          <w:szCs w:val="21"/>
        </w:rPr>
        <w:t xml:space="preserve">Build audit-trail capture — right-party contact confirmation, hardship-accommodation documentation, repossession authorization sign-off — into the servicing workflow itself, since undocumented process is functionally indistinguishable from noncompliant process in an examination.</w:t>
      </w:r>
    </w:p>
    <w:p>
      <w:pPr>
        <w:spacing w:before="200"/>
      </w:pPr>
    </w:p>
    <w:tbl>
      <w:tblPr>
        <w:tblW w:type="pct" w:w="100%"/>
        <w:tblBorders>
          <w:top w:val="single" w:color="0E7C7B" w:sz="6"/>
          <w:left w:val="single" w:color="0E7C7B" w:sz="6"/>
          <w:bottom w:val="single" w:color="0E7C7B" w:sz="6"/>
          <w:right w:val="single" w:color="0E7C7B" w:sz="6"/>
          <w:insideH w:val="none" w:color="FFFFFF" w:sz="0"/>
          <w:insideV w:val="none" w:color="FFFFFF" w:sz="0"/>
        </w:tblBorders>
      </w:tblPr>
      <w:tblGrid>
        <w:gridCol w:w="100"/>
      </w:tblGrid>
      <w:tr>
        <w:tc>
          <w:tcPr>
            <w:shd w:fill="EEF2F6" w:val="clear"/>
            <w:tcMar>
              <w:top w:type="dxa" w:w="160"/>
              <w:left w:type="dxa" w:w="200"/>
              <w:bottom w:type="dxa" w:w="160"/>
              <w:right w:type="dxa" w:w="200"/>
            </w:tcMar>
          </w:tcPr>
          <w:p>
            <w:pPr>
              <w:spacing w:after="60"/>
            </w:pPr>
            <w:r>
              <w:rPr>
                <w:rFonts w:ascii="Calibri" w:cs="Calibri" w:eastAsia="Calibri" w:hAnsi="Calibri"/>
                <w:b/>
                <w:bCs/>
                <w:color w:val="0E7C7B"/>
                <w:sz w:val="18"/>
                <w:szCs w:val="18"/>
              </w:rPr>
              <w:t xml:space="preserve">BOTTOM LINE</w:t>
            </w:r>
          </w:p>
          <w:p>
            <w:pPr>
              <w:spacing w:after="0"/>
            </w:pPr>
            <w:r>
              <w:rPr>
                <w:rFonts w:ascii="Calibri" w:cs="Calibri" w:eastAsia="Calibri" w:hAnsi="Calibri"/>
                <w:i/>
                <w:iCs/>
                <w:color w:val="1B2A4A"/>
                <w:sz w:val="21"/>
                <w:szCs w:val="21"/>
              </w:rPr>
              <w:t xml:space="preserve">No single statute governs an auto default. The exposure sits in the handoffs — between origination disclosure and default terms, between loan and lease mechanics, and between a reduced federal rulemaking posture and an increasingly active state layer. Programs that map and document those handoffs are the ones examiners and courts find defensible.</w:t>
            </w:r>
          </w:p>
        </w:tc>
      </w:tr>
    </w:tbl>
    <w:sectPr>
      <w:headerReference w:type="default" r:id="rId7"/>
      <w:footerReference w:type="default" r:id="rId8"/>
      <w:pgSz w:w="11906" w:h="16838" w:orient="portrait"/>
      <w:pgMar w:top="1440" w:right="1440" w:bottom="1440" w:left="1440" w:header="708" w:footer="708" w:gutter="0"/>
      <w:pgNumType w:start="1" w:fmt="decimal"/>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44546A"/>
        <w:sz w:val="16"/>
        <w:szCs w:val="16"/>
      </w:rPr>
      <w:t xml:space="preserve">Page </w:t>
    </w:r>
    <w:r>
      <w:rPr>
        <w:rFonts w:ascii="Calibri" w:cs="Calibri" w:eastAsia="Calibri" w:hAnsi="Calibri"/>
        <w:color w:val="44546A"/>
        <w:sz w:val="16"/>
        <w:szCs w:val="16"/>
      </w:rPr>
      <w:fldChar w:fldCharType="begin"/>
      <w:instrText xml:space="preserve">PAGE</w:instrText>
      <w:fldChar w:fldCharType="separate"/>
      <w:fldChar w:fldCharType="end"/>
    </w:r>
    <w:r>
      <w:rPr>
        <w:rFonts w:ascii="Calibri" w:cs="Calibri" w:eastAsia="Calibri" w:hAnsi="Calibri"/>
        <w:color w:val="44546A"/>
        <w:sz w:val="16"/>
        <w:szCs w:val="16"/>
      </w:rPr>
      <w:t xml:space="preserve"> of </w:t>
    </w:r>
    <w:r>
      <w:rPr>
        <w:rFonts w:ascii="Calibri" w:cs="Calibri" w:eastAsia="Calibri" w:hAnsi="Calibri"/>
        <w:color w:val="44546A"/>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D2DC" w:sz="4" w:space="4"/>
      </w:pBdr>
      <w:jc w:val="right"/>
    </w:pPr>
    <w:r>
      <w:rPr>
        <w:rFonts w:ascii="Calibri" w:cs="Calibri" w:eastAsia="Calibri" w:hAnsi="Calibri"/>
        <w:i/>
        <w:iCs/>
        <w:color w:val="44546A"/>
        <w:sz w:val="16"/>
        <w:szCs w:val="16"/>
      </w:rPr>
      <w:t xml:space="preserve">Auto Loan / Lease Default Regulation — Point of View</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lvl w:ilvl="1" w15:tentative="1">
      <w:start w:val="1"/>
      <w:numFmt w:val="bullet"/>
      <w:lvlText w:val="–"/>
      <w:lvlJc w:val="left"/>
      <w:pPr>
        <w:ind w:left="82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2026-09-02T07:25:24.566Z</dcterms:created>
  <dcterms:modified xsi:type="dcterms:W3CDTF">2026-09-02T07:25:24.583Z</dcterms:modified>
</cp:coreProperties>
</file>

<file path=docProps/custom.xml><?xml version="1.0" encoding="utf-8"?>
<Properties xmlns="http://schemas.openxmlformats.org/officeDocument/2006/custom-properties" xmlns:vt="http://schemas.openxmlformats.org/officeDocument/2006/docPropsVTypes"/>
</file>