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left w:val="single" w:color="0E7C7B" w:sz="36" w:space="12"/>
        </w:pBdr>
        <w:spacing w:after="120"/>
      </w:pPr>
      <w:r>
        <w:rPr>
          <w:rFonts w:ascii="Calibri" w:cs="Calibri" w:eastAsia="Calibri" w:hAnsi="Calibri"/>
          <w:b/>
          <w:bCs/>
          <w:color w:val="0E7C7B"/>
          <w:spacing w:val="30"/>
          <w:sz w:val="22"/>
          <w:szCs w:val="22"/>
        </w:rPr>
        <w:t xml:space="preserve">POINT OF VIEW</w:t>
      </w:r>
    </w:p>
    <w:p>
      <w:pPr>
        <w:pBdr>
          <w:left w:val="single" w:color="0E7C7B" w:sz="36" w:space="12"/>
        </w:pBdr>
        <w:spacing w:after="60"/>
      </w:pPr>
      <w:r>
        <w:rPr>
          <w:rFonts w:ascii="Calibri" w:cs="Calibri" w:eastAsia="Calibri" w:hAnsi="Calibri"/>
          <w:b/>
          <w:bCs/>
          <w:color w:val="1B2A4A"/>
          <w:sz w:val="44"/>
          <w:szCs w:val="44"/>
        </w:rPr>
        <w:t xml:space="preserve">A Decade of Consumer Delinquency</w:t>
      </w:r>
    </w:p>
    <w:p>
      <w:pPr>
        <w:pBdr>
          <w:left w:val="single" w:color="0E7C7B" w:sz="36" w:space="12"/>
        </w:pBdr>
        <w:spacing w:after="300"/>
      </w:pPr>
      <w:r>
        <w:rPr>
          <w:rFonts w:ascii="Calibri" w:cs="Calibri" w:eastAsia="Calibri" w:hAnsi="Calibri"/>
          <w:b/>
          <w:bCs/>
          <w:color w:val="1B2A4A"/>
          <w:sz w:val="44"/>
          <w:szCs w:val="44"/>
        </w:rPr>
        <w:t xml:space="preserve">and the Geopolitical Risk Ahead</w:t>
      </w:r>
    </w:p>
    <w:p>
      <w:pPr>
        <w:pBdr>
          <w:left w:val="single" w:color="0E7C7B" w:sz="36" w:space="12"/>
        </w:pBdr>
        <w:spacing w:after="2000"/>
      </w:pPr>
      <w:r>
        <w:rPr>
          <w:rFonts w:ascii="Calibri" w:cs="Calibri" w:eastAsia="Calibri" w:hAnsi="Calibri"/>
          <w:i/>
          <w:iCs/>
          <w:color w:val="44546A"/>
          <w:sz w:val="24"/>
          <w:szCs w:val="24"/>
        </w:rPr>
        <w:t xml:space="preserve">What official data shows about auto and consumer loan delinquency since 2015, what's driving today's record levels, and how asset finance organizations should prepare</w:t>
      </w:r>
    </w:p>
    <w:p>
      <w:pPr>
        <w:pBdr>
          <w:top w:val="single" w:color="C9D2DC" w:sz="6" w:space="8"/>
        </w:pBdr>
        <w:spacing w:before="3000"/>
      </w:pPr>
    </w:p>
    <w:p>
      <w:pPr>
        <w:spacing w:before="120"/>
      </w:pPr>
      <w:r>
        <w:rPr>
          <w:rFonts w:ascii="Calibri" w:cs="Calibri" w:eastAsia="Calibri" w:hAnsi="Calibri"/>
          <w:color w:val="44546A"/>
          <w:sz w:val="19"/>
          <w:szCs w:val="19"/>
        </w:rPr>
        <w:t xml:space="preserve">Prepared for: Asset Finance Risk &amp; Portfolio Leadership</w:t>
      </w:r>
    </w:p>
    <w:p>
      <w:pPr>
        <w:spacing w:before="60"/>
      </w:pPr>
      <w:r>
        <w:rPr>
          <w:rFonts w:ascii="Calibri" w:cs="Calibri" w:eastAsia="Calibri" w:hAnsi="Calibri"/>
          <w:color w:val="44546A"/>
          <w:sz w:val="19"/>
          <w:szCs w:val="19"/>
        </w:rPr>
        <w:t xml:space="preserve">Primary sources: Federal Reserve Bank of New York Household Debt and Credit Report (Consumer Credit Panel / Equifax); Federal Reserve Bank of Philadelphia; Federal Reserve research</w:t>
      </w:r>
    </w:p>
    <w:p>
      <w:pPr>
        <w:spacing w:before="60"/>
      </w:pPr>
      <w:r>
        <w:rPr>
          <w:rFonts w:ascii="Calibri" w:cs="Calibri" w:eastAsia="Calibri" w:hAnsi="Calibri"/>
          <w:color w:val="44546A"/>
          <w:sz w:val="19"/>
          <w:szCs w:val="19"/>
        </w:rPr>
        <w:t xml:space="preserve">September 2026</w:t>
      </w:r>
    </w:p>
    <w:p>
      <w:pPr>
        <w:sectPr>
          <w:pgSz w:w="12240" w:h="15840" w:orient="portrait"/>
          <w:pgMar w:top="1440" w:right="1440" w:bottom="1440" w:left="1440" w:header="708" w:footer="708" w:gutter="0"/>
          <w:pgNumType/>
          <w:docGrid w:linePitch="360"/>
        </w:sectPr>
      </w:pPr>
    </w:p>
    <w:p>
      <w:pPr>
        <w:pStyle w:val="Heading1"/>
        <w:spacing w:after="240"/>
      </w:pPr>
      <w:r>
        <w:rPr>
          <w:rFonts w:ascii="Calibri" w:cs="Calibri" w:eastAsia="Calibri" w:hAnsi="Calibri"/>
          <w:b/>
          <w:bCs/>
          <w:color w:val="1B2A4A"/>
          <w:sz w:val="30"/>
          <w:szCs w:val="3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0E7C7B" w:sz="8" w:space="4"/>
        </w:pBdr>
        <w:spacing w:after="200" w:before="480"/>
      </w:pPr>
      <w:r>
        <w:rPr>
          <w:rFonts w:ascii="Calibri" w:cs="Calibri" w:eastAsia="Calibri" w:hAnsi="Calibri"/>
          <w:b/>
          <w:bCs/>
          <w:color w:val="0E7C7B"/>
        </w:rPr>
        <w:t xml:space="preserve">1.  </w:t>
      </w:r>
      <w:r>
        <w:rPr>
          <w:rFonts w:ascii="Calibri" w:cs="Calibri" w:eastAsia="Calibri" w:hAnsi="Calibri"/>
          <w:b/>
          <w:bCs/>
          <w:color w:val="1B2A4A"/>
          <w:sz w:val="30"/>
          <w:szCs w:val="30"/>
        </w:rPr>
        <w:t xml:space="preserve">Executive Summary</w:t>
      </w:r>
    </w:p>
    <w:p>
      <w:pPr>
        <w:spacing w:after="160" w:line="288"/>
        <w:jc w:val="both"/>
      </w:pPr>
      <w:r>
        <w:rPr>
          <w:rFonts w:ascii="Calibri" w:cs="Calibri" w:eastAsia="Calibri" w:hAnsi="Calibri"/>
          <w:color w:val="222222"/>
          <w:sz w:val="21"/>
          <w:szCs w:val="21"/>
        </w:rPr>
        <w:t xml:space="preserve">Official data from the Federal Reserve Bank of New York's Household Debt and Credit Report — drawn from its nationally representative Consumer Credit Panel — shows auto loan serious delinquency (90 or more days past due) reached 5.5% of outstanding balances in the second quarter of 2026. That is a series record, higher than the 5.3% peak recorded during the Great Recession in late 2010, and it arrived alongside record outstanding auto debt of $1.713 trillion.</w:t>
      </w:r>
    </w:p>
    <w:p>
      <w:pPr>
        <w:spacing w:after="160" w:line="288"/>
        <w:jc w:val="both"/>
      </w:pPr>
      <w:r>
        <w:rPr>
          <w:rFonts w:ascii="Calibri" w:cs="Calibri" w:eastAsia="Calibri" w:hAnsi="Calibri"/>
          <w:color w:val="222222"/>
          <w:sz w:val="21"/>
          <w:szCs w:val="21"/>
        </w:rPr>
        <w:t xml:space="preserve">What makes this cycle different from 2010 is the driver. The Great Recession peak was a demand-and-employment shock: mass layoffs pushed otherwise-sound loans into default. The current peak is substantially structural: Federal Reserve Bank of Philadelphia research finds that loans originated in 2021–2023 — a period of record vehicle prices, longer loan terms, and higher debt-to-income ratios at origination — account for the majority of loans now in default, with elevated monthly payments (driven mainly by vehicle prices, not interest rates) responsible for roughly 40% of the delinquency increase since 2019.</w:t>
      </w:r>
    </w:p>
    <w:p>
      <w:pPr>
        <w:spacing w:after="160" w:line="288"/>
        <w:jc w:val="both"/>
      </w:pPr>
      <w:r>
        <w:rPr>
          <w:rFonts w:ascii="Calibri" w:cs="Calibri" w:eastAsia="Calibri" w:hAnsi="Calibri"/>
          <w:color w:val="222222"/>
          <w:sz w:val="21"/>
          <w:szCs w:val="21"/>
        </w:rPr>
        <w:t xml:space="preserve">Layered on top of that structural affordability problem is a geopolitical risk environment that industry analysts and credit-rating commentary now treat as an active 2026 factor rather than a background risk: tariff policy on vehicles and parts, regional conflict affecting energy prices, and broader trade-policy uncertainty are each cited directly by auto finance and credit-market analysts as clouding the second-half 2026 outlook. This point of view sets out what the last decade of official data shows, the fuller set of factors shaping borrower behavior today, and what asset finance organizations need to build to stay ahead of it.</w:t>
      </w:r>
    </w:p>
    <w:tbl>
      <w:tblPr>
        <w:tblW w:type="pct" w:w="100%"/>
        <w:tblBorders>
          <w:top w:val="single" w:color="0E7C7B" w:sz="6"/>
          <w:left w:val="single" w:color="0E7C7B" w:sz="6"/>
          <w:bottom w:val="single" w:color="0E7C7B" w:sz="6"/>
          <w:right w:val="single" w:color="0E7C7B" w:sz="6"/>
          <w:insideH w:val="none" w:color="FFFFFF" w:sz="0"/>
          <w:insideV w:val="none" w:color="FFFFFF" w:sz="0"/>
        </w:tblBorders>
      </w:tblPr>
      <w:tblGrid>
        <w:gridCol w:w="100"/>
      </w:tblGrid>
      <w:tr>
        <w:tc>
          <w:tcPr>
            <w:shd w:fill="EEF2F6" w:val="clear"/>
            <w:tcMar>
              <w:top w:type="dxa" w:w="160"/>
              <w:left w:type="dxa" w:w="200"/>
              <w:bottom w:type="dxa" w:w="160"/>
              <w:right w:type="dxa" w:w="200"/>
            </w:tcMar>
          </w:tcPr>
          <w:p>
            <w:pPr>
              <w:spacing w:after="60"/>
            </w:pPr>
            <w:r>
              <w:rPr>
                <w:rFonts w:ascii="Calibri" w:cs="Calibri" w:eastAsia="Calibri" w:hAnsi="Calibri"/>
                <w:b/>
                <w:bCs/>
                <w:color w:val="0E7C7B"/>
                <w:sz w:val="18"/>
                <w:szCs w:val="18"/>
              </w:rPr>
              <w:t xml:space="preserve">THE HEADLINE NUMBER</w:t>
            </w:r>
          </w:p>
          <w:p>
            <w:pPr>
              <w:spacing w:after="0"/>
            </w:pPr>
            <w:r>
              <w:rPr>
                <w:rFonts w:ascii="Calibri" w:cs="Calibri" w:eastAsia="Calibri" w:hAnsi="Calibri"/>
                <w:i/>
                <w:iCs/>
                <w:color w:val="1B2A4A"/>
                <w:sz w:val="21"/>
                <w:szCs w:val="21"/>
              </w:rPr>
              <w:t xml:space="preserve">Auto loan serious delinquency hit 5.5% in Q2 2026 — a series record that exceeds the 2010 financial-crisis peak of 5.3%, on outstanding auto debt of $1.713 trillion. Source: Federal Reserve Bank of New York Household Debt and Credit Report.</w:t>
            </w:r>
          </w:p>
        </w:tc>
      </w:tr>
    </w:tbl>
    <w:p>
      <w:pPr>
        <w:pStyle w:val="Heading1"/>
        <w:pBdr>
          <w:bottom w:val="single" w:color="0E7C7B" w:sz="8" w:space="4"/>
        </w:pBdr>
        <w:spacing w:after="200" w:before="480"/>
      </w:pPr>
      <w:r>
        <w:rPr>
          <w:rFonts w:ascii="Calibri" w:cs="Calibri" w:eastAsia="Calibri" w:hAnsi="Calibri"/>
          <w:b/>
          <w:bCs/>
          <w:color w:val="0E7C7B"/>
        </w:rPr>
        <w:t xml:space="preserve">2.  </w:t>
      </w:r>
      <w:r>
        <w:rPr>
          <w:rFonts w:ascii="Calibri" w:cs="Calibri" w:eastAsia="Calibri" w:hAnsi="Calibri"/>
          <w:b/>
          <w:bCs/>
          <w:color w:val="1B2A4A"/>
          <w:sz w:val="30"/>
          <w:szCs w:val="30"/>
        </w:rPr>
        <w:t xml:space="preserve">A Decade of Delinquency: What the Official Data Shows</w:t>
      </w:r>
    </w:p>
    <w:p>
      <w:pPr>
        <w:spacing w:after="160" w:line="288"/>
        <w:jc w:val="both"/>
      </w:pPr>
      <w:r>
        <w:rPr>
          <w:rFonts w:ascii="Calibri" w:cs="Calibri" w:eastAsia="Calibri" w:hAnsi="Calibri"/>
          <w:color w:val="222222"/>
          <w:sz w:val="21"/>
          <w:szCs w:val="21"/>
        </w:rPr>
        <w:t xml:space="preserve">The clearest single source for this trend is the New York Fed's quarterly Household Debt and Credit Report, built on a nationally representative sample of anonymized Equifax credit data. It is the same dataset cited by the Federal Reserve, the Philadelphia Fed's Consumer Finance Institute, and virtually every major industry analysis of auto credit performance.</w:t>
      </w:r>
    </w:p>
    <w:tbl>
      <w:tblPr>
        <w:tblW w:type="pct" w:w="100%"/>
        <w:tblBorders>
          <w:top w:val="single" w:color="C9D2DC" w:sz="4"/>
          <w:left w:val="single" w:color="C9D2DC" w:sz="4"/>
          <w:bottom w:val="single" w:color="C9D2DC" w:sz="4"/>
          <w:right w:val="single" w:color="C9D2DC" w:sz="4"/>
          <w:insideH w:val="single" w:color="C9D2DC" w:sz="4"/>
          <w:insideV w:val="single" w:color="C9D2DC" w:sz="4"/>
        </w:tblBorders>
      </w:tblPr>
      <w:tblGrid>
        <w:gridCol w:w="1400"/>
        <w:gridCol w:w="8800"/>
      </w:tblGrid>
      <w:tr>
        <w:trPr>
          <w:tblHeader/>
        </w:trPr>
        <w:tc>
          <w:tcPr>
            <w:tcW w:type="pct" w:w="16%"/>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Period</w:t>
            </w:r>
          </w:p>
        </w:tc>
        <w:tc>
          <w:tcPr>
            <w:tcW w:type="pct" w:w="84%"/>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What the official data shows</w:t>
            </w:r>
          </w:p>
        </w:tc>
      </w:tr>
      <w:tr>
        <w:tc>
          <w:tcPr>
            <w:tcW w:type="pct" w:w="16%"/>
            <w:shd w:fill="FFFFFF" w:val="clear"/>
            <w:tcMar>
              <w:top w:type="dxa" w:w="100"/>
              <w:left w:type="dxa" w:w="120"/>
              <w:bottom w:type="dxa" w:w="100"/>
              <w:right w:type="dxa" w:w="120"/>
            </w:tcMar>
            <w:vAlign w:val="center"/>
          </w:tcPr>
          <w:p>
            <w:r>
              <w:rPr>
                <w:rFonts w:ascii="Calibri" w:cs="Calibri" w:eastAsia="Calibri" w:hAnsi="Calibri"/>
                <w:b/>
                <w:bCs/>
                <w:color w:val="0E7C7B"/>
                <w:sz w:val="19"/>
                <w:szCs w:val="19"/>
              </w:rPr>
              <w:t xml:space="preserve">2010</w:t>
            </w:r>
          </w:p>
        </w:tc>
        <w:tc>
          <w:tcPr>
            <w:tcW w:type="pct" w:w="84%"/>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Auto loan serious delinquency (90+ days past due) peaks at 5.3% of outstanding balances during the Great Recession — the historic high point until 2026.</w:t>
            </w:r>
          </w:p>
        </w:tc>
      </w:tr>
      <w:tr>
        <w:tc>
          <w:tcPr>
            <w:tcW w:type="pct" w:w="16%"/>
            <w:shd w:fill="EEF2F6" w:val="clear"/>
            <w:tcMar>
              <w:top w:type="dxa" w:w="100"/>
              <w:left w:type="dxa" w:w="120"/>
              <w:bottom w:type="dxa" w:w="100"/>
              <w:right w:type="dxa" w:w="120"/>
            </w:tcMar>
            <w:vAlign w:val="center"/>
          </w:tcPr>
          <w:p>
            <w:r>
              <w:rPr>
                <w:rFonts w:ascii="Calibri" w:cs="Calibri" w:eastAsia="Calibri" w:hAnsi="Calibri"/>
                <w:b/>
                <w:bCs/>
                <w:color w:val="0E7C7B"/>
                <w:sz w:val="19"/>
                <w:szCs w:val="19"/>
              </w:rPr>
              <w:t xml:space="preserve">2011–2019</w:t>
            </w:r>
          </w:p>
        </w:tc>
        <w:tc>
          <w:tcPr>
            <w:tcW w:type="pct" w:w="84%"/>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A multi-year decline and stabilization as the labor market recovered; delinquency rates ran well below the 2010 peak through the pre-pandemic period.</w:t>
            </w:r>
          </w:p>
        </w:tc>
      </w:tr>
      <w:tr>
        <w:tc>
          <w:tcPr>
            <w:tcW w:type="pct" w:w="16%"/>
            <w:shd w:fill="FFFFFF" w:val="clear"/>
            <w:tcMar>
              <w:top w:type="dxa" w:w="100"/>
              <w:left w:type="dxa" w:w="120"/>
              <w:bottom w:type="dxa" w:w="100"/>
              <w:right w:type="dxa" w:w="120"/>
            </w:tcMar>
            <w:vAlign w:val="center"/>
          </w:tcPr>
          <w:p>
            <w:r>
              <w:rPr>
                <w:rFonts w:ascii="Calibri" w:cs="Calibri" w:eastAsia="Calibri" w:hAnsi="Calibri"/>
                <w:b/>
                <w:bCs/>
                <w:color w:val="0E7C7B"/>
                <w:sz w:val="19"/>
                <w:szCs w:val="19"/>
              </w:rPr>
              <w:t xml:space="preserve">2020–Q2 2022</w:t>
            </w:r>
          </w:p>
        </w:tc>
        <w:tc>
          <w:tcPr>
            <w:tcW w:type="pct" w:w="84%"/>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Stimulus payments, forbearance programs, and reduced spending drive delinquencies to a post-COVID trough — serious delinquency bottoms at 3.9% in Q2 2022.</w:t>
            </w:r>
          </w:p>
        </w:tc>
      </w:tr>
      <w:tr>
        <w:tc>
          <w:tcPr>
            <w:tcW w:type="pct" w:w="16%"/>
            <w:shd w:fill="EEF2F6" w:val="clear"/>
            <w:tcMar>
              <w:top w:type="dxa" w:w="100"/>
              <w:left w:type="dxa" w:w="120"/>
              <w:bottom w:type="dxa" w:w="100"/>
              <w:right w:type="dxa" w:w="120"/>
            </w:tcMar>
            <w:vAlign w:val="center"/>
          </w:tcPr>
          <w:p>
            <w:r>
              <w:rPr>
                <w:rFonts w:ascii="Calibri" w:cs="Calibri" w:eastAsia="Calibri" w:hAnsi="Calibri"/>
                <w:b/>
                <w:bCs/>
                <w:color w:val="0E7C7B"/>
                <w:sz w:val="19"/>
                <w:szCs w:val="19"/>
              </w:rPr>
              <w:t xml:space="preserve">2021–2023</w:t>
            </w:r>
          </w:p>
        </w:tc>
        <w:tc>
          <w:tcPr>
            <w:tcW w:type="pct" w:w="84%"/>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Vehicle prices and loan sizes rise sharply; research on these origination vintages finds they are more likely to become delinquent, with higher monthly payments — driven mainly by vehicle prices rather than interest rates — accounting for roughly 40% of the two-year delinquency increase since 2019. Over 62% of loans in default were originated in this 2021–2023 window.</w:t>
            </w:r>
          </w:p>
        </w:tc>
      </w:tr>
      <w:tr>
        <w:tc>
          <w:tcPr>
            <w:tcW w:type="pct" w:w="16%"/>
            <w:shd w:fill="FFFFFF" w:val="clear"/>
            <w:tcMar>
              <w:top w:type="dxa" w:w="100"/>
              <w:left w:type="dxa" w:w="120"/>
              <w:bottom w:type="dxa" w:w="100"/>
              <w:right w:type="dxa" w:w="120"/>
            </w:tcMar>
            <w:vAlign w:val="center"/>
          </w:tcPr>
          <w:p>
            <w:r>
              <w:rPr>
                <w:rFonts w:ascii="Calibri" w:cs="Calibri" w:eastAsia="Calibri" w:hAnsi="Calibri"/>
                <w:b/>
                <w:bCs/>
                <w:color w:val="0E7C7B"/>
                <w:sz w:val="19"/>
                <w:szCs w:val="19"/>
              </w:rPr>
              <w:t xml:space="preserve">2024–2025</w:t>
            </w:r>
          </w:p>
        </w:tc>
        <w:tc>
          <w:tcPr>
            <w:tcW w:type="pct" w:w="84%"/>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Subprime auto loan delinquency climbs to 6.6%, the highest level since tracking began; overall auto delinquencies surpass levels last seen during the 2008–10 financial crisis.</w:t>
            </w:r>
          </w:p>
        </w:tc>
      </w:tr>
      <w:tr>
        <w:tc>
          <w:tcPr>
            <w:tcW w:type="pct" w:w="16%"/>
            <w:shd w:fill="EEF2F6" w:val="clear"/>
            <w:tcMar>
              <w:top w:type="dxa" w:w="100"/>
              <w:left w:type="dxa" w:w="120"/>
              <w:bottom w:type="dxa" w:w="100"/>
              <w:right w:type="dxa" w:w="120"/>
            </w:tcMar>
            <w:vAlign w:val="center"/>
          </w:tcPr>
          <w:p>
            <w:r>
              <w:rPr>
                <w:rFonts w:ascii="Calibri" w:cs="Calibri" w:eastAsia="Calibri" w:hAnsi="Calibri"/>
                <w:b/>
                <w:bCs/>
                <w:color w:val="0E7C7B"/>
                <w:sz w:val="19"/>
                <w:szCs w:val="19"/>
              </w:rPr>
              <w:t xml:space="preserve">Q2 2026</w:t>
            </w:r>
          </w:p>
        </w:tc>
        <w:tc>
          <w:tcPr>
            <w:tcW w:type="pct" w:w="84%"/>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Serious auto loan delinquency (90+ days) reaches 5.5% of outstanding balances — a series record, 0.22 percentage points above the 2010 peak. Outstanding U.S. auto loan debt reaches a record $1.713 trillion. Aggregate household delinquency across all debt types stands at 4.7%, with early-stage (30+ day) auto delinquency running near 8%.</w:t>
            </w:r>
          </w:p>
        </w:tc>
      </w:tr>
    </w:tbl>
    <w:p>
      <w:pPr>
        <w:spacing w:after="160" w:line="288"/>
        <w:jc w:val="both"/>
      </w:pPr>
      <w:r>
        <w:rPr>
          <w:rFonts w:ascii="Calibri" w:cs="Calibri" w:eastAsia="Calibri" w:hAnsi="Calibri"/>
          <w:color w:val="222222"/>
          <w:sz w:val="21"/>
          <w:szCs w:val="21"/>
        </w:rPr>
        <w:t xml:space="preserve">The shape of the last decade is a wide U: a Great Recession peak, a long recovery and stabilization through the 2010s, a pandemic-driven trough, and then a sharp climb back to — and now past — the prior peak. What sets the current climb apart is that it happened during a period of low unemployment, which is the opposite of the classic delinquency-driver pattern and points squarely at affordability and loan structure rather than labor-market distress as the primary cause.</w:t>
      </w:r>
    </w:p>
    <w:p>
      <w:pPr>
        <w:pStyle w:val="Heading1"/>
        <w:pBdr>
          <w:bottom w:val="single" w:color="0E7C7B" w:sz="8" w:space="4"/>
        </w:pBdr>
        <w:spacing w:after="200" w:before="480"/>
      </w:pPr>
      <w:r>
        <w:rPr>
          <w:rFonts w:ascii="Calibri" w:cs="Calibri" w:eastAsia="Calibri" w:hAnsi="Calibri"/>
          <w:b/>
          <w:bCs/>
          <w:color w:val="0E7C7B"/>
        </w:rPr>
        <w:t xml:space="preserve">3.  </w:t>
      </w:r>
      <w:r>
        <w:rPr>
          <w:rFonts w:ascii="Calibri" w:cs="Calibri" w:eastAsia="Calibri" w:hAnsi="Calibri"/>
          <w:b/>
          <w:bCs/>
          <w:color w:val="1B2A4A"/>
          <w:sz w:val="30"/>
          <w:szCs w:val="30"/>
        </w:rPr>
        <w:t xml:space="preserve">Why This Cycle Reads Differently Than 2010</w:t>
      </w:r>
    </w:p>
    <w:p>
      <w:pPr>
        <w:spacing w:after="160" w:line="288"/>
        <w:jc w:val="both"/>
      </w:pPr>
      <w:r>
        <w:rPr>
          <w:rFonts w:ascii="Calibri" w:cs="Calibri" w:eastAsia="Calibri" w:hAnsi="Calibri"/>
          <w:color w:val="222222"/>
          <w:sz w:val="21"/>
          <w:szCs w:val="21"/>
        </w:rPr>
        <w:t xml:space="preserve">Three structural features distinguish the current wave from the Great Recession peak it has now surpassed:</w:t>
      </w:r>
    </w:p>
    <w:p>
      <w:pPr>
        <w:pStyle w:val="ListParagraph"/>
        <w:numPr>
          <w:ilvl w:val="0"/>
          <w:numId w:val="2"/>
        </w:numPr>
        <w:spacing w:after="100" w:line="276"/>
      </w:pPr>
      <w:r>
        <w:rPr>
          <w:rFonts w:ascii="Calibri" w:cs="Calibri" w:eastAsia="Calibri" w:hAnsi="Calibri"/>
          <w:color w:val="222222"/>
          <w:sz w:val="21"/>
          <w:szCs w:val="21"/>
        </w:rPr>
        <w:t xml:space="preserve">Vintage concentration: over 62% of auto loans currently in default were originated in the 2021–2023 window, a period of unusually high vehicle prices and debt-to-income ratios at origination — the risk was substantially underwritten into the loans themselves, not triggered afterward.</w:t>
      </w:r>
    </w:p>
    <w:p>
      <w:pPr>
        <w:pStyle w:val="ListParagraph"/>
        <w:numPr>
          <w:ilvl w:val="0"/>
          <w:numId w:val="2"/>
        </w:numPr>
        <w:spacing w:after="100" w:line="276"/>
      </w:pPr>
      <w:r>
        <w:rPr>
          <w:rFonts w:ascii="Calibri" w:cs="Calibri" w:eastAsia="Calibri" w:hAnsi="Calibri"/>
          <w:color w:val="222222"/>
          <w:sz w:val="21"/>
          <w:szCs w:val="21"/>
        </w:rPr>
        <w:t xml:space="preserve">Payment burden over rate: higher monthly payments, driven mainly by elevated vehicle prices rather than interest-rate increases, account for roughly 40% of the two-year rise in delinquency — an affordability problem embedded at the point of sale.</w:t>
      </w:r>
    </w:p>
    <w:p>
      <w:pPr>
        <w:pStyle w:val="ListParagraph"/>
        <w:numPr>
          <w:ilvl w:val="0"/>
          <w:numId w:val="2"/>
        </w:numPr>
        <w:spacing w:after="100" w:line="276"/>
      </w:pPr>
      <w:r>
        <w:rPr>
          <w:rFonts w:ascii="Calibri" w:cs="Calibri" w:eastAsia="Calibri" w:hAnsi="Calibri"/>
          <w:color w:val="222222"/>
          <w:sz w:val="21"/>
          <w:szCs w:val="21"/>
        </w:rPr>
        <w:t xml:space="preserve">A widening base, not just a subprime story: TransUnion's 2025 credit industry data shows 60-plus-day delinquencies rising across prime and near-prime segments, not only subprime — a broader signal than prior cycles, where distress was more concentrated at the bottom of the credit spectrum.</w:t>
      </w:r>
    </w:p>
    <w:p>
      <w:pPr>
        <w:spacing w:after="160" w:line="288"/>
        <w:jc w:val="both"/>
      </w:pPr>
      <w:r>
        <w:rPr>
          <w:rFonts w:ascii="Calibri" w:cs="Calibri" w:eastAsia="Calibri" w:hAnsi="Calibri"/>
          <w:color w:val="222222"/>
          <w:sz w:val="21"/>
          <w:szCs w:val="21"/>
        </w:rPr>
        <w:t xml:space="preserve">This matters for how a lender reads its own portfolio: a book that looks well-underwritten by traditional score-band standards can still be carrying substantial embedded risk if it is concentrated in the 2021–2023 origination window.</w:t>
      </w:r>
    </w:p>
    <w:p>
      <w:pPr>
        <w:pStyle w:val="Heading1"/>
        <w:pBdr>
          <w:bottom w:val="single" w:color="0E7C7B" w:sz="8" w:space="4"/>
        </w:pBdr>
        <w:spacing w:after="200" w:before="480"/>
      </w:pPr>
      <w:r>
        <w:rPr>
          <w:rFonts w:ascii="Calibri" w:cs="Calibri" w:eastAsia="Calibri" w:hAnsi="Calibri"/>
          <w:b/>
          <w:bCs/>
          <w:color w:val="0E7C7B"/>
        </w:rPr>
        <w:t xml:space="preserve">4.  </w:t>
      </w:r>
      <w:r>
        <w:rPr>
          <w:rFonts w:ascii="Calibri" w:cs="Calibri" w:eastAsia="Calibri" w:hAnsi="Calibri"/>
          <w:b/>
          <w:bCs/>
          <w:color w:val="1B2A4A"/>
          <w:sz w:val="30"/>
          <w:szCs w:val="30"/>
        </w:rPr>
        <w:t xml:space="preserve">Geopolitical Tensions: The Forward-Looking Risk Layer</w:t>
      </w:r>
    </w:p>
    <w:p>
      <w:pPr>
        <w:spacing w:after="160" w:line="288"/>
        <w:jc w:val="both"/>
      </w:pPr>
      <w:r>
        <w:rPr>
          <w:rFonts w:ascii="Calibri" w:cs="Calibri" w:eastAsia="Calibri" w:hAnsi="Calibri"/>
          <w:color w:val="222222"/>
          <w:sz w:val="21"/>
          <w:szCs w:val="21"/>
        </w:rPr>
        <w:t xml:space="preserve">Industry and credit-market commentary through 2026 increasingly names geopolitical factors as a direct, near-term influence on auto finance performance — not a distant macro risk. Analysts have specifically flagged tariff negotiations and regional conflict, including the effect of Middle East tensions on oil prices and consumer sentiment, as clouding the 2026 auto finance outlook alongside affordability pressure that was already elevated.</w:t>
      </w:r>
    </w:p>
    <w:tbl>
      <w:tblPr>
        <w:tblW w:type="pct" w:w="100%"/>
        <w:tblBorders>
          <w:top w:val="single" w:color="C9D2DC" w:sz="4"/>
          <w:left w:val="single" w:color="C9D2DC" w:sz="4"/>
          <w:bottom w:val="single" w:color="C9D2DC" w:sz="4"/>
          <w:right w:val="single" w:color="C9D2DC" w:sz="4"/>
          <w:insideH w:val="single" w:color="C9D2DC" w:sz="4"/>
          <w:insideV w:val="single" w:color="C9D2DC" w:sz="4"/>
        </w:tblBorders>
      </w:tblPr>
      <w:tblGrid>
        <w:gridCol w:w="2600"/>
        <w:gridCol w:w="3900"/>
        <w:gridCol w:w="3900"/>
      </w:tblGrid>
      <w:tr>
        <w:trPr>
          <w:tblHeader/>
        </w:trPr>
        <w:tc>
          <w:tcPr>
            <w:tcW w:type="pct" w:w="24%"/>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Geopolitical driver</w:t>
            </w:r>
          </w:p>
        </w:tc>
        <w:tc>
          <w:tcPr>
            <w:tcW w:type="pct" w:w="38%"/>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Transmission channel</w:t>
            </w:r>
          </w:p>
        </w:tc>
        <w:tc>
          <w:tcPr>
            <w:tcW w:type="pct" w:w="38%"/>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Portfolio effect</w:t>
            </w:r>
          </w:p>
        </w:tc>
      </w:tr>
      <w:tr>
        <w:tc>
          <w:tcPr>
            <w:tcW w:type="pct" w:w="24%"/>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Tariffs on vehicles &amp; parts</w:t>
            </w:r>
          </w:p>
        </w:tc>
        <w:tc>
          <w:tcPr>
            <w:tcW w:type="pct" w:w="38%"/>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Raises new and used vehicle prices, and the cost of repairs and replacement parts</w:t>
            </w:r>
          </w:p>
        </w:tc>
        <w:tc>
          <w:tcPr>
            <w:tcW w:type="pct" w:w="38%"/>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Pushes loan sizes and monthly payments higher on new originations, and raises the cost of keeping an existing vehicle running — both feed the affordability-driven delinquency channel already dominant in this cycle.</w:t>
            </w:r>
          </w:p>
        </w:tc>
      </w:tr>
      <w:tr>
        <w:tc>
          <w:tcPr>
            <w:tcW w:type="pct" w:w="24%"/>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Regional conflict / oil-price shocks</w:t>
            </w:r>
          </w:p>
        </w:tc>
        <w:tc>
          <w:tcPr>
            <w:tcW w:type="pct" w:w="38%"/>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Higher fuel and energy costs; disrupted consumer sentiment and spending</w:t>
            </w:r>
          </w:p>
        </w:tc>
        <w:tc>
          <w:tcPr>
            <w:tcW w:type="pct" w:w="38%"/>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Squeezes discretionary income for commuting-dependent borrowers first — the same households with the least payment buffer.</w:t>
            </w:r>
          </w:p>
        </w:tc>
      </w:tr>
      <w:tr>
        <w:tc>
          <w:tcPr>
            <w:tcW w:type="pct" w:w="24%"/>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Supply-chain disruption</w:t>
            </w:r>
          </w:p>
        </w:tc>
        <w:tc>
          <w:tcPr>
            <w:tcW w:type="pct" w:w="38%"/>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Vehicle and parts availability constraints; production cost pass-through</w:t>
            </w:r>
          </w:p>
        </w:tc>
        <w:tc>
          <w:tcPr>
            <w:tcW w:type="pct" w:w="38%"/>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Elevates used-vehicle values (raising loan-to-value ratios on new originations) while limiting supply-driven price relief.</w:t>
            </w:r>
          </w:p>
        </w:tc>
      </w:tr>
      <w:tr>
        <w:tc>
          <w:tcPr>
            <w:tcW w:type="pct" w:w="24%"/>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Trade-policy uncertainty</w:t>
            </w:r>
          </w:p>
        </w:tc>
        <w:tc>
          <w:tcPr>
            <w:tcW w:type="pct" w:w="38%"/>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Dampens consumer and business confidence independent of any realized price change</w:t>
            </w:r>
          </w:p>
        </w:tc>
        <w:tc>
          <w:tcPr>
            <w:tcW w:type="pct" w:w="38%"/>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Slows discretionary big-ticket purchases and can pull forward originations ahead of anticipated tariffs, followed by a demand air-pocket — a pattern already observed around 2025 tariff announcements.</w:t>
            </w:r>
          </w:p>
        </w:tc>
      </w:tr>
      <w:tr>
        <w:tc>
          <w:tcPr>
            <w:tcW w:type="pct" w:w="24%"/>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Sanctions &amp; cross-border financial friction</w:t>
            </w:r>
          </w:p>
        </w:tc>
        <w:tc>
          <w:tcPr>
            <w:tcW w:type="pct" w:w="38%"/>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Complicates funding and securitization for lenders with cross-border capital sources</w:t>
            </w:r>
          </w:p>
        </w:tc>
        <w:tc>
          <w:tcPr>
            <w:tcW w:type="pct" w:w="38%"/>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An indirect but real channel: funding-cost volatility can compress lender margin at the same time portfolio losses are rising, a double squeeze on capital planning.</w:t>
            </w:r>
          </w:p>
        </w:tc>
      </w:tr>
    </w:tbl>
    <w:p>
      <w:pPr>
        <w:spacing w:after="160" w:line="288"/>
        <w:jc w:val="both"/>
      </w:pPr>
      <w:r>
        <w:rPr>
          <w:rFonts w:ascii="Calibri" w:cs="Calibri" w:eastAsia="Calibri" w:hAnsi="Calibri"/>
          <w:color w:val="222222"/>
          <w:sz w:val="21"/>
          <w:szCs w:val="21"/>
        </w:rPr>
        <w:t xml:space="preserve">The compounding risk is what distinguishes this from a normal macro headwind: a tariff-driven rise in vehicle and parts prices raises the cost of the asset being financed at the same time an oil-price shock raises the cost of owning it — hitting the same commuting-dependent, budget-constrained borrowers from two directions simultaneously, and doing so on top of an already-elevated affordability baseline rather than a stable one.</w:t>
      </w:r>
    </w:p>
    <w:tbl>
      <w:tblPr>
        <w:tblW w:type="pct" w:w="100%"/>
        <w:tblBorders>
          <w:top w:val="single" w:color="B4720A" w:sz="6"/>
          <w:left w:val="single" w:color="B4720A" w:sz="6"/>
          <w:bottom w:val="single" w:color="B4720A" w:sz="6"/>
          <w:right w:val="single" w:color="B4720A" w:sz="6"/>
          <w:insideH w:val="none" w:color="FFFFFF" w:sz="0"/>
          <w:insideV w:val="none" w:color="FFFFFF" w:sz="0"/>
        </w:tblBorders>
      </w:tblPr>
      <w:tblGrid>
        <w:gridCol w:w="100"/>
      </w:tblGrid>
      <w:tr>
        <w:tc>
          <w:tcPr>
            <w:shd w:fill="EEF2F6" w:val="clear"/>
            <w:tcMar>
              <w:top w:type="dxa" w:w="160"/>
              <w:left w:type="dxa" w:w="200"/>
              <w:bottom w:type="dxa" w:w="160"/>
              <w:right w:type="dxa" w:w="200"/>
            </w:tcMar>
          </w:tcPr>
          <w:p>
            <w:pPr>
              <w:spacing w:after="60"/>
            </w:pPr>
            <w:r>
              <w:rPr>
                <w:rFonts w:ascii="Calibri" w:cs="Calibri" w:eastAsia="Calibri" w:hAnsi="Calibri"/>
                <w:b/>
                <w:bCs/>
                <w:color w:val="B4720A"/>
                <w:sz w:val="18"/>
                <w:szCs w:val="18"/>
              </w:rPr>
              <w:t xml:space="preserve">A PULL-FORWARD PATTERN ALREADY OBSERVED</w:t>
            </w:r>
          </w:p>
          <w:p>
            <w:pPr>
              <w:spacing w:after="0"/>
            </w:pPr>
            <w:r>
              <w:rPr>
                <w:rFonts w:ascii="Calibri" w:cs="Calibri" w:eastAsia="Calibri" w:hAnsi="Calibri"/>
                <w:i/>
                <w:iCs/>
                <w:color w:val="1B2A4A"/>
                <w:sz w:val="21"/>
                <w:szCs w:val="21"/>
              </w:rPr>
              <w:t xml:space="preserve">Consumer credit data from early 2025 showed auto originations surging as buyers pulled purchases forward ahead of anticipated tariffs — followed by an expected demand air-pocket once that pulled-forward demand was exhausted. That volatility pattern, sharp origination spikes followed by drop-offs, is itself a portfolio risk signal worth tracking as trade policy continues to shift through 2026.</w:t>
            </w:r>
          </w:p>
        </w:tc>
      </w:tr>
    </w:tbl>
    <w:p>
      <w:pPr>
        <w:pStyle w:val="Heading1"/>
        <w:pBdr>
          <w:bottom w:val="single" w:color="0E7C7B" w:sz="8" w:space="4"/>
        </w:pBdr>
        <w:spacing w:after="200" w:before="480"/>
      </w:pPr>
      <w:r>
        <w:rPr>
          <w:rFonts w:ascii="Calibri" w:cs="Calibri" w:eastAsia="Calibri" w:hAnsi="Calibri"/>
          <w:b/>
          <w:bCs/>
          <w:color w:val="0E7C7B"/>
        </w:rPr>
        <w:t xml:space="preserve">5.  </w:t>
      </w:r>
      <w:r>
        <w:rPr>
          <w:rFonts w:ascii="Calibri" w:cs="Calibri" w:eastAsia="Calibri" w:hAnsi="Calibri"/>
          <w:b/>
          <w:bCs/>
          <w:color w:val="1B2A4A"/>
          <w:sz w:val="30"/>
          <w:szCs w:val="30"/>
        </w:rPr>
        <w:t xml:space="preserve">Factors Influencing Borrower Behavior</w:t>
      </w:r>
    </w:p>
    <w:p>
      <w:pPr>
        <w:spacing w:after="160" w:line="288"/>
        <w:jc w:val="both"/>
      </w:pPr>
      <w:r>
        <w:rPr>
          <w:rFonts w:ascii="Calibri" w:cs="Calibri" w:eastAsia="Calibri" w:hAnsi="Calibri"/>
          <w:color w:val="222222"/>
          <w:sz w:val="21"/>
          <w:szCs w:val="21"/>
        </w:rPr>
        <w:t xml:space="preserve">Delinquency is rarely explained by a single cause. The factors below span macroeconomic conditions, loan structure, geopolitics, borrower behavior, and policy — and in the current cycle, several are active simultaneously rather than one dominant driver at a time.</w:t>
      </w:r>
    </w:p>
    <w:tbl>
      <w:tblPr>
        <w:tblW w:type="pct" w:w="100%"/>
        <w:tblBorders>
          <w:top w:val="single" w:color="C9D2DC" w:sz="4"/>
          <w:left w:val="single" w:color="C9D2DC" w:sz="4"/>
          <w:bottom w:val="single" w:color="C9D2DC" w:sz="4"/>
          <w:right w:val="single" w:color="C9D2DC" w:sz="4"/>
          <w:insideH w:val="single" w:color="C9D2DC" w:sz="4"/>
          <w:insideV w:val="single" w:color="C9D2DC" w:sz="4"/>
        </w:tblBorders>
      </w:tblPr>
      <w:tblGrid>
        <w:gridCol w:w="2000"/>
        <w:gridCol w:w="3300"/>
        <w:gridCol w:w="5200"/>
      </w:tblGrid>
      <w:tr>
        <w:trPr>
          <w:tblHeader/>
        </w:trPr>
        <w:tc>
          <w:tcPr>
            <w:tcW w:type="pct" w:w="18%"/>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Category</w:t>
            </w:r>
          </w:p>
        </w:tc>
        <w:tc>
          <w:tcPr>
            <w:tcW w:type="pct" w:w="32%"/>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Factors</w:t>
            </w:r>
          </w:p>
        </w:tc>
        <w:tc>
          <w:tcPr>
            <w:tcW w:type="pct" w:w="50%"/>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How they show up in delinquency</w:t>
            </w:r>
          </w:p>
        </w:tc>
      </w:tr>
      <w:tr>
        <w:tc>
          <w:tcPr>
            <w:tcW w:type="pct" w:w="18%"/>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Macroeconomic</w:t>
            </w:r>
          </w:p>
        </w:tc>
        <w:tc>
          <w:tcPr>
            <w:tcW w:type="pct" w:w="32%"/>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Unemployment and labor-market softening; inflation eroding real income; interest-rate levels; consumer sentiment</w:t>
            </w:r>
          </w:p>
        </w:tc>
        <w:tc>
          <w:tcPr>
            <w:tcW w:type="pct" w:w="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The clearest historical driver — income shocks and rate spikes translate directly into missed payments, with a lag of one to two quarters after labor-market deterioration begins.</w:t>
            </w:r>
          </w:p>
        </w:tc>
      </w:tr>
      <w:tr>
        <w:tc>
          <w:tcPr>
            <w:tcW w:type="pct" w:w="18%"/>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Affordability &amp; loan structure</w:t>
            </w:r>
          </w:p>
        </w:tc>
        <w:tc>
          <w:tcPr>
            <w:tcW w:type="pct" w:w="32%"/>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Elevated vehicle prices; longer loan terms (72–84 months); negative equity carried into new loans; rising monthly payment burden relative to income</w:t>
            </w:r>
          </w:p>
        </w:tc>
        <w:tc>
          <w:tcPr>
            <w:tcW w:type="pct" w:w="50%"/>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Now the dominant driver of the current cycle: research attributes roughly 40% of the recent two-year delinquency increase to higher payments from vehicle prices, not rate moves — a structural affordability problem rather than a cyclical shock.</w:t>
            </w:r>
          </w:p>
        </w:tc>
      </w:tr>
      <w:tr>
        <w:tc>
          <w:tcPr>
            <w:tcW w:type="pct" w:w="18%"/>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Geopolitical &amp; trade</w:t>
            </w:r>
          </w:p>
        </w:tc>
        <w:tc>
          <w:tcPr>
            <w:tcW w:type="pct" w:w="32%"/>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Tariffs on vehicles and parts; supply-chain disruption; energy-price shocks from regional conflict; trade-policy uncertainty dampening consumer confidence</w:t>
            </w:r>
          </w:p>
        </w:tc>
        <w:tc>
          <w:tcPr>
            <w:tcW w:type="pct" w:w="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Tariff-driven vehicle and parts price increases raise the cost of the asset being financed and of maintaining it; conflict-driven oil-price spikes raise the cost of ownership and squeeze discretionary income simultaneously — a compounding rather than isolated effect.</w:t>
            </w:r>
          </w:p>
        </w:tc>
      </w:tr>
      <w:tr>
        <w:tc>
          <w:tcPr>
            <w:tcW w:type="pct" w:w="18%"/>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Behavioral &amp; social</w:t>
            </w:r>
          </w:p>
        </w:tc>
        <w:tc>
          <w:tcPr>
            <w:tcW w:type="pct" w:w="32%"/>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Buy-now-pay-later obligations stacked alongside auto payments (“phantom debt” invisible to traditional underwriting); gig-economy income volatility; minimum-payment-only behavior on revolving debt</w:t>
            </w:r>
          </w:p>
        </w:tc>
        <w:tc>
          <w:tcPr>
            <w:tcW w:type="pct" w:w="50%"/>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Increases the number of competing obligations a household must prioritize when income is squeezed, and payment prioritization research shows auto loans are typically paid after credit cards but before eventual default — auto delinquency signals other debts are already stressed.</w:t>
            </w:r>
          </w:p>
        </w:tc>
      </w:tr>
      <w:tr>
        <w:tc>
          <w:tcPr>
            <w:tcW w:type="pct" w:w="18%"/>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Regulatory &amp; policy</w:t>
            </w:r>
          </w:p>
        </w:tc>
        <w:tc>
          <w:tcPr>
            <w:tcW w:type="pct" w:w="32%"/>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Resumption of federal student loan collections and credit reporting; state-level repossession and cure-period changes; shifts in federal supervisory posture</w:t>
            </w:r>
          </w:p>
        </w:tc>
        <w:tc>
          <w:tcPr>
            <w:tcW w:type="pct" w:w="5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Student loan collection resuming has pulled millions of borrowers back into active repayment and reporting, competing directly with auto payments for the same household cash flow.</w:t>
            </w:r>
          </w:p>
        </w:tc>
      </w:tr>
      <w:tr>
        <w:tc>
          <w:tcPr>
            <w:tcW w:type="pct" w:w="18%"/>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Segment-specific</w:t>
            </w:r>
          </w:p>
        </w:tc>
        <w:tc>
          <w:tcPr>
            <w:tcW w:type="pct" w:w="32%"/>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Buy-Here-Pay-Here (BHPH) concentration in subprime credit; regional economic dependence on tariff-exposed industries</w:t>
            </w:r>
          </w:p>
        </w:tc>
        <w:tc>
          <w:tcPr>
            <w:tcW w:type="pct" w:w="50%"/>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BHPH delinquency and repossession rates run several times higher than traditional financing — nearly 17 times more likely to be in active repossession status per Federal Reserve research — making segment mix a first-order portfolio risk driver.</w:t>
            </w:r>
          </w:p>
        </w:tc>
      </w:tr>
    </w:tbl>
    <w:p>
      <w:pPr>
        <w:pStyle w:val="Heading1"/>
        <w:pBdr>
          <w:bottom w:val="single" w:color="0E7C7B" w:sz="8" w:space="4"/>
        </w:pBdr>
        <w:spacing w:after="200" w:before="480"/>
      </w:pPr>
      <w:r>
        <w:rPr>
          <w:rFonts w:ascii="Calibri" w:cs="Calibri" w:eastAsia="Calibri" w:hAnsi="Calibri"/>
          <w:b/>
          <w:bCs/>
          <w:color w:val="0E7C7B"/>
        </w:rPr>
        <w:t xml:space="preserve">6.  </w:t>
      </w:r>
      <w:r>
        <w:rPr>
          <w:rFonts w:ascii="Calibri" w:cs="Calibri" w:eastAsia="Calibri" w:hAnsi="Calibri"/>
          <w:b/>
          <w:bCs/>
          <w:color w:val="1B2A4A"/>
          <w:sz w:val="30"/>
          <w:szCs w:val="30"/>
        </w:rPr>
        <w:t xml:space="preserve">How Asset Finance Organizations Need to Prepare</w:t>
      </w:r>
    </w:p>
    <w:p>
      <w:pPr>
        <w:spacing w:after="160" w:line="288"/>
        <w:jc w:val="both"/>
      </w:pPr>
      <w:r>
        <w:rPr>
          <w:rFonts w:ascii="Calibri" w:cs="Calibri" w:eastAsia="Calibri" w:hAnsi="Calibri"/>
          <w:color w:val="222222"/>
          <w:sz w:val="21"/>
          <w:szCs w:val="21"/>
        </w:rPr>
        <w:t xml:space="preserve">The organizations managing this cycle most effectively are not the ones with the lowest historical loss rates — they are the ones that treat vintage risk, geopolitical exposure, and borrower affordability as inputs to active portfolio management rather than a quarterly reporting exercise. Eight capabilities stand out as the practical response to the risk picture above.</w:t>
      </w:r>
    </w:p>
    <w:tbl>
      <w:tblPr>
        <w:tblW w:type="pct" w:w="100%"/>
        <w:tblBorders>
          <w:top w:val="single" w:color="C9D2DC" w:sz="4"/>
          <w:left w:val="single" w:color="C9D2DC" w:sz="4"/>
          <w:bottom w:val="single" w:color="C9D2DC" w:sz="4"/>
          <w:right w:val="single" w:color="C9D2DC" w:sz="4"/>
          <w:insideH w:val="single" w:color="C9D2DC" w:sz="4"/>
          <w:insideV w:val="single" w:color="C9D2DC" w:sz="4"/>
        </w:tblBorders>
      </w:tblPr>
      <w:tblGrid>
        <w:gridCol w:w="2000"/>
        <w:gridCol w:w="4200"/>
        <w:gridCol w:w="3800"/>
      </w:tblGrid>
      <w:tr>
        <w:trPr>
          <w:tblHeader/>
        </w:trPr>
        <w:tc>
          <w:tcPr>
            <w:tcW w:type="pct" w:w="20%"/>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Capability</w:t>
            </w:r>
          </w:p>
        </w:tc>
        <w:tc>
          <w:tcPr>
            <w:tcW w:type="pct" w:w="42%"/>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What it means in practice</w:t>
            </w:r>
          </w:p>
        </w:tc>
        <w:tc>
          <w:tcPr>
            <w:tcW w:type="pct" w:w="38%"/>
            <w:shd w:fill="1B2A4A"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Why it matters now</w:t>
            </w:r>
          </w:p>
        </w:tc>
      </w:tr>
      <w:tr>
        <w:tc>
          <w:tcPr>
            <w:tcW w:type="pct" w:w="20%"/>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Vintage-aware risk segmentation</w:t>
            </w:r>
          </w:p>
        </w:tc>
        <w:tc>
          <w:tcPr>
            <w:tcW w:type="pct" w:w="42%"/>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Track and price risk by origination vintage, not just static credit score — 2021–2023 vintages carry structurally higher risk than the loans around them.</w:t>
            </w:r>
          </w:p>
        </w:tc>
        <w:tc>
          <w:tcPr>
            <w:tcW w:type="pct" w:w="38%"/>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Official research directly attributes today's elevated delinquency to specific origination vintages; a static score-band view will miss this.</w:t>
            </w:r>
          </w:p>
        </w:tc>
      </w:tr>
      <w:tr>
        <w:tc>
          <w:tcPr>
            <w:tcW w:type="pct" w:w="20%"/>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Trended, exposure-weighted analytics</w:t>
            </w:r>
          </w:p>
        </w:tc>
        <w:tc>
          <w:tcPr>
            <w:tcW w:type="pct" w:w="42%"/>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Incorporate payment-history trends, loan structure, and vehicle attributes — not just point-in-time default probability — into pricing and servicing decisions.</w:t>
            </w:r>
          </w:p>
        </w:tc>
        <w:tc>
          <w:tcPr>
            <w:tcW w:type="pct" w:w="38%"/>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Advanced analytics using broader data sources have been shown to meaningfully improve early identification of high-risk accounts ahead of missed payments.</w:t>
            </w:r>
          </w:p>
        </w:tc>
      </w:tr>
      <w:tr>
        <w:tc>
          <w:tcPr>
            <w:tcW w:type="pct" w:w="20%"/>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Geopolitical scenario stress-testing</w:t>
            </w:r>
          </w:p>
        </w:tc>
        <w:tc>
          <w:tcPr>
            <w:tcW w:type="pct" w:w="42%"/>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Model portfolio impact of specific triggers — a tariff escalation, an oil-price shock, a trade-policy shift — rather than only generic macro stress scenarios.</w:t>
            </w:r>
          </w:p>
        </w:tc>
        <w:tc>
          <w:tcPr>
            <w:tcW w:type="pct" w:w="38%"/>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Tariffs and regional conflict are already cited by lenders and rating agencies as active 2026 risk factors clouding the outlook, not tail risks.</w:t>
            </w:r>
          </w:p>
        </w:tc>
      </w:tr>
      <w:tr>
        <w:tc>
          <w:tcPr>
            <w:tcW w:type="pct" w:w="20%"/>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Early, proactive borrower engagement</w:t>
            </w:r>
          </w:p>
        </w:tc>
        <w:tc>
          <w:tcPr>
            <w:tcW w:type="pct" w:w="42%"/>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Contact at-risk borrowers before 30-day delinquency using predictive triggers, offering hardship accommodations and payment restructuring ahead of repossession.</w:t>
            </w:r>
          </w:p>
        </w:tc>
        <w:tc>
          <w:tcPr>
            <w:tcW w:type="pct" w:w="38%"/>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The CFPB's most-cited supervisory finding is repossession after a cure or modification — process discipline here is both a loss-mitigation and compliance control.</w:t>
            </w:r>
          </w:p>
        </w:tc>
      </w:tr>
      <w:tr>
        <w:tc>
          <w:tcPr>
            <w:tcW w:type="pct" w:w="20%"/>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Segment concentration monitoring</w:t>
            </w:r>
          </w:p>
        </w:tc>
        <w:tc>
          <w:tcPr>
            <w:tcW w:type="pct" w:w="42%"/>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Track portfolio concentration in BHPH-adjacent, subprime, and tariff-exposed regional or occupational segments as an explicit risk metric.</w:t>
            </w:r>
          </w:p>
        </w:tc>
        <w:tc>
          <w:tcPr>
            <w:tcW w:type="pct" w:w="38%"/>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These segments show delinquency and repossession rates several multiples higher than the portfolio average and are the first to show geopolitical stress.</w:t>
            </w:r>
          </w:p>
        </w:tc>
      </w:tr>
      <w:tr>
        <w:tc>
          <w:tcPr>
            <w:tcW w:type="pct" w:w="20%"/>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Recovery &amp; collateral capacity planning</w:t>
            </w:r>
          </w:p>
        </w:tc>
        <w:tc>
          <w:tcPr>
            <w:tcW w:type="pct" w:w="42%"/>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Scale repossession, remarketing, and collections capacity — including third-party agent networks — ahead of projected volume, not reactively.</w:t>
            </w:r>
          </w:p>
        </w:tc>
        <w:tc>
          <w:tcPr>
            <w:tcW w:type="pct" w:w="38%"/>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Serious delinquency at a series record means recovery volume is already elevated; under-resourced recovery operations directly increase loss severity.</w:t>
            </w:r>
          </w:p>
        </w:tc>
      </w:tr>
      <w:tr>
        <w:tc>
          <w:tcPr>
            <w:tcW w:type="pct" w:w="20%"/>
            <w:shd w:fill="FFFFFF"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Funding and liquidity buffers</w:t>
            </w:r>
          </w:p>
        </w:tc>
        <w:tc>
          <w:tcPr>
            <w:tcW w:type="pct" w:w="42%"/>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Maintain diversified funding sources and stress-tested liquidity buffers against a scenario of simultaneously rising losses and tightening capital markets.</w:t>
            </w:r>
          </w:p>
        </w:tc>
        <w:tc>
          <w:tcPr>
            <w:tcW w:type="pct" w:w="38%"/>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Geopolitical shocks have historically hit portfolio losses and funding costs at the same time, not sequentially — buffers built for one risk alone are insufficient.</w:t>
            </w:r>
          </w:p>
        </w:tc>
      </w:tr>
      <w:tr>
        <w:tc>
          <w:tcPr>
            <w:tcW w:type="pct" w:w="20%"/>
            <w:shd w:fill="EEF2F6" w:val="clear"/>
            <w:tcMar>
              <w:top w:type="dxa" w:w="100"/>
              <w:left w:type="dxa" w:w="120"/>
              <w:bottom w:type="dxa" w:w="100"/>
              <w:right w:type="dxa" w:w="120"/>
            </w:tcMar>
            <w:vAlign w:val="center"/>
          </w:tcPr>
          <w:p>
            <w:r>
              <w:rPr>
                <w:rFonts w:ascii="Calibri" w:cs="Calibri" w:eastAsia="Calibri" w:hAnsi="Calibri"/>
                <w:b/>
                <w:bCs/>
                <w:color w:val="0E7C7B"/>
                <w:sz w:val="18"/>
                <w:szCs w:val="18"/>
              </w:rPr>
              <w:t xml:space="preserve">Compliance-integrated automation</w:t>
            </w:r>
          </w:p>
        </w:tc>
        <w:tc>
          <w:tcPr>
            <w:tcW w:type="pct" w:w="42%"/>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Build audit trail, right-party-contact confirmation, and hardship documentation directly into collections and repossession workflows.</w:t>
            </w:r>
          </w:p>
        </w:tc>
        <w:tc>
          <w:tcPr>
            <w:tcW w:type="pct" w:w="38%"/>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8"/>
                <w:szCs w:val="18"/>
              </w:rPr>
              <w:t xml:space="preserve">Scaling collections activity in a stressed environment without built-in compliance controls is how operational risk becomes regulatory and reputational risk.</w:t>
            </w:r>
          </w:p>
        </w:tc>
      </w:tr>
    </w:tbl>
    <w:p>
      <w:pPr>
        <w:pStyle w:val="Heading1"/>
        <w:pBdr>
          <w:bottom w:val="single" w:color="0E7C7B" w:sz="8" w:space="4"/>
        </w:pBdr>
        <w:spacing w:after="200" w:before="480"/>
      </w:pPr>
      <w:r>
        <w:rPr>
          <w:rFonts w:ascii="Calibri" w:cs="Calibri" w:eastAsia="Calibri" w:hAnsi="Calibri"/>
          <w:b/>
          <w:bCs/>
          <w:color w:val="0E7C7B"/>
        </w:rPr>
        <w:t xml:space="preserve">7.  </w:t>
      </w:r>
      <w:r>
        <w:rPr>
          <w:rFonts w:ascii="Calibri" w:cs="Calibri" w:eastAsia="Calibri" w:hAnsi="Calibri"/>
          <w:b/>
          <w:bCs/>
          <w:color w:val="1B2A4A"/>
          <w:sz w:val="30"/>
          <w:szCs w:val="30"/>
        </w:rPr>
        <w:t xml:space="preserve">Recommendations</w:t>
      </w:r>
    </w:p>
    <w:p>
      <w:pPr>
        <w:pStyle w:val="ListParagraph"/>
        <w:numPr>
          <w:ilvl w:val="0"/>
          <w:numId w:val="2"/>
        </w:numPr>
        <w:spacing w:after="100" w:line="276"/>
      </w:pPr>
      <w:r>
        <w:rPr>
          <w:rFonts w:ascii="Calibri" w:cs="Calibri" w:eastAsia="Calibri" w:hAnsi="Calibri"/>
          <w:color w:val="222222"/>
          <w:sz w:val="21"/>
          <w:szCs w:val="21"/>
        </w:rPr>
        <w:t xml:space="preserve">Re-segment the existing portfolio by origination vintage before the next planning cycle — 2021–2023 originations should be risk-managed as a distinct cohort, not folded into standard score-band reporting.</w:t>
      </w:r>
    </w:p>
    <w:p>
      <w:pPr>
        <w:pStyle w:val="ListParagraph"/>
        <w:numPr>
          <w:ilvl w:val="0"/>
          <w:numId w:val="2"/>
        </w:numPr>
        <w:spacing w:after="100" w:line="276"/>
      </w:pPr>
      <w:r>
        <w:rPr>
          <w:rFonts w:ascii="Calibri" w:cs="Calibri" w:eastAsia="Calibri" w:hAnsi="Calibri"/>
          <w:color w:val="222222"/>
          <w:sz w:val="21"/>
          <w:szCs w:val="21"/>
        </w:rPr>
        <w:t xml:space="preserve">Build at least two named geopolitical stress scenarios — e.g., a tariff escalation on vehicles/parts and an oil-price shock from regional conflict — into standard portfolio stress-testing, rather than relying on generic macro-downturn scenarios alone.</w:t>
      </w:r>
    </w:p>
    <w:p>
      <w:pPr>
        <w:pStyle w:val="ListParagraph"/>
        <w:numPr>
          <w:ilvl w:val="0"/>
          <w:numId w:val="2"/>
        </w:numPr>
        <w:spacing w:after="100" w:line="276"/>
      </w:pPr>
      <w:r>
        <w:rPr>
          <w:rFonts w:ascii="Calibri" w:cs="Calibri" w:eastAsia="Calibri" w:hAnsi="Calibri"/>
          <w:color w:val="222222"/>
          <w:sz w:val="21"/>
          <w:szCs w:val="21"/>
        </w:rPr>
        <w:t xml:space="preserve">Invest in trended, exposure-weighted analytics now; the predictive-power gains cited by industry research (10–20 GINI points from richer data) translate directly into earlier, cheaper intervention versus late-stage collections and repossession.</w:t>
      </w:r>
    </w:p>
    <w:p>
      <w:pPr>
        <w:pStyle w:val="ListParagraph"/>
        <w:numPr>
          <w:ilvl w:val="0"/>
          <w:numId w:val="2"/>
        </w:numPr>
        <w:spacing w:after="100" w:line="276"/>
      </w:pPr>
      <w:r>
        <w:rPr>
          <w:rFonts w:ascii="Calibri" w:cs="Calibri" w:eastAsia="Calibri" w:hAnsi="Calibri"/>
          <w:color w:val="222222"/>
          <w:sz w:val="21"/>
          <w:szCs w:val="21"/>
        </w:rPr>
        <w:t xml:space="preserve">Treat BHPH-adjacent and deep-subprime concentration as an explicit, monitored risk metric given repossession rates running many multiples above traditional financing in Federal Reserve research.</w:t>
      </w:r>
    </w:p>
    <w:p>
      <w:pPr>
        <w:pStyle w:val="ListParagraph"/>
        <w:numPr>
          <w:ilvl w:val="0"/>
          <w:numId w:val="2"/>
        </w:numPr>
        <w:spacing w:after="100" w:line="276"/>
      </w:pPr>
      <w:r>
        <w:rPr>
          <w:rFonts w:ascii="Calibri" w:cs="Calibri" w:eastAsia="Calibri" w:hAnsi="Calibri"/>
          <w:color w:val="222222"/>
          <w:sz w:val="21"/>
          <w:szCs w:val="21"/>
        </w:rPr>
        <w:t xml:space="preserve">Scale recovery and collections capacity proactively against a series-record delinquency backdrop, and build compliance controls (right-party contact confirmation, hardship documentation, repossession authorization) directly into that scaled workflow rather than retrofitting them under volume pressure.</w:t>
      </w:r>
    </w:p>
    <w:p>
      <w:pPr>
        <w:pStyle w:val="ListParagraph"/>
        <w:numPr>
          <w:ilvl w:val="0"/>
          <w:numId w:val="2"/>
        </w:numPr>
        <w:spacing w:after="100" w:line="276"/>
      </w:pPr>
      <w:r>
        <w:rPr>
          <w:rFonts w:ascii="Calibri" w:cs="Calibri" w:eastAsia="Calibri" w:hAnsi="Calibri"/>
          <w:color w:val="222222"/>
          <w:sz w:val="21"/>
          <w:szCs w:val="21"/>
        </w:rPr>
        <w:t xml:space="preserve">Stress-test funding and liquidity plans against the scenario where portfolio losses and funding costs rise together — the pattern geopolitical shocks have historically produced — rather than planning for either risk in isolation.</w:t>
      </w:r>
    </w:p>
    <w:p>
      <w:pPr>
        <w:spacing w:before="200"/>
      </w:pPr>
    </w:p>
    <w:tbl>
      <w:tblPr>
        <w:tblW w:type="pct" w:w="100%"/>
        <w:tblBorders>
          <w:top w:val="single" w:color="9B2C2C" w:sz="6"/>
          <w:left w:val="single" w:color="9B2C2C" w:sz="6"/>
          <w:bottom w:val="single" w:color="9B2C2C" w:sz="6"/>
          <w:right w:val="single" w:color="9B2C2C" w:sz="6"/>
          <w:insideH w:val="none" w:color="FFFFFF" w:sz="0"/>
          <w:insideV w:val="none" w:color="FFFFFF" w:sz="0"/>
        </w:tblBorders>
      </w:tblPr>
      <w:tblGrid>
        <w:gridCol w:w="100"/>
      </w:tblGrid>
      <w:tr>
        <w:tc>
          <w:tcPr>
            <w:shd w:fill="EEF2F6" w:val="clear"/>
            <w:tcMar>
              <w:top w:type="dxa" w:w="160"/>
              <w:left w:type="dxa" w:w="200"/>
              <w:bottom w:type="dxa" w:w="160"/>
              <w:right w:type="dxa" w:w="200"/>
            </w:tcMar>
          </w:tcPr>
          <w:p>
            <w:pPr>
              <w:spacing w:after="60"/>
            </w:pPr>
            <w:r>
              <w:rPr>
                <w:rFonts w:ascii="Calibri" w:cs="Calibri" w:eastAsia="Calibri" w:hAnsi="Calibri"/>
                <w:b/>
                <w:bCs/>
                <w:color w:val="9B2C2C"/>
                <w:sz w:val="18"/>
                <w:szCs w:val="18"/>
              </w:rPr>
              <w:t xml:space="preserve">BOTTOM LINE</w:t>
            </w:r>
          </w:p>
          <w:p>
            <w:pPr>
              <w:spacing w:after="0"/>
            </w:pPr>
            <w:r>
              <w:rPr>
                <w:rFonts w:ascii="Calibri" w:cs="Calibri" w:eastAsia="Calibri" w:hAnsi="Calibri"/>
                <w:i/>
                <w:iCs/>
                <w:color w:val="1B2A4A"/>
                <w:sz w:val="21"/>
                <w:szCs w:val="21"/>
              </w:rPr>
              <w:t xml:space="preserve">The data says this cycle is structural, not just cyclical — built into specific origination vintages and loan-payment burdens. Geopolitical tensions do not create that risk, but they compound it, hitting vehicle affordability and household budgets at the same time. Organizations that segment by vintage, stress-test named geopolitical scenarios, and scale recovery capacity ahead of need will manage this cycle; those that wait for the next quarterly report to confirm the trend will manage the aftermath instead.</w:t>
            </w:r>
          </w:p>
        </w:tc>
      </w:tr>
    </w:tbl>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6"/>
        <w:szCs w:val="16"/>
      </w:rPr>
      <w:t xml:space="preserve">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jc w:val="right"/>
    </w:pPr>
    <w:r>
      <w:rPr>
        <w:rFonts w:ascii="Calibri" w:cs="Calibri" w:eastAsia="Calibri" w:hAnsi="Calibri"/>
        <w:i/>
        <w:iCs/>
        <w:color w:val="44546A"/>
        <w:sz w:val="16"/>
        <w:szCs w:val="16"/>
      </w:rPr>
      <w:t xml:space="preserve">Consumer Delinquency Trends &amp; Geopolitical Risk — Point of 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2026-09-02T07:48:17.060Z</dcterms:created>
  <dcterms:modified xsi:type="dcterms:W3CDTF">2026-09-02T07:48:17.082Z</dcterms:modified>
</cp:coreProperties>
</file>

<file path=docProps/custom.xml><?xml version="1.0" encoding="utf-8"?>
<Properties xmlns="http://schemas.openxmlformats.org/officeDocument/2006/custom-properties" xmlns:vt="http://schemas.openxmlformats.org/officeDocument/2006/docPropsVTypes"/>
</file>