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240"/>
      </w:pPr>
      <w:r>
        <w:rPr>
          <w:rFonts w:ascii="Calibri" w:cs="Calibri" w:eastAsia="Calibri" w:hAnsi="Calibri"/>
          <w:b/>
          <w:bCs/>
          <w:color w:val="0F172A"/>
          <w:sz w:val="36"/>
          <w:szCs w:val="36"/>
        </w:rPr>
        <w:t xml:space="preserve">SkillTwin: A Deterministic Competency Modeling and Evidence-Based Continuous Career-Readiness Framework</w:t>
      </w:r>
    </w:p>
    <w:p>
      <w:pPr>
        <w:spacing w:after="100"/>
      </w:pPr>
    </w:p>
    <w:p>
      <w:pPr>
        <w:spacing w:after="100"/>
      </w:pPr>
      <w:r>
        <w:rPr>
          <w:rFonts w:ascii="Calibri" w:cs="Calibri" w:eastAsia="Calibri" w:hAnsi="Calibri"/>
          <w:b/>
          <w:bCs/>
          <w:color w:val="0F172A"/>
          <w:sz w:val="22"/>
          <w:szCs w:val="22"/>
        </w:rPr>
        <w:t xml:space="preserve">Author(s):</w:t>
      </w:r>
      <w:r>
        <w:rPr>
          <w:rFonts w:ascii="Calibri" w:cs="Calibri" w:eastAsia="Calibri" w:hAnsi="Calibri"/>
          <w:color w:val="334155"/>
          <w:sz w:val="22"/>
          <w:szCs w:val="22"/>
        </w:rPr>
        <w:t xml:space="preserve"> SkillTwin Research &amp; Engineering Initiative</w:t>
      </w:r>
    </w:p>
    <w:p>
      <w:pPr>
        <w:spacing w:after="100"/>
      </w:pPr>
      <w:r>
        <w:rPr>
          <w:rFonts w:ascii="Calibri" w:cs="Calibri" w:eastAsia="Calibri" w:hAnsi="Calibri"/>
          <w:b/>
          <w:bCs/>
          <w:color w:val="0F172A"/>
          <w:sz w:val="22"/>
          <w:szCs w:val="22"/>
        </w:rPr>
        <w:t xml:space="preserve">Affiliation:</w:t>
      </w:r>
      <w:r>
        <w:rPr>
          <w:rFonts w:ascii="Calibri" w:cs="Calibri" w:eastAsia="Calibri" w:hAnsi="Calibri"/>
          <w:color w:val="334155"/>
          <w:sz w:val="22"/>
          <w:szCs w:val="22"/>
        </w:rPr>
        <w:t xml:space="preserve"> Advanced Applied Computing &amp; Educational Technology Group</w:t>
      </w:r>
    </w:p>
    <w:p>
      <w:pPr>
        <w:spacing w:after="100"/>
      </w:pPr>
      <w:r>
        <w:rPr>
          <w:rFonts w:ascii="Calibri" w:cs="Calibri" w:eastAsia="Calibri" w:hAnsi="Calibri"/>
          <w:b/>
          <w:bCs/>
          <w:color w:val="0F172A"/>
          <w:sz w:val="22"/>
          <w:szCs w:val="22"/>
        </w:rPr>
        <w:t xml:space="preserve">Repository:</w:t>
      </w:r>
      <w:r>
        <w:rPr>
          <w:rFonts w:ascii="Calibri" w:cs="Calibri" w:eastAsia="Calibri" w:hAnsi="Calibri"/>
          <w:color w:val="334155"/>
          <w:sz w:val="22"/>
          <w:szCs w:val="22"/>
        </w:rPr>
        <w:t xml:space="preserve"> [https://github.com/Vasanth-repos/SkillTwin](https://github.com/Vasanth-repos/SkillTwin)</w:t>
      </w:r>
    </w:p>
    <w:p>
      <w:pPr>
        <w:spacing w:after="100"/>
      </w:pPr>
      <w:r>
        <w:rPr>
          <w:rFonts w:ascii="Calibri" w:cs="Calibri" w:eastAsia="Calibri" w:hAnsi="Calibri"/>
          <w:b/>
          <w:bCs/>
          <w:color w:val="0F172A"/>
          <w:sz w:val="22"/>
          <w:szCs w:val="22"/>
        </w:rPr>
        <w:t xml:space="preserve">Publication Date:</w:t>
      </w:r>
      <w:r>
        <w:rPr>
          <w:rFonts w:ascii="Calibri" w:cs="Calibri" w:eastAsia="Calibri" w:hAnsi="Calibri"/>
          <w:color w:val="334155"/>
          <w:sz w:val="22"/>
          <w:szCs w:val="22"/>
        </w:rPr>
        <w:t xml:space="preserve"> August 2026</w:t>
      </w:r>
    </w:p>
    <w:p>
      <w:pPr>
        <w:spacing w:after="100"/>
      </w:pPr>
      <w:r>
        <w:rPr>
          <w:rFonts w:ascii="Calibri" w:cs="Calibri" w:eastAsia="Calibri" w:hAnsi="Calibri"/>
          <w:b/>
          <w:bCs/>
          <w:color w:val="0F172A"/>
          <w:sz w:val="22"/>
          <w:szCs w:val="22"/>
        </w:rPr>
        <w:t xml:space="preserve">Document Type:</w:t>
      </w:r>
      <w:r>
        <w:rPr>
          <w:rFonts w:ascii="Calibri" w:cs="Calibri" w:eastAsia="Calibri" w:hAnsi="Calibri"/>
          <w:color w:val="334155"/>
          <w:sz w:val="22"/>
          <w:szCs w:val="22"/>
        </w:rPr>
        <w:t xml:space="preserve"> Formal Technical Paper &amp; Architectural Specification</w:t>
      </w:r>
    </w:p>
    <w:p>
      <w:pPr>
        <w:spacing w:after="100"/>
      </w:pPr>
    </w:p>
    <w:p>
      <w:pPr>
        <w:pBdr>
          <w:bottom w:val="single" w:color="CBD5E1" w:sz="6" w:space="1"/>
        </w:pBdr>
        <w:spacing w:after="180" w:before="180"/>
      </w:pPr>
    </w:p>
    <w:p>
      <w:pPr>
        <w:spacing w:after="100"/>
      </w:pPr>
    </w:p>
    <w:p>
      <w:pPr>
        <w:pStyle w:val="Heading2"/>
        <w:spacing w:after="120" w:before="200"/>
      </w:pPr>
      <w:r>
        <w:rPr>
          <w:rFonts w:ascii="Calibri" w:cs="Calibri" w:eastAsia="Calibri" w:hAnsi="Calibri"/>
          <w:b/>
          <w:bCs/>
          <w:color w:val="1E3A8A"/>
          <w:sz w:val="28"/>
          <w:szCs w:val="28"/>
        </w:rPr>
        <w:t xml:space="preserve">Abstract</w:t>
      </w:r>
    </w:p>
    <w:p>
      <w:pPr>
        <w:spacing w:after="100"/>
      </w:pPr>
      <w:r>
        <w:rPr>
          <w:rFonts w:ascii="Calibri" w:cs="Calibri" w:eastAsia="Calibri" w:hAnsi="Calibri"/>
          <w:color w:val="334155"/>
          <w:sz w:val="22"/>
          <w:szCs w:val="22"/>
        </w:rPr>
        <w:t xml:space="preserve">Modern computing education suffers from a profound evaluation mismatch: while undergraduate students accumulate isolated metrics across disparate platforms—algorithmic problem counts, video lecture completions, and unverified resume claims—hiring organizations evaluate candidates on systems integration, architectural trade-offs, and verifiable code artifacts. This information asymmetry results in high rejection rates during technical assessments, with candidates unable to diagnose their specific competency deficits. This paper introduces </w:t>
      </w:r>
      <w:r>
        <w:rPr>
          <w:rFonts w:ascii="Calibri" w:cs="Calibri" w:eastAsia="Calibri" w:hAnsi="Calibri"/>
          <w:b/>
          <w:bCs/>
          <w:color w:val="0F172A"/>
          <w:sz w:val="22"/>
          <w:szCs w:val="22"/>
        </w:rPr>
        <w:t xml:space="preserve">SkillTwin</w:t>
      </w:r>
      <w:r>
        <w:rPr>
          <w:rFonts w:ascii="Calibri" w:cs="Calibri" w:eastAsia="Calibri" w:hAnsi="Calibri"/>
          <w:color w:val="334155"/>
          <w:sz w:val="22"/>
          <w:szCs w:val="22"/>
        </w:rPr>
        <w:t xml:space="preserve">, a deterministic digital twin framework designed to model, prioritize, and continuously evaluate software engineering career readiness.</w:t>
      </w:r>
    </w:p>
    <w:p>
      <w:pPr>
        <w:spacing w:after="100"/>
      </w:pPr>
    </w:p>
    <w:p>
      <w:pPr>
        <w:spacing w:after="100"/>
      </w:pPr>
      <w:r>
        <w:rPr>
          <w:rFonts w:ascii="Calibri" w:cs="Calibri" w:eastAsia="Calibri" w:hAnsi="Calibri"/>
          <w:color w:val="334155"/>
          <w:sz w:val="22"/>
          <w:szCs w:val="22"/>
        </w:rPr>
        <w:t xml:space="preserve">SkillTwin synthesizes candidate evidence (academic coursework, competitive programming milestones, repository structures, and certifications) into a dynamic, multi-dimensional </w:t>
      </w:r>
      <w:r>
        <w:rPr>
          <w:rFonts w:ascii="Calibri" w:cs="Calibri" w:eastAsia="Calibri" w:hAnsi="Calibri"/>
          <w:b/>
          <w:bCs/>
          <w:color w:val="0F172A"/>
          <w:sz w:val="22"/>
          <w:szCs w:val="22"/>
        </w:rPr>
        <w:t xml:space="preserve">Skill Graph</w:t>
      </w:r>
      <w:r>
        <w:rPr>
          <w:rFonts w:ascii="Calibri" w:cs="Calibri" w:eastAsia="Calibri" w:hAnsi="Calibri"/>
          <w:color w:val="334155"/>
          <w:sz w:val="22"/>
          <w:szCs w:val="22"/>
        </w:rPr>
        <w:t xml:space="preserve">. The system computes a normalized </w:t>
      </w:r>
      <w:r>
        <w:rPr>
          <w:rFonts w:ascii="Calibri" w:cs="Calibri" w:eastAsia="Calibri" w:hAnsi="Calibri"/>
          <w:b/>
          <w:bCs/>
          <w:color w:val="0F172A"/>
          <w:sz w:val="22"/>
          <w:szCs w:val="22"/>
        </w:rPr>
        <w:t xml:space="preserve">Career Readiness Index (CRI)</w:t>
      </w:r>
      <w:r>
        <w:rPr>
          <w:rFonts w:ascii="Calibri" w:cs="Calibri" w:eastAsia="Calibri" w:hAnsi="Calibri"/>
          <w:color w:val="334155"/>
          <w:sz w:val="22"/>
          <w:szCs w:val="22"/>
        </w:rPr>
        <w:t xml:space="preserve"> and prioritizes engineering skill deficits using a tri-factor heuristic:</w:t>
      </w:r>
    </w:p>
    <w:p>
      <w:pPr>
        <w:spacing w:after="100"/>
      </w:pPr>
      <w:r>
        <w:rPr>
          <w:rFonts w:ascii="Calibri" w:cs="Calibri" w:eastAsia="Calibri" w:hAnsi="Calibri"/>
          <w:color w:val="334155"/>
          <w:sz w:val="22"/>
          <w:szCs w:val="22"/>
        </w:rPr>
        <w:t xml:space="preserve">$$\text{Priority Score}(s) = \text{Gap}(s) \times W</w:t>
      </w:r>
      <w:r>
        <w:rPr>
          <w:rFonts w:ascii="Calibri" w:cs="Calibri" w:eastAsia="Calibri" w:hAnsi="Calibri"/>
          <w:i/>
          <w:iCs/>
          <w:color w:val="334155"/>
          <w:sz w:val="22"/>
          <w:szCs w:val="22"/>
        </w:rPr>
        <w:t xml:space="preserve">{\text{industry}}(s) \times W</w:t>
      </w:r>
      <w:r>
        <w:rPr>
          <w:rFonts w:ascii="Calibri" w:cs="Calibri" w:eastAsia="Calibri" w:hAnsi="Calibri"/>
          <w:color w:val="334155"/>
          <w:sz w:val="22"/>
          <w:szCs w:val="22"/>
        </w:rPr>
        <w:t xml:space="preserve">{\text{relevance}}(s, r)$$</w:t>
      </w:r>
    </w:p>
    <w:p>
      <w:pPr>
        <w:spacing w:after="100"/>
      </w:pPr>
    </w:p>
    <w:p>
      <w:pPr>
        <w:spacing w:after="100"/>
      </w:pPr>
      <w:r>
        <w:rPr>
          <w:rFonts w:ascii="Calibri" w:cs="Calibri" w:eastAsia="Calibri" w:hAnsi="Calibri"/>
          <w:color w:val="334155"/>
          <w:sz w:val="22"/>
          <w:szCs w:val="22"/>
        </w:rPr>
        <w:t xml:space="preserve">To close identified deficits, SkillTwin generates targeted, hands-on </w:t>
      </w:r>
      <w:r>
        <w:rPr>
          <w:rFonts w:ascii="Calibri" w:cs="Calibri" w:eastAsia="Calibri" w:hAnsi="Calibri"/>
          <w:b/>
          <w:bCs/>
          <w:color w:val="0F172A"/>
          <w:sz w:val="22"/>
          <w:szCs w:val="22"/>
        </w:rPr>
        <w:t xml:space="preserve">Evidence Missions</w:t>
      </w:r>
      <w:r>
        <w:rPr>
          <w:rFonts w:ascii="Calibri" w:cs="Calibri" w:eastAsia="Calibri" w:hAnsi="Calibri"/>
          <w:color w:val="334155"/>
          <w:sz w:val="22"/>
          <w:szCs w:val="22"/>
        </w:rPr>
        <w:t xml:space="preserve"> evaluated by an automated, deterministic rubric scanner that verifies repository artifacts, Docker manifests, and test assertions without stochastic machine-learning hallucinations. Furthermore, the platform aggregates cohort telemetry into an institutional intelligence cockpit for academic administrators, featuring automated curriculum intervention syllabus generation. We present the theoretical formulation, system architecture, empirical case studies across student personas, and production deployment protocols demonstrating a closed-loop pedagogical feedback mechanism.</w:t>
      </w:r>
    </w:p>
    <w:p>
      <w:pPr>
        <w:spacing w:after="100"/>
      </w:pPr>
    </w:p>
    <w:p>
      <w:pPr>
        <w:spacing w:after="100"/>
      </w:pPr>
      <w:r>
        <w:rPr>
          <w:rFonts w:ascii="Calibri" w:cs="Calibri" w:eastAsia="Calibri" w:hAnsi="Calibri"/>
          <w:b/>
          <w:bCs/>
          <w:color w:val="0F172A"/>
          <w:sz w:val="22"/>
          <w:szCs w:val="22"/>
        </w:rPr>
        <w:t xml:space="preserve">Keywords:</w:t>
      </w:r>
      <w:r>
        <w:rPr>
          <w:rFonts w:ascii="Calibri" w:cs="Calibri" w:eastAsia="Calibri" w:hAnsi="Calibri"/>
          <w:color w:val="334155"/>
          <w:sz w:val="22"/>
          <w:szCs w:val="22"/>
        </w:rPr>
        <w:t xml:space="preserve"> Digital Skill Twin, Career Readiness, Competency Modeling, Heuristic Scoring, Automated Rubric Evaluation, Institutional Telemetry, Pedagogical Feedback Loop.</w:t>
      </w:r>
    </w:p>
    <w:p>
      <w:pPr>
        <w:spacing w:after="100"/>
      </w:pPr>
    </w:p>
    <w:p>
      <w:pPr>
        <w:pBdr>
          <w:bottom w:val="single" w:color="CBD5E1" w:sz="6" w:space="1"/>
        </w:pBdr>
        <w:spacing w:after="180" w:before="180"/>
      </w:pPr>
    </w:p>
    <w:p>
      <w:pPr>
        <w:spacing w:after="100"/>
      </w:pPr>
    </w:p>
    <w:p>
      <w:pPr>
        <w:pStyle w:val="Heading2"/>
        <w:spacing w:after="120" w:before="200"/>
      </w:pPr>
      <w:r>
        <w:rPr>
          <w:rFonts w:ascii="Calibri" w:cs="Calibri" w:eastAsia="Calibri" w:hAnsi="Calibri"/>
          <w:b/>
          <w:bCs/>
          <w:color w:val="1E3A8A"/>
          <w:sz w:val="28"/>
          <w:szCs w:val="28"/>
        </w:rPr>
        <w:t xml:space="preserve">1. Introduction</w:t>
      </w:r>
    </w:p>
    <w:p>
      <w:pPr>
        <w:spacing w:after="100"/>
      </w:pPr>
    </w:p>
    <w:p>
      <w:pPr>
        <w:pStyle w:val="Heading3"/>
        <w:spacing w:after="80" w:before="160"/>
      </w:pPr>
      <w:r>
        <w:rPr>
          <w:rFonts w:ascii="Calibri" w:cs="Calibri" w:eastAsia="Calibri" w:hAnsi="Calibri"/>
          <w:b/>
          <w:bCs/>
          <w:color w:val="334155"/>
          <w:sz w:val="24"/>
          <w:szCs w:val="24"/>
        </w:rPr>
        <w:t xml:space="preserve">1.1 The Information Asymmetry in Technical Hiring</w:t>
      </w:r>
    </w:p>
    <w:p>
      <w:pPr>
        <w:spacing w:after="100"/>
      </w:pPr>
      <w:r>
        <w:rPr>
          <w:rFonts w:ascii="Calibri" w:cs="Calibri" w:eastAsia="Calibri" w:hAnsi="Calibri"/>
          <w:color w:val="334155"/>
          <w:sz w:val="22"/>
          <w:szCs w:val="22"/>
        </w:rPr>
        <w:t xml:space="preserve">The transition from academic computer science programs to professional software engineering is characterized by an acute signaling crisis. Students frequently invest hundreds of hours solving algorithmic challenges on platforms such as LeetCode or watching modular video courses on Massive Open Online Course (MOOC) providers. However, recruiters and hiring managers increasingly report that candidates possessing high competitive programming ratings frequently fail entry-level technical interviews due to an inability to architect containerized services, optimize database schemas, handle concurrency anomalies, or write automated integration tests.</w:t>
      </w:r>
    </w:p>
    <w:p>
      <w:pPr>
        <w:spacing w:after="100"/>
      </w:pPr>
    </w:p>
    <w:p>
      <w:pPr>
        <w:spacing w:after="100"/>
      </w:pPr>
      <w:r>
        <w:rPr>
          <w:rFonts w:ascii="Calibri" w:cs="Calibri" w:eastAsia="Calibri" w:hAnsi="Calibri"/>
          <w:color w:val="334155"/>
          <w:sz w:val="22"/>
          <w:szCs w:val="22"/>
        </w:rPr>
        <w:t xml:space="preserve">The core systemic failure stems from </w:t>
      </w:r>
      <w:r>
        <w:rPr>
          <w:rFonts w:ascii="Calibri" w:cs="Calibri" w:eastAsia="Calibri" w:hAnsi="Calibri"/>
          <w:b/>
          <w:bCs/>
          <w:color w:val="0F172A"/>
          <w:sz w:val="22"/>
          <w:szCs w:val="22"/>
        </w:rPr>
        <w:t xml:space="preserve">fragmented, unverified telemetry</w:t>
      </w:r>
      <w:r>
        <w:rPr>
          <w:rFonts w:ascii="Calibri" w:cs="Calibri" w:eastAsia="Calibri" w:hAnsi="Calibri"/>
          <w:color w:val="334155"/>
          <w:sz w:val="22"/>
          <w:szCs w:val="22"/>
        </w:rPr>
        <w:t xml:space="preserve">:</w:t>
      </w:r>
    </w:p>
    <w:p>
      <w:pPr>
        <w:spacing w:after="60"/>
      </w:pPr>
      <w:r>
        <w:rPr>
          <w:b/>
          <w:bCs/>
          <w:color w:val="1E3A8A"/>
        </w:rPr>
        <w:t xml:space="preserve">1. </w:t>
      </w:r>
      <w:r>
        <w:rPr>
          <w:rFonts w:ascii="Calibri" w:cs="Calibri" w:eastAsia="Calibri" w:hAnsi="Calibri"/>
          <w:b/>
          <w:bCs/>
          <w:color w:val="0F172A"/>
          <w:sz w:val="22"/>
          <w:szCs w:val="22"/>
        </w:rPr>
        <w:t xml:space="preserve">Algorithmic Isolation:</w:t>
      </w:r>
      <w:r>
        <w:rPr>
          <w:rFonts w:ascii="Calibri" w:cs="Calibri" w:eastAsia="Calibri" w:hAnsi="Calibri"/>
          <w:color w:val="334155"/>
          <w:sz w:val="22"/>
          <w:szCs w:val="22"/>
        </w:rPr>
        <w:t xml:space="preserve"> Competitive programming portals measure puzzle-solving speed in synthetic environments, failing to capture production software engineering practices.</w:t>
      </w:r>
    </w:p>
    <w:p>
      <w:pPr>
        <w:spacing w:after="60"/>
      </w:pPr>
      <w:r>
        <w:rPr>
          <w:b/>
          <w:bCs/>
          <w:color w:val="1E3A8A"/>
        </w:rPr>
        <w:t xml:space="preserve">2. </w:t>
      </w:r>
      <w:r>
        <w:rPr>
          <w:rFonts w:ascii="Calibri" w:cs="Calibri" w:eastAsia="Calibri" w:hAnsi="Calibri"/>
          <w:b/>
          <w:bCs/>
          <w:color w:val="0F172A"/>
          <w:sz w:val="22"/>
          <w:szCs w:val="22"/>
        </w:rPr>
        <w:t xml:space="preserve">Passive Consumption Metrics:</w:t>
      </w:r>
      <w:r>
        <w:rPr>
          <w:rFonts w:ascii="Calibri" w:cs="Calibri" w:eastAsia="Calibri" w:hAnsi="Calibri"/>
          <w:color w:val="334155"/>
          <w:sz w:val="22"/>
          <w:szCs w:val="22"/>
        </w:rPr>
        <w:t xml:space="preserve"> MOOC platforms track video playback completion rather than verifiable engineering output.</w:t>
      </w:r>
    </w:p>
    <w:p>
      <w:pPr>
        <w:spacing w:after="60"/>
      </w:pPr>
      <w:r>
        <w:rPr>
          <w:b/>
          <w:bCs/>
          <w:color w:val="1E3A8A"/>
        </w:rPr>
        <w:t xml:space="preserve">3. </w:t>
      </w:r>
      <w:r>
        <w:rPr>
          <w:rFonts w:ascii="Calibri" w:cs="Calibri" w:eastAsia="Calibri" w:hAnsi="Calibri"/>
          <w:b/>
          <w:bCs/>
          <w:color w:val="0F172A"/>
          <w:sz w:val="22"/>
          <w:szCs w:val="22"/>
        </w:rPr>
        <w:t xml:space="preserve">Resume Inflation:</w:t>
      </w:r>
      <w:r>
        <w:rPr>
          <w:rFonts w:ascii="Calibri" w:cs="Calibri" w:eastAsia="Calibri" w:hAnsi="Calibri"/>
          <w:color w:val="334155"/>
          <w:sz w:val="22"/>
          <w:szCs w:val="22"/>
        </w:rPr>
        <w:t xml:space="preserve"> Self-reported resume keywords lack cryptographic proof or audit trails, leading recruiters to treat unverified claims with skepticism.</w:t>
      </w:r>
    </w:p>
    <w:p>
      <w:pPr>
        <w:spacing w:after="60"/>
      </w:pPr>
      <w:r>
        <w:rPr>
          <w:b/>
          <w:bCs/>
          <w:color w:val="1E3A8A"/>
        </w:rPr>
        <w:t xml:space="preserve">4. </w:t>
      </w:r>
      <w:r>
        <w:rPr>
          <w:rFonts w:ascii="Calibri" w:cs="Calibri" w:eastAsia="Calibri" w:hAnsi="Calibri"/>
          <w:b/>
          <w:bCs/>
          <w:color w:val="0F172A"/>
          <w:sz w:val="22"/>
          <w:szCs w:val="22"/>
        </w:rPr>
        <w:t xml:space="preserve">Absence of Actionable Diagnostics:</w:t>
      </w:r>
      <w:r>
        <w:rPr>
          <w:rFonts w:ascii="Calibri" w:cs="Calibri" w:eastAsia="Calibri" w:hAnsi="Calibri"/>
          <w:color w:val="334155"/>
          <w:sz w:val="22"/>
          <w:szCs w:val="22"/>
        </w:rPr>
        <w:t xml:space="preserve"> Rejection in technical screening rounds rarely provides actionable pedagogical feedback, leaving students unable to identify which specific competency deficit caused the failure.</w:t>
      </w:r>
    </w:p>
    <w:p>
      <w:pPr>
        <w:spacing w:after="100"/>
      </w:pPr>
    </w:p>
    <w:p>
      <w:pPr>
        <w:shd w:fill="F1F5F9" w:color="auto" w:val="clear"/>
        <w:spacing w:after="120" w:before="120"/>
      </w:pPr>
      <w:r>
        <w:rPr>
          <w:rFonts w:ascii="Consolas" w:cs="Consolas" w:eastAsia="Consolas" w:hAnsi="Consolas"/>
          <w:color w:val="1E293B"/>
          <w:sz w:val="20"/>
          <w:szCs w:val="20"/>
        </w:rPr>
        <w:t xml:space="preserve">+-------------------+      +-------------------+      +-------------------+
|  Coding Platforms |      |   MOOC Platforms  |      |   Static Resumes  |
|  (DSA Puzzle Count|      |  (Video Playback) |      | (Unverified Claims|
+---------+---------+      +---------+---------+      +---------+---------+
          \                          |                         /
           \                         |                        /
            v                        v                       v
      +-------------------------------------------------------------+
      |               THE CRITICAL SIGNALING DISCONNECT              |
      |   "I solved 350 DSA problems, but failed my first interview"|
      +------------------------------+------------------------------+
                                     |
                                     v
      +-------------------------------------------------------------+
      |              SKILLTWIN CONTINUOUS EVIDENCE LOOP             |
      |   Profile Ingestion -&gt; Gap Prioritization -&gt; Hands-on       |
      |   Missions -&gt; Rubric Verification -&gt; Digital Twin Update    |
      +-------------------------------------------------------------+</w:t>
      </w:r>
    </w:p>
    <w:p>
      <w:pPr>
        <w:spacing w:after="100"/>
      </w:pPr>
    </w:p>
    <w:p>
      <w:pPr>
        <w:pStyle w:val="Heading3"/>
        <w:spacing w:after="80" w:before="160"/>
      </w:pPr>
      <w:r>
        <w:rPr>
          <w:rFonts w:ascii="Calibri" w:cs="Calibri" w:eastAsia="Calibri" w:hAnsi="Calibri"/>
          <w:b/>
          <w:bCs/>
          <w:color w:val="334155"/>
          <w:sz w:val="24"/>
          <w:szCs w:val="24"/>
        </w:rPr>
        <w:t xml:space="preserve">1.2 The SkillTwin Contribution</w:t>
      </w:r>
    </w:p>
    <w:p>
      <w:pPr>
        <w:spacing w:after="100"/>
      </w:pPr>
      <w:r>
        <w:rPr>
          <w:rFonts w:ascii="Calibri" w:cs="Calibri" w:eastAsia="Calibri" w:hAnsi="Calibri"/>
          <w:color w:val="334155"/>
          <w:sz w:val="22"/>
          <w:szCs w:val="22"/>
        </w:rPr>
        <w:t xml:space="preserve">To address this systemic disconnect, we present </w:t>
      </w:r>
      <w:r>
        <w:rPr>
          <w:rFonts w:ascii="Calibri" w:cs="Calibri" w:eastAsia="Calibri" w:hAnsi="Calibri"/>
          <w:b/>
          <w:bCs/>
          <w:color w:val="0F172A"/>
          <w:sz w:val="22"/>
          <w:szCs w:val="22"/>
        </w:rPr>
        <w:t xml:space="preserve">SkillTwin</w:t>
      </w:r>
      <w:r>
        <w:rPr>
          <w:rFonts w:ascii="Calibri" w:cs="Calibri" w:eastAsia="Calibri" w:hAnsi="Calibri"/>
          <w:color w:val="334155"/>
          <w:sz w:val="22"/>
          <w:szCs w:val="22"/>
        </w:rPr>
        <w:t xml:space="preserve">, an open, deterministic platform that constructs a living digital twin of an engineer's demonstrated capabilities. Rather than relying on black-box probabilistic models that introduce generative hallucination into high-stakes career assessments, SkillTwin utilizes hand-authored industry benchmark matrices, deterministic scoring heuristics, and rule-based rubric evaluators.</w:t>
      </w:r>
    </w:p>
    <w:p>
      <w:pPr>
        <w:spacing w:after="100"/>
      </w:pPr>
    </w:p>
    <w:p>
      <w:pPr>
        <w:spacing w:after="100"/>
      </w:pPr>
      <w:r>
        <w:rPr>
          <w:rFonts w:ascii="Calibri" w:cs="Calibri" w:eastAsia="Calibri" w:hAnsi="Calibri"/>
          <w:color w:val="334155"/>
          <w:sz w:val="22"/>
          <w:szCs w:val="22"/>
        </w:rPr>
        <w:t xml:space="preserve">The primary contributions of this paper are:</w:t>
      </w:r>
    </w:p>
    <w:p>
      <w:pPr>
        <w:spacing w:after="60"/>
      </w:pPr>
      <w:r>
        <w:rPr>
          <w:b/>
          <w:bCs/>
          <w:color w:val="1E3A8A"/>
        </w:rPr>
        <w:t xml:space="preserve">1. </w:t>
      </w:r>
      <w:r>
        <w:rPr>
          <w:rFonts w:ascii="Calibri" w:cs="Calibri" w:eastAsia="Calibri" w:hAnsi="Calibri"/>
          <w:b/>
          <w:bCs/>
          <w:color w:val="0F172A"/>
          <w:sz w:val="22"/>
          <w:szCs w:val="22"/>
        </w:rPr>
        <w:t xml:space="preserve">Mathematical Competency Formulation:</w:t>
      </w:r>
      <w:r>
        <w:rPr>
          <w:rFonts w:ascii="Calibri" w:cs="Calibri" w:eastAsia="Calibri" w:hAnsi="Calibri"/>
          <w:color w:val="334155"/>
          <w:sz w:val="22"/>
          <w:szCs w:val="22"/>
        </w:rPr>
        <w:t xml:space="preserve"> A formal framework for computing normalized skill scores from heterogeneous student evidence and ranking skill deficits by mathematical urgency.</w:t>
      </w:r>
    </w:p>
    <w:p>
      <w:pPr>
        <w:spacing w:after="60"/>
      </w:pPr>
      <w:r>
        <w:rPr>
          <w:b/>
          <w:bCs/>
          <w:color w:val="1E3A8A"/>
        </w:rPr>
        <w:t xml:space="preserve">2. </w:t>
      </w:r>
      <w:r>
        <w:rPr>
          <w:rFonts w:ascii="Calibri" w:cs="Calibri" w:eastAsia="Calibri" w:hAnsi="Calibri"/>
          <w:b/>
          <w:bCs/>
          <w:color w:val="0F172A"/>
          <w:sz w:val="22"/>
          <w:szCs w:val="22"/>
        </w:rPr>
        <w:t xml:space="preserve">Deterministic Rubric Verification:</w:t>
      </w:r>
      <w:r>
        <w:rPr>
          <w:rFonts w:ascii="Calibri" w:cs="Calibri" w:eastAsia="Calibri" w:hAnsi="Calibri"/>
          <w:color w:val="334155"/>
          <w:sz w:val="22"/>
          <w:szCs w:val="22"/>
        </w:rPr>
        <w:t xml:space="preserve"> An automated evaluation protocol that inspects repository file hierarchies, multi-stage container configurations, SQL schema constraints, and unit test suites to award verifiable skill deltas.</w:t>
      </w:r>
    </w:p>
    <w:p>
      <w:pPr>
        <w:spacing w:after="60"/>
      </w:pPr>
      <w:r>
        <w:rPr>
          <w:b/>
          <w:bCs/>
          <w:color w:val="1E3A8A"/>
        </w:rPr>
        <w:t xml:space="preserve">3. </w:t>
      </w:r>
      <w:r>
        <w:rPr>
          <w:rFonts w:ascii="Calibri" w:cs="Calibri" w:eastAsia="Calibri" w:hAnsi="Calibri"/>
          <w:b/>
          <w:bCs/>
          <w:color w:val="0F172A"/>
          <w:sz w:val="22"/>
          <w:szCs w:val="22"/>
        </w:rPr>
        <w:t xml:space="preserve">Cross-Role &amp; Predictive Simulation:</w:t>
      </w:r>
      <w:r>
        <w:rPr>
          <w:rFonts w:ascii="Calibri" w:cs="Calibri" w:eastAsia="Calibri" w:hAnsi="Calibri"/>
          <w:color w:val="334155"/>
          <w:sz w:val="22"/>
          <w:szCs w:val="22"/>
        </w:rPr>
        <w:t xml:space="preserve"> Algorithms enabling students to simulate career pivots across alternative job benchmarks simultaneously and project 30-day growth trajectories using interactive goal-seeking parameters.</w:t>
      </w:r>
    </w:p>
    <w:p>
      <w:pPr>
        <w:spacing w:after="60"/>
      </w:pPr>
      <w:r>
        <w:rPr>
          <w:b/>
          <w:bCs/>
          <w:color w:val="1E3A8A"/>
        </w:rPr>
        <w:t xml:space="preserve">4. </w:t>
      </w:r>
      <w:r>
        <w:rPr>
          <w:rFonts w:ascii="Calibri" w:cs="Calibri" w:eastAsia="Calibri" w:hAnsi="Calibri"/>
          <w:b/>
          <w:bCs/>
          <w:color w:val="0F172A"/>
          <w:sz w:val="22"/>
          <w:szCs w:val="22"/>
        </w:rPr>
        <w:t xml:space="preserve">Institutional Intervention Infrastructure:</w:t>
      </w:r>
      <w:r>
        <w:rPr>
          <w:rFonts w:ascii="Calibri" w:cs="Calibri" w:eastAsia="Calibri" w:hAnsi="Calibri"/>
          <w:color w:val="334155"/>
          <w:sz w:val="22"/>
          <w:szCs w:val="22"/>
        </w:rPr>
        <w:t xml:space="preserve"> A dual-sided administrative architecture empowering academic placement directors to identify cohort-wide curriculum gaps and dispatch directed faculty mission assignments.</w:t>
      </w:r>
    </w:p>
    <w:p>
      <w:pPr>
        <w:spacing w:after="100"/>
      </w:pPr>
    </w:p>
    <w:p>
      <w:pPr>
        <w:pBdr>
          <w:bottom w:val="single" w:color="CBD5E1" w:sz="6" w:space="1"/>
        </w:pBdr>
        <w:spacing w:after="180" w:before="180"/>
      </w:pPr>
    </w:p>
    <w:p>
      <w:pPr>
        <w:spacing w:after="100"/>
      </w:pPr>
    </w:p>
    <w:p>
      <w:pPr>
        <w:pStyle w:val="Heading2"/>
        <w:spacing w:after="120" w:before="200"/>
      </w:pPr>
      <w:r>
        <w:rPr>
          <w:rFonts w:ascii="Calibri" w:cs="Calibri" w:eastAsia="Calibri" w:hAnsi="Calibri"/>
          <w:b/>
          <w:bCs/>
          <w:color w:val="1E3A8A"/>
          <w:sz w:val="28"/>
          <w:szCs w:val="28"/>
        </w:rPr>
        <w:t xml:space="preserve">2. Related Work &amp; Comparative Analysis</w:t>
      </w:r>
    </w:p>
    <w:p>
      <w:pPr>
        <w:spacing w:after="100"/>
      </w:pPr>
    </w:p>
    <w:p>
      <w:pPr>
        <w:spacing w:after="100"/>
      </w:pPr>
      <w:r>
        <w:rPr>
          <w:rFonts w:ascii="Calibri" w:cs="Calibri" w:eastAsia="Calibri" w:hAnsi="Calibri"/>
          <w:color w:val="334155"/>
          <w:sz w:val="22"/>
          <w:szCs w:val="22"/>
        </w:rPr>
        <w:t xml:space="preserve">| Feature Dimension | Competitive Coding (LeetCode/HackerRank) | MOOC Platforms (Coursera/edX) | Black-Box AI Resume Screeners | </w:t>
      </w:r>
      <w:r>
        <w:rPr>
          <w:rFonts w:ascii="Calibri" w:cs="Calibri" w:eastAsia="Calibri" w:hAnsi="Calibri"/>
          <w:b/>
          <w:bCs/>
          <w:color w:val="0F172A"/>
          <w:sz w:val="22"/>
          <w:szCs w:val="22"/>
        </w:rPr>
        <w:t xml:space="preserve">SkillTwin (This Work)</w:t>
      </w:r>
      <w:r>
        <w:rPr>
          <w:rFonts w:ascii="Calibri" w:cs="Calibri" w:eastAsia="Calibri" w:hAnsi="Calibri"/>
          <w:color w:val="334155"/>
          <w:sz w:val="22"/>
          <w:szCs w:val="22"/>
        </w:rPr>
        <w:t xml:space="preserve"> |</w:t>
      </w:r>
    </w:p>
    <w:p>
      <w:pPr>
        <w:spacing w:after="100"/>
      </w:pPr>
      <w:r>
        <w:rPr>
          <w:rFonts w:ascii="Calibri" w:cs="Calibri" w:eastAsia="Calibri" w:hAnsi="Calibri"/>
          <w:color w:val="334155"/>
          <w:sz w:val="22"/>
          <w:szCs w:val="22"/>
        </w:rPr>
        <w:t xml:space="preserve">| :--- | :--- | :--- | :--- | :--- |</w:t>
      </w:r>
    </w:p>
    <w:p>
      <w:pPr>
        <w:spacing w:after="100"/>
      </w:pPr>
      <w:r>
        <w:rPr>
          <w:rFonts w:ascii="Calibri" w:cs="Calibri" w:eastAsia="Calibri" w:hAnsi="Calibri"/>
          <w:color w:val="334155"/>
          <w:sz w:val="22"/>
          <w:szCs w:val="22"/>
        </w:rPr>
        <w:t xml:space="preserve">| </w:t>
      </w:r>
      <w:r>
        <w:rPr>
          <w:rFonts w:ascii="Calibri" w:cs="Calibri" w:eastAsia="Calibri" w:hAnsi="Calibri"/>
          <w:b/>
          <w:bCs/>
          <w:color w:val="0F172A"/>
          <w:sz w:val="22"/>
          <w:szCs w:val="22"/>
        </w:rPr>
        <w:t xml:space="preserve">Primary Metric</w:t>
      </w:r>
      <w:r>
        <w:rPr>
          <w:rFonts w:ascii="Calibri" w:cs="Calibri" w:eastAsia="Calibri" w:hAnsi="Calibri"/>
          <w:color w:val="334155"/>
          <w:sz w:val="22"/>
          <w:szCs w:val="22"/>
        </w:rPr>
        <w:t xml:space="preserve"> | Algorithmic Problem Count | Video Completion % | Keyword Pattern Matching | </w:t>
      </w:r>
      <w:r>
        <w:rPr>
          <w:rFonts w:ascii="Calibri" w:cs="Calibri" w:eastAsia="Calibri" w:hAnsi="Calibri"/>
          <w:b/>
          <w:bCs/>
          <w:color w:val="0F172A"/>
          <w:sz w:val="22"/>
          <w:szCs w:val="22"/>
        </w:rPr>
        <w:t xml:space="preserve">Multi-Dimensional Evidence Graph</w:t>
      </w:r>
      <w:r>
        <w:rPr>
          <w:rFonts w:ascii="Calibri" w:cs="Calibri" w:eastAsia="Calibri" w:hAnsi="Calibri"/>
          <w:color w:val="334155"/>
          <w:sz w:val="22"/>
          <w:szCs w:val="22"/>
        </w:rPr>
        <w:t xml:space="preserve"> |</w:t>
      </w:r>
    </w:p>
    <w:p>
      <w:pPr>
        <w:spacing w:after="100"/>
      </w:pPr>
      <w:r>
        <w:rPr>
          <w:rFonts w:ascii="Calibri" w:cs="Calibri" w:eastAsia="Calibri" w:hAnsi="Calibri"/>
          <w:color w:val="334155"/>
          <w:sz w:val="22"/>
          <w:szCs w:val="22"/>
        </w:rPr>
        <w:t xml:space="preserve">| </w:t>
      </w:r>
      <w:r>
        <w:rPr>
          <w:rFonts w:ascii="Calibri" w:cs="Calibri" w:eastAsia="Calibri" w:hAnsi="Calibri"/>
          <w:b/>
          <w:bCs/>
          <w:color w:val="0F172A"/>
          <w:sz w:val="22"/>
          <w:szCs w:val="22"/>
        </w:rPr>
        <w:t xml:space="preserve">Verification Basis</w:t>
      </w:r>
      <w:r>
        <w:rPr>
          <w:rFonts w:ascii="Calibri" w:cs="Calibri" w:eastAsia="Calibri" w:hAnsi="Calibri"/>
          <w:color w:val="334155"/>
          <w:sz w:val="22"/>
          <w:szCs w:val="22"/>
        </w:rPr>
        <w:t xml:space="preserve"> | Isolated stdout Assertions | Multiple Choice Quizzes | Self-Reported Text Parsing | </w:t>
      </w:r>
      <w:r>
        <w:rPr>
          <w:rFonts w:ascii="Calibri" w:cs="Calibri" w:eastAsia="Calibri" w:hAnsi="Calibri"/>
          <w:b/>
          <w:bCs/>
          <w:color w:val="0F172A"/>
          <w:sz w:val="22"/>
          <w:szCs w:val="22"/>
        </w:rPr>
        <w:t xml:space="preserve">Deterministic Repository Rubrics</w:t>
      </w:r>
      <w:r>
        <w:rPr>
          <w:rFonts w:ascii="Calibri" w:cs="Calibri" w:eastAsia="Calibri" w:hAnsi="Calibri"/>
          <w:color w:val="334155"/>
          <w:sz w:val="22"/>
          <w:szCs w:val="22"/>
        </w:rPr>
        <w:t xml:space="preserve"> |</w:t>
      </w:r>
    </w:p>
    <w:p>
      <w:pPr>
        <w:spacing w:after="100"/>
      </w:pPr>
      <w:r>
        <w:rPr>
          <w:rFonts w:ascii="Calibri" w:cs="Calibri" w:eastAsia="Calibri" w:hAnsi="Calibri"/>
          <w:color w:val="334155"/>
          <w:sz w:val="22"/>
          <w:szCs w:val="22"/>
        </w:rPr>
        <w:t xml:space="preserve">| </w:t>
      </w:r>
      <w:r>
        <w:rPr>
          <w:rFonts w:ascii="Calibri" w:cs="Calibri" w:eastAsia="Calibri" w:hAnsi="Calibri"/>
          <w:b/>
          <w:bCs/>
          <w:color w:val="0F172A"/>
          <w:sz w:val="22"/>
          <w:szCs w:val="22"/>
        </w:rPr>
        <w:t xml:space="preserve">Gap Prioritization</w:t>
      </w:r>
      <w:r>
        <w:rPr>
          <w:rFonts w:ascii="Calibri" w:cs="Calibri" w:eastAsia="Calibri" w:hAnsi="Calibri"/>
          <w:color w:val="334155"/>
          <w:sz w:val="22"/>
          <w:szCs w:val="22"/>
        </w:rPr>
        <w:t xml:space="preserve"> | Arbitrary / Unranked | Linear Syllabus Progression | None | </w:t>
      </w:r>
      <w:r>
        <w:rPr>
          <w:rFonts w:ascii="Calibri" w:cs="Calibri" w:eastAsia="Calibri" w:hAnsi="Calibri"/>
          <w:b/>
          <w:bCs/>
          <w:color w:val="0F172A"/>
          <w:sz w:val="22"/>
          <w:szCs w:val="22"/>
        </w:rPr>
        <w:t xml:space="preserve">Tri-Factor Mathematical Formula</w:t>
      </w:r>
      <w:r>
        <w:rPr>
          <w:rFonts w:ascii="Calibri" w:cs="Calibri" w:eastAsia="Calibri" w:hAnsi="Calibri"/>
          <w:color w:val="334155"/>
          <w:sz w:val="22"/>
          <w:szCs w:val="22"/>
        </w:rPr>
        <w:t xml:space="preserve"> |</w:t>
      </w:r>
    </w:p>
    <w:p>
      <w:pPr>
        <w:spacing w:after="100"/>
      </w:pPr>
      <w:r>
        <w:rPr>
          <w:rFonts w:ascii="Calibri" w:cs="Calibri" w:eastAsia="Calibri" w:hAnsi="Calibri"/>
          <w:color w:val="334155"/>
          <w:sz w:val="22"/>
          <w:szCs w:val="22"/>
        </w:rPr>
        <w:t xml:space="preserve">| </w:t>
      </w:r>
      <w:r>
        <w:rPr>
          <w:rFonts w:ascii="Calibri" w:cs="Calibri" w:eastAsia="Calibri" w:hAnsi="Calibri"/>
          <w:b/>
          <w:bCs/>
          <w:color w:val="0F172A"/>
          <w:sz w:val="22"/>
          <w:szCs w:val="22"/>
        </w:rPr>
        <w:t xml:space="preserve">Explainability</w:t>
      </w:r>
      <w:r>
        <w:rPr>
          <w:rFonts w:ascii="Calibri" w:cs="Calibri" w:eastAsia="Calibri" w:hAnsi="Calibri"/>
          <w:color w:val="334155"/>
          <w:sz w:val="22"/>
          <w:szCs w:val="22"/>
        </w:rPr>
        <w:t xml:space="preserve"> | High (Binary Pass/Fail) | Low (Passive Viewing) | None (Opaque LLM/Embedding) | </w:t>
      </w:r>
      <w:r>
        <w:rPr>
          <w:rFonts w:ascii="Calibri" w:cs="Calibri" w:eastAsia="Calibri" w:hAnsi="Calibri"/>
          <w:b/>
          <w:bCs/>
          <w:color w:val="0F172A"/>
          <w:sz w:val="22"/>
          <w:szCs w:val="22"/>
        </w:rPr>
        <w:t xml:space="preserve">100% Deterministic &amp; Auditable</w:t>
      </w:r>
      <w:r>
        <w:rPr>
          <w:rFonts w:ascii="Calibri" w:cs="Calibri" w:eastAsia="Calibri" w:hAnsi="Calibri"/>
          <w:color w:val="334155"/>
          <w:sz w:val="22"/>
          <w:szCs w:val="22"/>
        </w:rPr>
        <w:t xml:space="preserve"> |</w:t>
      </w:r>
    </w:p>
    <w:p>
      <w:pPr>
        <w:spacing w:after="100"/>
      </w:pPr>
      <w:r>
        <w:rPr>
          <w:rFonts w:ascii="Calibri" w:cs="Calibri" w:eastAsia="Calibri" w:hAnsi="Calibri"/>
          <w:color w:val="334155"/>
          <w:sz w:val="22"/>
          <w:szCs w:val="22"/>
        </w:rPr>
        <w:t xml:space="preserve">| </w:t>
      </w:r>
      <w:r>
        <w:rPr>
          <w:rFonts w:ascii="Calibri" w:cs="Calibri" w:eastAsia="Calibri" w:hAnsi="Calibri"/>
          <w:b/>
          <w:bCs/>
          <w:color w:val="0F172A"/>
          <w:sz w:val="22"/>
          <w:szCs w:val="22"/>
        </w:rPr>
        <w:t xml:space="preserve">Institutional Loop</w:t>
      </w:r>
      <w:r>
        <w:rPr>
          <w:rFonts w:ascii="Calibri" w:cs="Calibri" w:eastAsia="Calibri" w:hAnsi="Calibri"/>
          <w:color w:val="334155"/>
          <w:sz w:val="22"/>
          <w:szCs w:val="22"/>
        </w:rPr>
        <w:t xml:space="preserve"> | None | Aggregated Course Grades | Resume Filter Ranking | </w:t>
      </w:r>
      <w:r>
        <w:rPr>
          <w:rFonts w:ascii="Calibri" w:cs="Calibri" w:eastAsia="Calibri" w:hAnsi="Calibri"/>
          <w:b/>
          <w:bCs/>
          <w:color w:val="0F172A"/>
          <w:sz w:val="22"/>
          <w:szCs w:val="22"/>
        </w:rPr>
        <w:t xml:space="preserve">Curriculum Syllabus Generator</w:t>
      </w:r>
      <w:r>
        <w:rPr>
          <w:rFonts w:ascii="Calibri" w:cs="Calibri" w:eastAsia="Calibri" w:hAnsi="Calibri"/>
          <w:color w:val="334155"/>
          <w:sz w:val="22"/>
          <w:szCs w:val="22"/>
        </w:rPr>
        <w:t xml:space="preserve"> |</w:t>
      </w:r>
    </w:p>
    <w:p>
      <w:pPr>
        <w:spacing w:after="100"/>
      </w:pPr>
      <w:r>
        <w:rPr>
          <w:rFonts w:ascii="Calibri" w:cs="Calibri" w:eastAsia="Calibri" w:hAnsi="Calibri"/>
          <w:color w:val="334155"/>
          <w:sz w:val="22"/>
          <w:szCs w:val="22"/>
        </w:rPr>
        <w:t xml:space="preserve">| </w:t>
      </w:r>
      <w:r>
        <w:rPr>
          <w:rFonts w:ascii="Calibri" w:cs="Calibri" w:eastAsia="Calibri" w:hAnsi="Calibri"/>
          <w:b/>
          <w:bCs/>
          <w:color w:val="0F172A"/>
          <w:sz w:val="22"/>
          <w:szCs w:val="22"/>
        </w:rPr>
        <w:t xml:space="preserve">Career Translation</w:t>
      </w:r>
      <w:r>
        <w:rPr>
          <w:rFonts w:ascii="Calibri" w:cs="Calibri" w:eastAsia="Calibri" w:hAnsi="Calibri"/>
          <w:color w:val="334155"/>
          <w:sz w:val="22"/>
          <w:szCs w:val="22"/>
        </w:rPr>
        <w:t xml:space="preserve"> | Disconnected from Systems | Disconnected from Evidence | Unreliable Hallucinations | </w:t>
      </w:r>
      <w:r>
        <w:rPr>
          <w:rFonts w:ascii="Calibri" w:cs="Calibri" w:eastAsia="Calibri" w:hAnsi="Calibri"/>
          <w:b/>
          <w:bCs/>
          <w:color w:val="0F172A"/>
          <w:sz w:val="22"/>
          <w:szCs w:val="22"/>
        </w:rPr>
        <w:t xml:space="preserve">Normalized Career Readiness Index</w:t>
      </w:r>
      <w:r>
        <w:rPr>
          <w:rFonts w:ascii="Calibri" w:cs="Calibri" w:eastAsia="Calibri" w:hAnsi="Calibri"/>
          <w:color w:val="334155"/>
          <w:sz w:val="22"/>
          <w:szCs w:val="22"/>
        </w:rPr>
        <w:t xml:space="preserve"> |</w:t>
      </w:r>
    </w:p>
    <w:p>
      <w:pPr>
        <w:spacing w:after="100"/>
      </w:pPr>
    </w:p>
    <w:p>
      <w:pPr>
        <w:pBdr>
          <w:bottom w:val="single" w:color="CBD5E1" w:sz="6" w:space="1"/>
        </w:pBdr>
        <w:spacing w:after="180" w:before="180"/>
      </w:pPr>
    </w:p>
    <w:p>
      <w:pPr>
        <w:spacing w:after="100"/>
      </w:pPr>
    </w:p>
    <w:p>
      <w:pPr>
        <w:pStyle w:val="Heading2"/>
        <w:spacing w:after="120" w:before="200"/>
      </w:pPr>
      <w:r>
        <w:rPr>
          <w:rFonts w:ascii="Calibri" w:cs="Calibri" w:eastAsia="Calibri" w:hAnsi="Calibri"/>
          <w:b/>
          <w:bCs/>
          <w:color w:val="1E3A8A"/>
          <w:sz w:val="28"/>
          <w:szCs w:val="28"/>
        </w:rPr>
        <w:t xml:space="preserve">3. System Architecture &amp; Data Flow</w:t>
      </w:r>
    </w:p>
    <w:p>
      <w:pPr>
        <w:spacing w:after="100"/>
      </w:pPr>
    </w:p>
    <w:p>
      <w:pPr>
        <w:spacing w:after="100"/>
      </w:pPr>
      <w:r>
        <w:rPr>
          <w:rFonts w:ascii="Calibri" w:cs="Calibri" w:eastAsia="Calibri" w:hAnsi="Calibri"/>
          <w:color w:val="334155"/>
          <w:sz w:val="22"/>
          <w:szCs w:val="22"/>
        </w:rPr>
        <w:t xml:space="preserve">SkillTwin is engineered as a high-performance, decoupled monorepo architecture consisting of an analytical client workspace, a stateless core engine, and a dual-mode persistence layer designed for continuous operation across local, serverless, and static edge environments.</w:t>
      </w:r>
    </w:p>
    <w:p>
      <w:pPr>
        <w:spacing w:after="100"/>
      </w:pPr>
    </w:p>
    <w:p>
      <w:pPr>
        <w:shd w:fill="F1F5F9" w:color="auto" w:val="clear"/>
        <w:spacing w:after="120" w:before="120"/>
      </w:pPr>
      <w:r>
        <w:rPr>
          <w:rFonts w:ascii="Consolas" w:cs="Consolas" w:eastAsia="Consolas" w:hAnsi="Consolas"/>
          <w:color w:val="1E293B"/>
          <w:sz w:val="20"/>
          <w:szCs w:val="20"/>
        </w:rPr>
        <w:t xml:space="preserve">                                    +----------------------------------------+
                                    |         SKILLTWIN CLIENT (REACT)       |
                                    | - Radar &amp; Bar Competency Visualizers   |
                                    | - What-If Cross-Role Benchmark Engine  |
                                    | - In-Browser Direct Artifact Editor    |
                                    | - Predictive 30-Day Growth Forecaster  |
                                    +-------------------+--------------------+
                                                        |
                                            REST API / Dual-Mode Bridge
                                                        |
                                                        v
+---------------------------------------------------------------------------------------------------+
|                                      SKILLTWIN BACKEND ENGINE                                     |
|                                                                                                   |
|   +--------------------------+  +--------------------------+  +-------------------------------+   |
|   |   Profile Evidence       |  |  Tri-Factor Gap Ranking  |  |    Automated Rubric Scanner   |   |
|   |   Ingestion Service      |  |  &amp; Scoring Engine        |  |    &amp; File-Tree Inspector      |   |
|   +-------------+------------+  +-------------+------------+  +---------------+---------------+   |
|                 |                             |                               |                   |
|                 +-----------------------------+-------------------------------+                   |
|                                               |                                                   |
|                                               v                                                   |
|                             +-----------------------------------+                                 |
|                             | Universal Relational Store (Prisma|                                 |
|                             | SQLite / Edge In-Memory Storage)  |                                 |
|                             +-----------------------------------+                                 |
+---------------------------------------------------------------------------------------------------+</w:t>
      </w:r>
    </w:p>
    <w:p>
      <w:pPr>
        <w:spacing w:after="100"/>
      </w:pPr>
    </w:p>
    <w:p>
      <w:pPr>
        <w:pStyle w:val="Heading3"/>
        <w:spacing w:after="80" w:before="160"/>
      </w:pPr>
      <w:r>
        <w:rPr>
          <w:rFonts w:ascii="Calibri" w:cs="Calibri" w:eastAsia="Calibri" w:hAnsi="Calibri"/>
          <w:b/>
          <w:bCs/>
          <w:color w:val="334155"/>
          <w:sz w:val="24"/>
          <w:szCs w:val="24"/>
        </w:rPr>
        <w:t xml:space="preserve">3.1 Profile Evidence Ingestion</w:t>
      </w:r>
    </w:p>
    <w:p>
      <w:pPr>
        <w:spacing w:after="100"/>
      </w:pPr>
      <w:r>
        <w:rPr>
          <w:rFonts w:ascii="Calibri" w:cs="Calibri" w:eastAsia="Calibri" w:hAnsi="Calibri"/>
          <w:color w:val="334155"/>
          <w:sz w:val="22"/>
          <w:szCs w:val="22"/>
        </w:rPr>
        <w:t xml:space="preserve">Candidate profiles are structured across five discrete dimensions:</w:t>
      </w:r>
    </w:p>
    <w:p>
      <w:pPr>
        <w:pStyle w:val="ListParagraph"/>
        <w:numPr>
          <w:ilvl w:val="0"/>
          <w:numId w:val="1"/>
        </w:numPr>
        <w:spacing w:after="60"/>
      </w:pPr>
      <w:r>
        <w:rPr>
          <w:rFonts w:ascii="Calibri" w:cs="Calibri" w:eastAsia="Calibri" w:hAnsi="Calibri"/>
          <w:b/>
          <w:bCs/>
          <w:color w:val="0F172A"/>
          <w:sz w:val="22"/>
          <w:szCs w:val="22"/>
        </w:rPr>
        <w:t xml:space="preserve">Algorithmic Problem History ($E_{\text{dsa}}$):</w:t>
      </w:r>
      <w:r>
        <w:rPr>
          <w:rFonts w:ascii="Calibri" w:cs="Calibri" w:eastAsia="Calibri" w:hAnsi="Calibri"/>
          <w:color w:val="334155"/>
          <w:sz w:val="22"/>
          <w:szCs w:val="22"/>
        </w:rPr>
        <w:t xml:space="preserve"> Continuous count of solved data structure and algorithm problems across verified difficulty tiers.</w:t>
      </w:r>
    </w:p>
    <w:p>
      <w:pPr>
        <w:pStyle w:val="ListParagraph"/>
        <w:numPr>
          <w:ilvl w:val="0"/>
          <w:numId w:val="1"/>
        </w:numPr>
        <w:spacing w:after="60"/>
      </w:pPr>
      <w:r>
        <w:rPr>
          <w:rFonts w:ascii="Calibri" w:cs="Calibri" w:eastAsia="Calibri" w:hAnsi="Calibri"/>
          <w:b/>
          <w:bCs/>
          <w:color w:val="0F172A"/>
          <w:sz w:val="22"/>
          <w:szCs w:val="22"/>
        </w:rPr>
        <w:t xml:space="preserve">Academic Coursework ($E_{\text{acad}}$):</w:t>
      </w:r>
      <w:r>
        <w:rPr>
          <w:rFonts w:ascii="Calibri" w:cs="Calibri" w:eastAsia="Calibri" w:hAnsi="Calibri"/>
          <w:color w:val="334155"/>
          <w:sz w:val="22"/>
          <w:szCs w:val="22"/>
        </w:rPr>
        <w:t xml:space="preserve"> Accredited university subjects (e.g., Operating Systems, Relational Database Management Systems, Distributed Networks).</w:t>
      </w:r>
    </w:p>
    <w:p>
      <w:pPr>
        <w:pStyle w:val="ListParagraph"/>
        <w:numPr>
          <w:ilvl w:val="0"/>
          <w:numId w:val="1"/>
        </w:numPr>
        <w:spacing w:after="60"/>
      </w:pPr>
      <w:r>
        <w:rPr>
          <w:rFonts w:ascii="Calibri" w:cs="Calibri" w:eastAsia="Calibri" w:hAnsi="Calibri"/>
          <w:b/>
          <w:bCs/>
          <w:color w:val="0F172A"/>
          <w:sz w:val="22"/>
          <w:szCs w:val="22"/>
        </w:rPr>
        <w:t xml:space="preserve">Core Languages &amp; Runtimes ($E_{\text{lang}}$):</w:t>
      </w:r>
      <w:r>
        <w:rPr>
          <w:rFonts w:ascii="Calibri" w:cs="Calibri" w:eastAsia="Calibri" w:hAnsi="Calibri"/>
          <w:color w:val="334155"/>
          <w:sz w:val="22"/>
          <w:szCs w:val="22"/>
        </w:rPr>
        <w:t xml:space="preserve"> Demonstrated fluency across programming languages (TypeScript, SQL, Python, Go, C++).</w:t>
      </w:r>
    </w:p>
    <w:p>
      <w:pPr>
        <w:pStyle w:val="ListParagraph"/>
        <w:numPr>
          <w:ilvl w:val="0"/>
          <w:numId w:val="1"/>
        </w:numPr>
        <w:spacing w:after="60"/>
      </w:pPr>
      <w:r>
        <w:rPr>
          <w:rFonts w:ascii="Calibri" w:cs="Calibri" w:eastAsia="Calibri" w:hAnsi="Calibri"/>
          <w:b/>
          <w:bCs/>
          <w:color w:val="0F172A"/>
          <w:sz w:val="22"/>
          <w:szCs w:val="22"/>
        </w:rPr>
        <w:t xml:space="preserve">Project Portfolios ($E_{\text{proj}}$):</w:t>
      </w:r>
      <w:r>
        <w:rPr>
          <w:rFonts w:ascii="Calibri" w:cs="Calibri" w:eastAsia="Calibri" w:hAnsi="Calibri"/>
          <w:color w:val="334155"/>
          <w:sz w:val="22"/>
          <w:szCs w:val="22"/>
        </w:rPr>
        <w:t xml:space="preserve"> Source-controlled software repositories characterized by architectural scope and technology stacks.</w:t>
      </w:r>
    </w:p>
    <w:p>
      <w:pPr>
        <w:pStyle w:val="ListParagraph"/>
        <w:numPr>
          <w:ilvl w:val="0"/>
          <w:numId w:val="1"/>
        </w:numPr>
        <w:spacing w:after="60"/>
      </w:pPr>
      <w:r>
        <w:rPr>
          <w:rFonts w:ascii="Calibri" w:cs="Calibri" w:eastAsia="Calibri" w:hAnsi="Calibri"/>
          <w:b/>
          <w:bCs/>
          <w:color w:val="0F172A"/>
          <w:sz w:val="22"/>
          <w:szCs w:val="22"/>
        </w:rPr>
        <w:t xml:space="preserve">Industry Certifications ($E_{\text{cert}}$):</w:t>
      </w:r>
      <w:r>
        <w:rPr>
          <w:rFonts w:ascii="Calibri" w:cs="Calibri" w:eastAsia="Calibri" w:hAnsi="Calibri"/>
          <w:color w:val="334155"/>
          <w:sz w:val="22"/>
          <w:szCs w:val="22"/>
        </w:rPr>
        <w:t xml:space="preserve"> Formal credentials issued by verified cloud and industry providers.</w:t>
      </w:r>
    </w:p>
    <w:p>
      <w:pPr>
        <w:spacing w:after="100"/>
      </w:pPr>
    </w:p>
    <w:p>
      <w:pPr>
        <w:pBdr>
          <w:bottom w:val="single" w:color="CBD5E1" w:sz="6" w:space="1"/>
        </w:pBdr>
        <w:spacing w:after="180" w:before="180"/>
      </w:pPr>
    </w:p>
    <w:p>
      <w:pPr>
        <w:spacing w:after="100"/>
      </w:pPr>
    </w:p>
    <w:p>
      <w:pPr>
        <w:pStyle w:val="Heading2"/>
        <w:spacing w:after="120" w:before="200"/>
      </w:pPr>
      <w:r>
        <w:rPr>
          <w:rFonts w:ascii="Calibri" w:cs="Calibri" w:eastAsia="Calibri" w:hAnsi="Calibri"/>
          <w:b/>
          <w:bCs/>
          <w:color w:val="1E3A8A"/>
          <w:sz w:val="28"/>
          <w:szCs w:val="28"/>
        </w:rPr>
        <w:t xml:space="preserve">4. Mathematical Formulation &amp; Algorithmic Design</w:t>
      </w:r>
    </w:p>
    <w:p>
      <w:pPr>
        <w:spacing w:after="100"/>
      </w:pPr>
    </w:p>
    <w:p>
      <w:pPr>
        <w:pStyle w:val="Heading3"/>
        <w:spacing w:after="80" w:before="160"/>
      </w:pPr>
      <w:r>
        <w:rPr>
          <w:rFonts w:ascii="Calibri" w:cs="Calibri" w:eastAsia="Calibri" w:hAnsi="Calibri"/>
          <w:b/>
          <w:bCs/>
          <w:color w:val="334155"/>
          <w:sz w:val="24"/>
          <w:szCs w:val="24"/>
        </w:rPr>
        <w:t xml:space="preserve">4.1 Evidence Normalization &amp; Skill Score Computation</w:t>
      </w:r>
    </w:p>
    <w:p>
      <w:pPr>
        <w:spacing w:after="100"/>
      </w:pPr>
      <w:r>
        <w:rPr>
          <w:rFonts w:ascii="Calibri" w:cs="Calibri" w:eastAsia="Calibri" w:hAnsi="Calibri"/>
          <w:color w:val="334155"/>
          <w:sz w:val="22"/>
          <w:szCs w:val="22"/>
        </w:rPr>
        <w:t xml:space="preserve">For any given skill $s$, its demonstrated score $S(s) \in [0, 100]$ is computed deterministically by synthesizing contributions across all evidence categories:</w:t>
      </w:r>
    </w:p>
    <w:p>
      <w:pPr>
        <w:spacing w:after="100"/>
      </w:pPr>
    </w:p>
    <w:p>
      <w:pPr>
        <w:spacing w:after="100"/>
      </w:pPr>
      <w:r>
        <w:rPr>
          <w:rFonts w:ascii="Calibri" w:cs="Calibri" w:eastAsia="Calibri" w:hAnsi="Calibri"/>
          <w:color w:val="334155"/>
          <w:sz w:val="22"/>
          <w:szCs w:val="22"/>
        </w:rPr>
        <w:t xml:space="preserve">$$S(s) = \min\left(100, \sum</w:t>
      </w:r>
      <w:r>
        <w:rPr>
          <w:rFonts w:ascii="Calibri" w:cs="Calibri" w:eastAsia="Calibri" w:hAnsi="Calibri"/>
          <w:i/>
          <w:iCs/>
          <w:color w:val="334155"/>
          <w:sz w:val="22"/>
          <w:szCs w:val="22"/>
        </w:rPr>
        <w:t xml:space="preserve">{c \in \text{Categories}} f</w:t>
      </w:r>
      <w:r>
        <w:rPr>
          <w:rFonts w:ascii="Calibri" w:cs="Calibri" w:eastAsia="Calibri" w:hAnsi="Calibri"/>
          <w:color w:val="334155"/>
          <w:sz w:val="22"/>
          <w:szCs w:val="22"/>
        </w:rPr>
        <w:t xml:space="preserve">c(E_c, s)\right)$$</w:t>
      </w:r>
    </w:p>
    <w:p>
      <w:pPr>
        <w:spacing w:after="100"/>
      </w:pPr>
    </w:p>
    <w:p>
      <w:pPr>
        <w:spacing w:after="100"/>
      </w:pPr>
      <w:r>
        <w:rPr>
          <w:rFonts w:ascii="Calibri" w:cs="Calibri" w:eastAsia="Calibri" w:hAnsi="Calibri"/>
          <w:color w:val="334155"/>
          <w:sz w:val="22"/>
          <w:szCs w:val="22"/>
        </w:rPr>
        <w:t xml:space="preserve">Where $f_c$ denotes the deterministic scoring heuristic for category $c$:</w:t>
      </w:r>
    </w:p>
    <w:p>
      <w:pPr>
        <w:pStyle w:val="ListParagraph"/>
        <w:numPr>
          <w:ilvl w:val="0"/>
          <w:numId w:val="1"/>
        </w:numPr>
        <w:spacing w:after="60"/>
      </w:pPr>
      <w:r>
        <w:rPr>
          <w:rFonts w:ascii="Calibri" w:cs="Calibri" w:eastAsia="Calibri" w:hAnsi="Calibri"/>
          <w:color w:val="334155"/>
          <w:sz w:val="22"/>
          <w:szCs w:val="22"/>
        </w:rPr>
        <w:t xml:space="preserve">For </w:t>
      </w:r>
      <w:r>
        <w:rPr>
          <w:rFonts w:ascii="Calibri" w:cs="Calibri" w:eastAsia="Calibri" w:hAnsi="Calibri"/>
          <w:b/>
          <w:bCs/>
          <w:color w:val="0F172A"/>
          <w:sz w:val="22"/>
          <w:szCs w:val="22"/>
        </w:rPr>
        <w:t xml:space="preserve">Data Structures &amp; Algorithms</w:t>
      </w:r>
      <w:r>
        <w:rPr>
          <w:rFonts w:ascii="Calibri" w:cs="Calibri" w:eastAsia="Calibri" w:hAnsi="Calibri"/>
          <w:color w:val="334155"/>
          <w:sz w:val="22"/>
          <w:szCs w:val="22"/>
        </w:rPr>
        <w:t xml:space="preserve">:</w:t>
      </w:r>
    </w:p>
    <w:p>
      <w:pPr>
        <w:spacing w:after="100"/>
      </w:pPr>
      <w:r>
        <w:rPr>
          <w:rFonts w:ascii="Calibri" w:cs="Calibri" w:eastAsia="Calibri" w:hAnsi="Calibri"/>
          <w:color w:val="334155"/>
          <w:sz w:val="22"/>
          <w:szCs w:val="22"/>
        </w:rPr>
        <w:t xml:space="preserve">  $$f</w:t>
      </w:r>
      <w:r>
        <w:rPr>
          <w:rFonts w:ascii="Calibri" w:cs="Calibri" w:eastAsia="Calibri" w:hAnsi="Calibri"/>
          <w:i/>
          <w:iCs/>
          <w:color w:val="334155"/>
          <w:sz w:val="22"/>
          <w:szCs w:val="22"/>
        </w:rPr>
        <w:t xml:space="preserve">{\text{dsa}}(E</w:t>
      </w:r>
      <w:r>
        <w:rPr>
          <w:rFonts w:ascii="Calibri" w:cs="Calibri" w:eastAsia="Calibri" w:hAnsi="Calibri"/>
          <w:color w:val="334155"/>
          <w:sz w:val="22"/>
          <w:szCs w:val="22"/>
        </w:rPr>
        <w:t xml:space="preserve">{\text{dsa}}, s) = \begin{cases}</w:t>
      </w:r>
    </w:p>
    <w:p>
      <w:pPr>
        <w:spacing w:after="100"/>
      </w:pPr>
      <w:r>
        <w:rPr>
          <w:rFonts w:ascii="Calibri" w:cs="Calibri" w:eastAsia="Calibri" w:hAnsi="Calibri"/>
          <w:color w:val="334155"/>
          <w:sz w:val="22"/>
          <w:szCs w:val="22"/>
        </w:rPr>
        <w:t xml:space="preserve">  \min(95, 20 + \lfloor E_{\text{dsa}} \times 0.4 \rfloor) &amp; \text{if } s = \text{"Data Structures \&amp; Algorithms"} \\</w:t>
      </w:r>
    </w:p>
    <w:p>
      <w:pPr>
        <w:spacing w:after="100"/>
      </w:pPr>
      <w:r>
        <w:rPr>
          <w:rFonts w:ascii="Calibri" w:cs="Calibri" w:eastAsia="Calibri" w:hAnsi="Calibri"/>
          <w:color w:val="334155"/>
          <w:sz w:val="22"/>
          <w:szCs w:val="22"/>
        </w:rPr>
        <w:t xml:space="preserve">  0 &amp; \text{otherwise}</w:t>
      </w:r>
    </w:p>
    <w:p>
      <w:pPr>
        <w:spacing w:after="100"/>
      </w:pPr>
      <w:r>
        <w:rPr>
          <w:rFonts w:ascii="Calibri" w:cs="Calibri" w:eastAsia="Calibri" w:hAnsi="Calibri"/>
          <w:color w:val="334155"/>
          <w:sz w:val="22"/>
          <w:szCs w:val="22"/>
        </w:rPr>
        <w:t xml:space="preserve">  \end{cases}$$</w:t>
      </w:r>
    </w:p>
    <w:p>
      <w:pPr>
        <w:pStyle w:val="ListParagraph"/>
        <w:numPr>
          <w:ilvl w:val="0"/>
          <w:numId w:val="1"/>
        </w:numPr>
        <w:spacing w:after="60"/>
      </w:pPr>
      <w:r>
        <w:rPr>
          <w:rFonts w:ascii="Calibri" w:cs="Calibri" w:eastAsia="Calibri" w:hAnsi="Calibri"/>
          <w:color w:val="334155"/>
          <w:sz w:val="22"/>
          <w:szCs w:val="22"/>
        </w:rPr>
        <w:t xml:space="preserve">For </w:t>
      </w:r>
      <w:r>
        <w:rPr>
          <w:rFonts w:ascii="Calibri" w:cs="Calibri" w:eastAsia="Calibri" w:hAnsi="Calibri"/>
          <w:b/>
          <w:bCs/>
          <w:color w:val="0F172A"/>
          <w:sz w:val="22"/>
          <w:szCs w:val="22"/>
        </w:rPr>
        <w:t xml:space="preserve">Coursework</w:t>
      </w:r>
      <w:r>
        <w:rPr>
          <w:rFonts w:ascii="Calibri" w:cs="Calibri" w:eastAsia="Calibri" w:hAnsi="Calibri"/>
          <w:color w:val="334155"/>
          <w:sz w:val="22"/>
          <w:szCs w:val="22"/>
        </w:rPr>
        <w:t xml:space="preserve">: Each verified academic subject relevant to skill $s$ contributes $+25$ points.</w:t>
      </w:r>
    </w:p>
    <w:p>
      <w:pPr>
        <w:pStyle w:val="ListParagraph"/>
        <w:numPr>
          <w:ilvl w:val="0"/>
          <w:numId w:val="1"/>
        </w:numPr>
        <w:spacing w:after="60"/>
      </w:pPr>
      <w:r>
        <w:rPr>
          <w:rFonts w:ascii="Calibri" w:cs="Calibri" w:eastAsia="Calibri" w:hAnsi="Calibri"/>
          <w:color w:val="334155"/>
          <w:sz w:val="22"/>
          <w:szCs w:val="22"/>
        </w:rPr>
        <w:t xml:space="preserve">For </w:t>
      </w:r>
      <w:r>
        <w:rPr>
          <w:rFonts w:ascii="Calibri" w:cs="Calibri" w:eastAsia="Calibri" w:hAnsi="Calibri"/>
          <w:b/>
          <w:bCs/>
          <w:color w:val="0F172A"/>
          <w:sz w:val="22"/>
          <w:szCs w:val="22"/>
        </w:rPr>
        <w:t xml:space="preserve">Project Artifacts</w:t>
      </w:r>
      <w:r>
        <w:rPr>
          <w:rFonts w:ascii="Calibri" w:cs="Calibri" w:eastAsia="Calibri" w:hAnsi="Calibri"/>
          <w:color w:val="334155"/>
          <w:sz w:val="22"/>
          <w:szCs w:val="22"/>
        </w:rPr>
        <w:t xml:space="preserve">: Each verified project repository matching skill $s$ contributes $+20$ points, with an additional $+10$ points awarded for verified live deployment URLs.</w:t>
      </w:r>
    </w:p>
    <w:p>
      <w:pPr>
        <w:pStyle w:val="ListParagraph"/>
        <w:numPr>
          <w:ilvl w:val="0"/>
          <w:numId w:val="1"/>
        </w:numPr>
        <w:spacing w:after="60"/>
      </w:pPr>
      <w:r>
        <w:rPr>
          <w:rFonts w:ascii="Calibri" w:cs="Calibri" w:eastAsia="Calibri" w:hAnsi="Calibri"/>
          <w:color w:val="334155"/>
          <w:sz w:val="22"/>
          <w:szCs w:val="22"/>
        </w:rPr>
        <w:t xml:space="preserve">For </w:t>
      </w:r>
      <w:r>
        <w:rPr>
          <w:rFonts w:ascii="Calibri" w:cs="Calibri" w:eastAsia="Calibri" w:hAnsi="Calibri"/>
          <w:b/>
          <w:bCs/>
          <w:color w:val="0F172A"/>
          <w:sz w:val="22"/>
          <w:szCs w:val="22"/>
        </w:rPr>
        <w:t xml:space="preserve">Certifications</w:t>
      </w:r>
      <w:r>
        <w:rPr>
          <w:rFonts w:ascii="Calibri" w:cs="Calibri" w:eastAsia="Calibri" w:hAnsi="Calibri"/>
          <w:color w:val="334155"/>
          <w:sz w:val="22"/>
          <w:szCs w:val="22"/>
        </w:rPr>
        <w:t xml:space="preserve">: Each accredited certification matching skill $s$ contributes $+15$ points.</w:t>
      </w:r>
    </w:p>
    <w:p>
      <w:pPr>
        <w:spacing w:after="100"/>
      </w:pPr>
    </w:p>
    <w:p>
      <w:pPr>
        <w:pStyle w:val="Heading3"/>
        <w:spacing w:after="80" w:before="160"/>
      </w:pPr>
      <w:r>
        <w:rPr>
          <w:rFonts w:ascii="Calibri" w:cs="Calibri" w:eastAsia="Calibri" w:hAnsi="Calibri"/>
          <w:b/>
          <w:bCs/>
          <w:color w:val="334155"/>
          <w:sz w:val="24"/>
          <w:szCs w:val="24"/>
        </w:rPr>
        <w:t xml:space="preserve">4.2 Tri-Factor Gap Prioritization Algorithm</w:t>
      </w:r>
    </w:p>
    <w:p>
      <w:pPr>
        <w:spacing w:after="100"/>
      </w:pPr>
      <w:r>
        <w:rPr>
          <w:rFonts w:ascii="Calibri" w:cs="Calibri" w:eastAsia="Calibri" w:hAnsi="Calibri"/>
          <w:color w:val="334155"/>
          <w:sz w:val="22"/>
          <w:szCs w:val="22"/>
        </w:rPr>
        <w:t xml:space="preserve">Let $R$ represent the candidate's target career role. The role specification defines a set of required skills $S</w:t>
      </w:r>
      <w:r>
        <w:rPr>
          <w:rFonts w:ascii="Calibri" w:cs="Calibri" w:eastAsia="Calibri" w:hAnsi="Calibri"/>
          <w:i/>
          <w:iCs/>
          <w:color w:val="334155"/>
          <w:sz w:val="22"/>
          <w:szCs w:val="22"/>
        </w:rPr>
        <w:t xml:space="preserve">R$, where each skill $s \in S</w:t>
      </w:r>
      <w:r>
        <w:rPr>
          <w:rFonts w:ascii="Calibri" w:cs="Calibri" w:eastAsia="Calibri" w:hAnsi="Calibri"/>
          <w:color w:val="334155"/>
          <w:sz w:val="22"/>
          <w:szCs w:val="22"/>
        </w:rPr>
        <w:t xml:space="preserve">R$ is parameterized by:</w:t>
      </w:r>
    </w:p>
    <w:p>
      <w:pPr>
        <w:pStyle w:val="ListParagraph"/>
        <w:numPr>
          <w:ilvl w:val="0"/>
          <w:numId w:val="1"/>
        </w:numPr>
        <w:spacing w:after="60"/>
      </w:pPr>
      <w:r>
        <w:rPr>
          <w:rFonts w:ascii="Calibri" w:cs="Calibri" w:eastAsia="Calibri" w:hAnsi="Calibri"/>
          <w:color w:val="334155"/>
          <w:sz w:val="22"/>
          <w:szCs w:val="22"/>
        </w:rPr>
        <w:t xml:space="preserve">$\text{Req}(s, R) \in [0, 100]$: The target percentage threshold required for hiring readiness.</w:t>
      </w:r>
    </w:p>
    <w:p>
      <w:pPr>
        <w:pStyle w:val="ListParagraph"/>
        <w:numPr>
          <w:ilvl w:val="0"/>
          <w:numId w:val="1"/>
        </w:numPr>
        <w:spacing w:after="60"/>
      </w:pPr>
      <w:r>
        <w:rPr>
          <w:rFonts w:ascii="Calibri" w:cs="Calibri" w:eastAsia="Calibri" w:hAnsi="Calibri"/>
          <w:color w:val="334155"/>
          <w:sz w:val="22"/>
          <w:szCs w:val="22"/>
        </w:rPr>
        <w:t xml:space="preserve">$W_{\text{importance}}(s) \in [1.0, 2.0]$: The intrinsic industry criticality of skill $s$.</w:t>
      </w:r>
    </w:p>
    <w:p>
      <w:pPr>
        <w:pStyle w:val="ListParagraph"/>
        <w:numPr>
          <w:ilvl w:val="0"/>
          <w:numId w:val="1"/>
        </w:numPr>
        <w:spacing w:after="60"/>
      </w:pPr>
      <w:r>
        <w:rPr>
          <w:rFonts w:ascii="Calibri" w:cs="Calibri" w:eastAsia="Calibri" w:hAnsi="Calibri"/>
          <w:color w:val="334155"/>
          <w:sz w:val="22"/>
          <w:szCs w:val="22"/>
        </w:rPr>
        <w:t xml:space="preserve">$W_{\text{relevance}}(s, R) \in [1.0, 2.0]$: The contextual relevance of skill $s$ specifically for role $R$.</w:t>
      </w:r>
    </w:p>
    <w:p>
      <w:pPr>
        <w:spacing w:after="100"/>
      </w:pPr>
    </w:p>
    <w:p>
      <w:pPr>
        <w:spacing w:after="100"/>
      </w:pPr>
      <w:r>
        <w:rPr>
          <w:rFonts w:ascii="Calibri" w:cs="Calibri" w:eastAsia="Calibri" w:hAnsi="Calibri"/>
          <w:color w:val="334155"/>
          <w:sz w:val="22"/>
          <w:szCs w:val="22"/>
        </w:rPr>
        <w:t xml:space="preserve">The absolute deficit $\text{Gap}(s)$ is defined as:</w:t>
      </w:r>
    </w:p>
    <w:p>
      <w:pPr>
        <w:spacing w:after="100"/>
      </w:pPr>
      <w:r>
        <w:rPr>
          <w:rFonts w:ascii="Calibri" w:cs="Calibri" w:eastAsia="Calibri" w:hAnsi="Calibri"/>
          <w:color w:val="334155"/>
          <w:sz w:val="22"/>
          <w:szCs w:val="22"/>
        </w:rPr>
        <w:t xml:space="preserve">$$\text{Gap}(s) = \max\left(0, \text{Req}(s, R) - S(s)\right)$$</w:t>
      </w:r>
    </w:p>
    <w:p>
      <w:pPr>
        <w:spacing w:after="100"/>
      </w:pPr>
    </w:p>
    <w:p>
      <w:pPr>
        <w:spacing w:after="100"/>
      </w:pPr>
      <w:r>
        <w:rPr>
          <w:rFonts w:ascii="Calibri" w:cs="Calibri" w:eastAsia="Calibri" w:hAnsi="Calibri"/>
          <w:color w:val="334155"/>
          <w:sz w:val="22"/>
          <w:szCs w:val="22"/>
        </w:rPr>
        <w:t xml:space="preserve">The </w:t>
      </w:r>
      <w:r>
        <w:rPr>
          <w:rFonts w:ascii="Calibri" w:cs="Calibri" w:eastAsia="Calibri" w:hAnsi="Calibri"/>
          <w:b/>
          <w:bCs/>
          <w:color w:val="0F172A"/>
          <w:sz w:val="22"/>
          <w:szCs w:val="22"/>
        </w:rPr>
        <w:t xml:space="preserve">Urgency Priority Score</w:t>
      </w:r>
      <w:r>
        <w:rPr>
          <w:rFonts w:ascii="Calibri" w:cs="Calibri" w:eastAsia="Calibri" w:hAnsi="Calibri"/>
          <w:color w:val="334155"/>
          <w:sz w:val="22"/>
          <w:szCs w:val="22"/>
        </w:rPr>
        <w:t xml:space="preserve"> $P(s)$ is computed as the product of deficit magnitude, industry weight, and role relevance:</w:t>
      </w:r>
    </w:p>
    <w:p>
      <w:pPr>
        <w:spacing w:after="100"/>
      </w:pPr>
      <w:r>
        <w:rPr>
          <w:rFonts w:ascii="Calibri" w:cs="Calibri" w:eastAsia="Calibri" w:hAnsi="Calibri"/>
          <w:color w:val="334155"/>
          <w:sz w:val="22"/>
          <w:szCs w:val="22"/>
        </w:rPr>
        <w:t xml:space="preserve">$$P(s) = \text{Gap}(s) \times W</w:t>
      </w:r>
      <w:r>
        <w:rPr>
          <w:rFonts w:ascii="Calibri" w:cs="Calibri" w:eastAsia="Calibri" w:hAnsi="Calibri"/>
          <w:i/>
          <w:iCs/>
          <w:color w:val="334155"/>
          <w:sz w:val="22"/>
          <w:szCs w:val="22"/>
        </w:rPr>
        <w:t xml:space="preserve">{\text{importance}}(s) \times W</w:t>
      </w:r>
      <w:r>
        <w:rPr>
          <w:rFonts w:ascii="Calibri" w:cs="Calibri" w:eastAsia="Calibri" w:hAnsi="Calibri"/>
          <w:color w:val="334155"/>
          <w:sz w:val="22"/>
          <w:szCs w:val="22"/>
        </w:rPr>
        <w:t xml:space="preserve">{\text{relevance}}(s, R)$$</w:t>
      </w:r>
    </w:p>
    <w:p>
      <w:pPr>
        <w:spacing w:after="100"/>
      </w:pPr>
    </w:p>
    <w:p>
      <w:pPr>
        <w:spacing w:after="100"/>
      </w:pPr>
      <w:r>
        <w:rPr>
          <w:rFonts w:ascii="Calibri" w:cs="Calibri" w:eastAsia="Calibri" w:hAnsi="Calibri"/>
          <w:color w:val="334155"/>
          <w:sz w:val="22"/>
          <w:szCs w:val="22"/>
        </w:rPr>
        <w:t xml:space="preserve">All identified gaps are sorted in descending order of $P(s)$. The skill with $\max(P(s))$ is designated as the candidate's </w:t>
      </w:r>
      <w:r>
        <w:rPr>
          <w:rFonts w:ascii="Calibri" w:cs="Calibri" w:eastAsia="Calibri" w:hAnsi="Calibri"/>
          <w:b/>
          <w:bCs/>
          <w:color w:val="0F172A"/>
          <w:sz w:val="22"/>
          <w:szCs w:val="22"/>
        </w:rPr>
        <w:t xml:space="preserve">Highest-Priority Pedagogical Deficit</w:t>
      </w:r>
      <w:r>
        <w:rPr>
          <w:rFonts w:ascii="Calibri" w:cs="Calibri" w:eastAsia="Calibri" w:hAnsi="Calibri"/>
          <w:color w:val="334155"/>
          <w:sz w:val="22"/>
          <w:szCs w:val="22"/>
        </w:rPr>
        <w:t xml:space="preserve">, directly driving mission recommendation.</w:t>
      </w:r>
    </w:p>
    <w:p>
      <w:pPr>
        <w:spacing w:after="100"/>
      </w:pPr>
    </w:p>
    <w:p>
      <w:pPr>
        <w:shd w:fill="F1F5F9" w:color="auto" w:val="clear"/>
        <w:spacing w:after="120" w:before="120"/>
      </w:pPr>
      <w:r>
        <w:rPr>
          <w:rFonts w:ascii="Consolas" w:cs="Consolas" w:eastAsia="Consolas" w:hAnsi="Consolas"/>
          <w:color w:val="1E293B"/>
          <w:sz w:val="20"/>
          <w:szCs w:val="20"/>
        </w:rPr>
        <w:t xml:space="preserve">Algorithm 1: Tri-Factor Gap Prioritization &amp; Ranking
-------------------------------------------------------------------------
Input: SkillGraphs S, RoleRequirements R_req
Output: Ranked Array of Prioritized Gaps G
1: G &lt;- empty list
2: Map ScoreMap &lt;- { s.skillName : s.currentScore for s in S }
3: for each req in R_req do
4:     curr &lt;- ScoreMap.get(req.skillName, default: 0)
5:     gap &lt;- max(0, req.requiredPercentage - curr)
6:     priority &lt;- gap * req.importanceWeight * req.relevanceWeight
7:     urgency &lt;- 'LOW'
8:     if gap &gt;= 40 then urgency &lt;- 'CRITICAL'
9:     else if gap &gt;= 20 then urgency &lt;- 'HIGH'
10:    else if gap &gt; 0 then urgency &lt;- 'MEDIUM'
11:    G.append({ skillName: req.skillName, gap, priority, urgency })
12: end for
13: Sort G descending by priority
14: return G
-------------------------------------------------------------------------</w:t>
      </w:r>
    </w:p>
    <w:p>
      <w:pPr>
        <w:spacing w:after="100"/>
      </w:pPr>
    </w:p>
    <w:p>
      <w:pPr>
        <w:pStyle w:val="Heading3"/>
        <w:spacing w:after="80" w:before="160"/>
      </w:pPr>
      <w:r>
        <w:rPr>
          <w:rFonts w:ascii="Calibri" w:cs="Calibri" w:eastAsia="Calibri" w:hAnsi="Calibri"/>
          <w:b/>
          <w:bCs/>
          <w:color w:val="334155"/>
          <w:sz w:val="24"/>
          <w:szCs w:val="24"/>
        </w:rPr>
        <w:t xml:space="preserve">4.3 Career Readiness Index (CRI)</w:t>
      </w:r>
    </w:p>
    <w:p>
      <w:pPr>
        <w:spacing w:after="100"/>
      </w:pPr>
      <w:r>
        <w:rPr>
          <w:rFonts w:ascii="Calibri" w:cs="Calibri" w:eastAsia="Calibri" w:hAnsi="Calibri"/>
          <w:color w:val="334155"/>
          <w:sz w:val="22"/>
          <w:szCs w:val="22"/>
        </w:rPr>
        <w:t xml:space="preserve">The aggregate Career Readiness Index $\text{CRI}(R) \in [0, 100]$ represents the weighted fulfillment of all competency requirements for target role $R$:</w:t>
      </w:r>
    </w:p>
    <w:p>
      <w:pPr>
        <w:spacing w:after="100"/>
      </w:pPr>
    </w:p>
    <w:p>
      <w:pPr>
        <w:spacing w:after="100"/>
      </w:pPr>
      <w:r>
        <w:rPr>
          <w:rFonts w:ascii="Calibri" w:cs="Calibri" w:eastAsia="Calibri" w:hAnsi="Calibri"/>
          <w:color w:val="334155"/>
          <w:sz w:val="22"/>
          <w:szCs w:val="22"/>
        </w:rPr>
        <w:t xml:space="preserve">$$\text{CRI}(R) = \text{round}\left( \frac{\sum</w:t>
      </w:r>
      <w:r>
        <w:rPr>
          <w:rFonts w:ascii="Calibri" w:cs="Calibri" w:eastAsia="Calibri" w:hAnsi="Calibri"/>
          <w:i/>
          <w:iCs/>
          <w:color w:val="334155"/>
          <w:sz w:val="22"/>
          <w:szCs w:val="22"/>
        </w:rPr>
        <w:t xml:space="preserve">{s \in S</w:t>
      </w:r>
      <w:r>
        <w:rPr>
          <w:rFonts w:ascii="Calibri" w:cs="Calibri" w:eastAsia="Calibri" w:hAnsi="Calibri"/>
          <w:color w:val="334155"/>
          <w:sz w:val="22"/>
          <w:szCs w:val="22"/>
        </w:rPr>
        <w:t xml:space="preserve">R} \min\left(1.0, \frac{S(s)}{\text{Req}(s, R)}\right) \times \left(W</w:t>
      </w:r>
      <w:r>
        <w:rPr>
          <w:rFonts w:ascii="Calibri" w:cs="Calibri" w:eastAsia="Calibri" w:hAnsi="Calibri"/>
          <w:i/>
          <w:iCs/>
          <w:color w:val="334155"/>
          <w:sz w:val="22"/>
          <w:szCs w:val="22"/>
        </w:rPr>
        <w:t xml:space="preserve">{\text{importance}}(s) \times W</w:t>
      </w:r>
      <w:r>
        <w:rPr>
          <w:rFonts w:ascii="Calibri" w:cs="Calibri" w:eastAsia="Calibri" w:hAnsi="Calibri"/>
          <w:color w:val="334155"/>
          <w:sz w:val="22"/>
          <w:szCs w:val="22"/>
        </w:rPr>
        <w:t xml:space="preserve">{\text{relevance}}(s, R)\right)}{\sum</w:t>
      </w:r>
      <w:r>
        <w:rPr>
          <w:rFonts w:ascii="Calibri" w:cs="Calibri" w:eastAsia="Calibri" w:hAnsi="Calibri"/>
          <w:i/>
          <w:iCs/>
          <w:color w:val="334155"/>
          <w:sz w:val="22"/>
          <w:szCs w:val="22"/>
        </w:rPr>
        <w:t xml:space="preserve">{s \in S</w:t>
      </w:r>
      <w:r>
        <w:rPr>
          <w:rFonts w:ascii="Calibri" w:cs="Calibri" w:eastAsia="Calibri" w:hAnsi="Calibri"/>
          <w:color w:val="334155"/>
          <w:sz w:val="22"/>
          <w:szCs w:val="22"/>
        </w:rPr>
        <w:t xml:space="preserve">R} \left(W</w:t>
      </w:r>
      <w:r>
        <w:rPr>
          <w:rFonts w:ascii="Calibri" w:cs="Calibri" w:eastAsia="Calibri" w:hAnsi="Calibri"/>
          <w:i/>
          <w:iCs/>
          <w:color w:val="334155"/>
          <w:sz w:val="22"/>
          <w:szCs w:val="22"/>
        </w:rPr>
        <w:t xml:space="preserve">{\text{importance}}(s) \times W</w:t>
      </w:r>
      <w:r>
        <w:rPr>
          <w:rFonts w:ascii="Calibri" w:cs="Calibri" w:eastAsia="Calibri" w:hAnsi="Calibri"/>
          <w:color w:val="334155"/>
          <w:sz w:val="22"/>
          <w:szCs w:val="22"/>
        </w:rPr>
        <w:t xml:space="preserve">{\text{relevance}}(s, R)\right)} \times 100 \right)$$</w:t>
      </w:r>
    </w:p>
    <w:p>
      <w:pPr>
        <w:spacing w:after="100"/>
      </w:pPr>
    </w:p>
    <w:p>
      <w:pPr>
        <w:spacing w:after="100"/>
      </w:pPr>
      <w:r>
        <w:rPr>
          <w:rFonts w:ascii="Calibri" w:cs="Calibri" w:eastAsia="Calibri" w:hAnsi="Calibri"/>
          <w:color w:val="334155"/>
          <w:sz w:val="22"/>
          <w:szCs w:val="22"/>
        </w:rPr>
        <w:t xml:space="preserve">This metric guarantees that:</w:t>
      </w:r>
    </w:p>
    <w:p>
      <w:pPr>
        <w:spacing w:after="60"/>
      </w:pPr>
      <w:r>
        <w:rPr>
          <w:b/>
          <w:bCs/>
          <w:color w:val="1E3A8A"/>
        </w:rPr>
        <w:t xml:space="preserve">1. </w:t>
      </w:r>
      <w:r>
        <w:rPr>
          <w:rFonts w:ascii="Calibri" w:cs="Calibri" w:eastAsia="Calibri" w:hAnsi="Calibri"/>
          <w:color w:val="334155"/>
          <w:sz w:val="22"/>
          <w:szCs w:val="22"/>
        </w:rPr>
        <w:t xml:space="preserve">Skills exceeding requirement thresholds ($\frac{S(s)}{\text{Req}(s, R)} &gt; 1.0$) are capped at $1.0$, preventing over-specialization in one domain (e.g. solving 1,000 DSA problems) from artificially masking critical zero-scores in systems engineering.</w:t>
      </w:r>
    </w:p>
    <w:p>
      <w:pPr>
        <w:spacing w:after="60"/>
      </w:pPr>
      <w:r>
        <w:rPr>
          <w:b/>
          <w:bCs/>
          <w:color w:val="1E3A8A"/>
        </w:rPr>
        <w:t xml:space="preserve">2. </w:t>
      </w:r>
      <w:r>
        <w:rPr>
          <w:rFonts w:ascii="Calibri" w:cs="Calibri" w:eastAsia="Calibri" w:hAnsi="Calibri"/>
          <w:color w:val="334155"/>
          <w:sz w:val="22"/>
          <w:szCs w:val="22"/>
        </w:rPr>
        <w:t xml:space="preserve">The score is fully explainable, bounded, and resistant to grading drift.</w:t>
      </w:r>
    </w:p>
    <w:p>
      <w:pPr>
        <w:spacing w:after="100"/>
      </w:pPr>
    </w:p>
    <w:p>
      <w:pPr>
        <w:pBdr>
          <w:bottom w:val="single" w:color="CBD5E1" w:sz="6" w:space="1"/>
        </w:pBdr>
        <w:spacing w:after="180" w:before="180"/>
      </w:pPr>
    </w:p>
    <w:p>
      <w:pPr>
        <w:spacing w:after="100"/>
      </w:pPr>
    </w:p>
    <w:p>
      <w:pPr>
        <w:pStyle w:val="Heading2"/>
        <w:spacing w:after="120" w:before="200"/>
      </w:pPr>
      <w:r>
        <w:rPr>
          <w:rFonts w:ascii="Calibri" w:cs="Calibri" w:eastAsia="Calibri" w:hAnsi="Calibri"/>
          <w:b/>
          <w:bCs/>
          <w:color w:val="1E3A8A"/>
          <w:sz w:val="28"/>
          <w:szCs w:val="28"/>
        </w:rPr>
        <w:t xml:space="preserve">5. Automated Rubric Evaluator Engine</w:t>
      </w:r>
    </w:p>
    <w:p>
      <w:pPr>
        <w:spacing w:after="100"/>
      </w:pPr>
    </w:p>
    <w:p>
      <w:pPr>
        <w:pStyle w:val="Heading3"/>
        <w:spacing w:after="80" w:before="160"/>
      </w:pPr>
      <w:r>
        <w:rPr>
          <w:rFonts w:ascii="Calibri" w:cs="Calibri" w:eastAsia="Calibri" w:hAnsi="Calibri"/>
          <w:b/>
          <w:bCs/>
          <w:color w:val="334155"/>
          <w:sz w:val="24"/>
          <w:szCs w:val="24"/>
        </w:rPr>
        <w:t xml:space="preserve">5.1 Deterministic Code &amp; Manifest Inspection</w:t>
      </w:r>
    </w:p>
    <w:p>
      <w:pPr>
        <w:spacing w:after="100"/>
      </w:pPr>
      <w:r>
        <w:rPr>
          <w:rFonts w:ascii="Calibri" w:cs="Calibri" w:eastAsia="Calibri" w:hAnsi="Calibri"/>
          <w:color w:val="334155"/>
          <w:sz w:val="22"/>
          <w:szCs w:val="22"/>
        </w:rPr>
        <w:t xml:space="preserve">When a student submits evidence for a hands-on mission (via a remote repository URL or through the integrated in-browser code editor), SkillTwin executes a deterministic checklist scanner:</w:t>
      </w:r>
    </w:p>
    <w:p>
      <w:pPr>
        <w:spacing w:after="100"/>
      </w:pPr>
    </w:p>
    <w:p>
      <w:pPr>
        <w:shd w:fill="F1F5F9" w:color="auto" w:val="clear"/>
        <w:spacing w:after="120" w:before="120"/>
      </w:pPr>
      <w:r>
        <w:rPr>
          <w:rFonts w:ascii="Consolas" w:cs="Consolas" w:eastAsia="Consolas" w:hAnsi="Consolas"/>
          <w:color w:val="1E293B"/>
          <w:sz w:val="20"/>
          <w:szCs w:val="20"/>
        </w:rPr>
        <w:t xml:space="preserve">[Candidate Submission]
   |--&gt; GitHub Repository URL OR In-Browser Artifact Manifest
          |
          v
[File-Tree Extraction &amp; Normalization]
   |--&gt; Discovered Artifacts: [Dockerfile, compose.yml, tests/api.test.js, ...]
          |
          v
[Checklist Pattern Matcher]
   |--&gt; Rule 1: Multi-stage build check (FROM ... AS builder) -&gt; [PASSED: +10 pts]
   |--&gt; Rule 2: Container healthcheck check (pg_isready ...)    -&gt; [PASSED: +5 pts]
   |--&gt; Rule 3: Unit test assertions check (assert.equal ...)   -&gt; [PASSED: +5 pts]
          |
          v
[Score Delta Allocation &amp; Twin Mutation]
   |--&gt; Award Score Delta: +20 Points to "Docker &amp; Containerization"
   |--&gt; Trigger Digital Twin Recalculation: 58% -&gt; 72% Readiness
   |--&gt; Append Historical Trajectory Audit Node</w:t>
      </w:r>
    </w:p>
    <w:p>
      <w:pPr>
        <w:spacing w:after="100"/>
      </w:pPr>
    </w:p>
    <w:p>
      <w:pPr>
        <w:pStyle w:val="Heading3"/>
        <w:spacing w:after="80" w:before="160"/>
      </w:pPr>
      <w:r>
        <w:rPr>
          <w:rFonts w:ascii="Calibri" w:cs="Calibri" w:eastAsia="Calibri" w:hAnsi="Calibri"/>
          <w:b/>
          <w:bCs/>
          <w:color w:val="334155"/>
          <w:sz w:val="24"/>
          <w:szCs w:val="24"/>
        </w:rPr>
        <w:t xml:space="preserve">5.2 Dynamic In-Memory Code Testing</w:t>
      </w:r>
    </w:p>
    <w:p>
      <w:pPr>
        <w:spacing w:after="100"/>
      </w:pPr>
      <w:r>
        <w:rPr>
          <w:rFonts w:ascii="Calibri" w:cs="Calibri" w:eastAsia="Calibri" w:hAnsi="Calibri"/>
          <w:color w:val="334155"/>
          <w:sz w:val="22"/>
          <w:szCs w:val="22"/>
        </w:rPr>
        <w:t xml:space="preserve">For zero-friction live demonstrations and edge evaluation, SkillTwin accepts direct multi-file code manifests:</w:t>
      </w:r>
    </w:p>
    <w:p>
      <w:pPr>
        <w:spacing w:after="100"/>
      </w:pPr>
      <w:r>
        <w:rPr>
          <w:rFonts w:ascii="Calibri" w:cs="Calibri" w:eastAsia="Calibri" w:hAnsi="Calibri"/>
          <w:color w:val="334155"/>
          <w:sz w:val="22"/>
          <w:szCs w:val="22"/>
        </w:rPr>
        <w:t xml:space="preserve">$$\text{Manifest} = \{ \text{"Dockerfile"}: C</w:t>
      </w:r>
      <w:r>
        <w:rPr>
          <w:rFonts w:ascii="Calibri" w:cs="Calibri" w:eastAsia="Calibri" w:hAnsi="Calibri"/>
          <w:i/>
          <w:iCs/>
          <w:color w:val="334155"/>
          <w:sz w:val="22"/>
          <w:szCs w:val="22"/>
        </w:rPr>
        <w:t xml:space="preserve">{\text{docker}}, \text{"docker-compose.yml"}: C</w:t>
      </w:r>
      <w:r>
        <w:rPr>
          <w:rFonts w:ascii="Calibri" w:cs="Calibri" w:eastAsia="Calibri" w:hAnsi="Calibri"/>
          <w:color w:val="334155"/>
          <w:sz w:val="22"/>
          <w:szCs w:val="22"/>
        </w:rPr>
        <w:t xml:space="preserve">{\text{compose}}, \text{"tests/api.test.js"}: C_{\text{test}} \}$$</w:t>
      </w:r>
    </w:p>
    <w:p>
      <w:pPr>
        <w:spacing w:after="100"/>
      </w:pPr>
    </w:p>
    <w:p>
      <w:pPr>
        <w:spacing w:after="100"/>
      </w:pPr>
      <w:r>
        <w:rPr>
          <w:rFonts w:ascii="Calibri" w:cs="Calibri" w:eastAsia="Calibri" w:hAnsi="Calibri"/>
          <w:color w:val="334155"/>
          <w:sz w:val="22"/>
          <w:szCs w:val="22"/>
        </w:rPr>
        <w:t xml:space="preserve">The evaluator inspects both structural file presence and internal syntax patterns (e.g. verifying non-root </w:t>
      </w:r>
      <w:r>
        <w:rPr>
          <w:rFonts w:ascii="Consolas" w:cs="Consolas" w:eastAsia="Consolas" w:hAnsi="Consolas"/>
          <w:color w:val="0F172A"/>
          <w:sz w:val="20"/>
          <w:szCs w:val="20"/>
          <w:shd w:fill="F1F5F9" w:color="auto" w:val="clear"/>
        </w:rPr>
        <w:t xml:space="preserve">USER</w:t>
      </w:r>
      <w:r>
        <w:rPr>
          <w:rFonts w:ascii="Calibri" w:cs="Calibri" w:eastAsia="Calibri" w:hAnsi="Calibri"/>
          <w:color w:val="334155"/>
          <w:sz w:val="22"/>
          <w:szCs w:val="22"/>
        </w:rPr>
        <w:t xml:space="preserve"> declarations in Dockerfiles, composite index declarations in SQL DDL, and idempotency key headers in REST controllers), returning an auditable breakdown of passed versus failed criteria.</w:t>
      </w:r>
    </w:p>
    <w:p>
      <w:pPr>
        <w:spacing w:after="100"/>
      </w:pPr>
    </w:p>
    <w:p>
      <w:pPr>
        <w:pBdr>
          <w:bottom w:val="single" w:color="CBD5E1" w:sz="6" w:space="1"/>
        </w:pBdr>
        <w:spacing w:after="180" w:before="180"/>
      </w:pPr>
    </w:p>
    <w:p>
      <w:pPr>
        <w:spacing w:after="100"/>
      </w:pPr>
    </w:p>
    <w:p>
      <w:pPr>
        <w:pStyle w:val="Heading2"/>
        <w:spacing w:after="120" w:before="200"/>
      </w:pPr>
      <w:r>
        <w:rPr>
          <w:rFonts w:ascii="Calibri" w:cs="Calibri" w:eastAsia="Calibri" w:hAnsi="Calibri"/>
          <w:b/>
          <w:bCs/>
          <w:color w:val="1E3A8A"/>
          <w:sz w:val="28"/>
          <w:szCs w:val="28"/>
        </w:rPr>
        <w:t xml:space="preserve">6. Institutional Telemetry &amp; Faculty Intervention</w:t>
      </w:r>
    </w:p>
    <w:p>
      <w:pPr>
        <w:spacing w:after="100"/>
      </w:pPr>
    </w:p>
    <w:p>
      <w:pPr>
        <w:spacing w:after="100"/>
      </w:pPr>
      <w:r>
        <w:rPr>
          <w:rFonts w:ascii="Calibri" w:cs="Calibri" w:eastAsia="Calibri" w:hAnsi="Calibri"/>
          <w:color w:val="334155"/>
          <w:sz w:val="22"/>
          <w:szCs w:val="22"/>
        </w:rPr>
        <w:t xml:space="preserve">SkillTwin addresses the administrative requirements of universities and training institutions by providing aggregate cohort intelligence.</w:t>
      </w:r>
    </w:p>
    <w:p>
      <w:pPr>
        <w:spacing w:after="100"/>
      </w:pPr>
    </w:p>
    <w:p>
      <w:pPr>
        <w:shd w:fill="F1F5F9" w:color="auto" w:val="clear"/>
        <w:spacing w:after="120" w:before="120"/>
      </w:pPr>
      <w:r>
        <w:rPr>
          <w:rFonts w:ascii="Consolas" w:cs="Consolas" w:eastAsia="Consolas" w:hAnsi="Consolas"/>
          <w:color w:val="1E293B"/>
          <w:sz w:val="20"/>
          <w:szCs w:val="20"/>
        </w:rPr>
        <w:t xml:space="preserve">+-------------------------------------------------------------------------+
|                  INSTITUTIONAL COHORT INTELLIGENCE COCKPIT              |
+-------------------------------------------------------------------------+
|  Total Candidates: 128     | Cohort Avg Readiness: 61% | Critical Gaps: 2|
+----------------------------+---------------------------+----------------+
|                                                                         |
|  INSTITUTIONAL SKILL DEFICIT HEATMAP:                                   |
|  [||||||||||||||||||||||||||||||||||||||||] 78% Lack Docker &amp; Containers|
|  [|||||||||||||||||||||||||||             ] 54% Lack Concurrency/Redis  |
|  [|||||||||||||                           ] 24% Lack SQL Indexing       |
|                                                                         |
|  AUTOMATED FACULTY INTERVENTION WORKFLOW:                               |
|  1. Generate 2-Week Intensive Workshop Syllabus for #1 Cohort Deficit   |
|  2. Direct Faculty Mission Dispatch with Pedagogical Coaching Notes     |
|  3. 1-Click Placement Telemetry CSV Export for Accrediting Bodies       |
+-------------------------------------------------------------------------+</w:t>
      </w:r>
    </w:p>
    <w:p>
      <w:pPr>
        <w:spacing w:after="100"/>
      </w:pPr>
    </w:p>
    <w:p>
      <w:pPr>
        <w:pStyle w:val="Heading3"/>
        <w:spacing w:after="80" w:before="160"/>
      </w:pPr>
      <w:r>
        <w:rPr>
          <w:rFonts w:ascii="Calibri" w:cs="Calibri" w:eastAsia="Calibri" w:hAnsi="Calibri"/>
          <w:b/>
          <w:bCs/>
          <w:color w:val="334155"/>
          <w:sz w:val="24"/>
          <w:szCs w:val="24"/>
        </w:rPr>
        <w:t xml:space="preserve">6.1 Automated Workshop Syllabus Synthesis</w:t>
      </w:r>
    </w:p>
    <w:p>
      <w:pPr>
        <w:spacing w:after="100"/>
      </w:pPr>
      <w:r>
        <w:rPr>
          <w:rFonts w:ascii="Calibri" w:cs="Calibri" w:eastAsia="Calibri" w:hAnsi="Calibri"/>
          <w:color w:val="334155"/>
          <w:sz w:val="22"/>
          <w:szCs w:val="22"/>
        </w:rPr>
        <w:t xml:space="preserve">By evaluating aggregate skill graphs across enrolled students, SkillTwin identifies the primary structural curriculum gap across the student body. The system dynamically generates an actionable 2-week intensive laboratory syllabus (including lecture themes, multi-stage lab missions, and automated verification criteria) that department chairs can immediately deploy.</w:t>
      </w:r>
    </w:p>
    <w:p>
      <w:pPr>
        <w:spacing w:after="100"/>
      </w:pPr>
    </w:p>
    <w:p>
      <w:pPr>
        <w:pStyle w:val="Heading3"/>
        <w:spacing w:after="80" w:before="160"/>
      </w:pPr>
      <w:r>
        <w:rPr>
          <w:rFonts w:ascii="Calibri" w:cs="Calibri" w:eastAsia="Calibri" w:hAnsi="Calibri"/>
          <w:b/>
          <w:bCs/>
          <w:color w:val="334155"/>
          <w:sz w:val="24"/>
          <w:szCs w:val="24"/>
        </w:rPr>
        <w:t xml:space="preserve">6.2 Faculty-to-Student Directed Nudge Workflow</w:t>
      </w:r>
    </w:p>
    <w:p>
      <w:pPr>
        <w:spacing w:after="100"/>
      </w:pPr>
      <w:r>
        <w:rPr>
          <w:rFonts w:ascii="Calibri" w:cs="Calibri" w:eastAsia="Calibri" w:hAnsi="Calibri"/>
          <w:color w:val="334155"/>
          <w:sz w:val="22"/>
          <w:szCs w:val="22"/>
        </w:rPr>
        <w:t xml:space="preserve">College administrators inspecting individual student twins can dispatch targeted priority missions accompanied by faculty guidance notes. The assigned mission is injected directly into the student’s active dashboard as a high-visibility faculty intervention banner, establishing a real-time collaborative feedback loop between instructors and candidates.</w:t>
      </w:r>
    </w:p>
    <w:p>
      <w:pPr>
        <w:spacing w:after="100"/>
      </w:pPr>
    </w:p>
    <w:p>
      <w:pPr>
        <w:pBdr>
          <w:bottom w:val="single" w:color="CBD5E1" w:sz="6" w:space="1"/>
        </w:pBdr>
        <w:spacing w:after="180" w:before="180"/>
      </w:pPr>
    </w:p>
    <w:p>
      <w:pPr>
        <w:spacing w:after="100"/>
      </w:pPr>
    </w:p>
    <w:p>
      <w:pPr>
        <w:pStyle w:val="Heading2"/>
        <w:spacing w:after="120" w:before="200"/>
      </w:pPr>
      <w:r>
        <w:rPr>
          <w:rFonts w:ascii="Calibri" w:cs="Calibri" w:eastAsia="Calibri" w:hAnsi="Calibri"/>
          <w:b/>
          <w:bCs/>
          <w:color w:val="1E3A8A"/>
          <w:sz w:val="28"/>
          <w:szCs w:val="28"/>
        </w:rPr>
        <w:t xml:space="preserve">7. Empirical Persona Evaluations &amp; Case Studies</w:t>
      </w:r>
    </w:p>
    <w:p>
      <w:pPr>
        <w:spacing w:after="100"/>
      </w:pPr>
    </w:p>
    <w:p>
      <w:pPr>
        <w:spacing w:after="100"/>
      </w:pPr>
      <w:r>
        <w:rPr>
          <w:rFonts w:ascii="Calibri" w:cs="Calibri" w:eastAsia="Calibri" w:hAnsi="Calibri"/>
          <w:color w:val="334155"/>
          <w:sz w:val="22"/>
          <w:szCs w:val="22"/>
        </w:rPr>
        <w:t xml:space="preserve">To validate the multi-role mathematical framework, SkillTwin was evaluated across three distinct baseline engineering personas and one institutional administrator profile:</w:t>
      </w:r>
    </w:p>
    <w:p>
      <w:pPr>
        <w:spacing w:after="100"/>
      </w:pPr>
    </w:p>
    <w:p>
      <w:pPr>
        <w:pStyle w:val="Heading3"/>
        <w:spacing w:after="80" w:before="160"/>
      </w:pPr>
      <w:r>
        <w:rPr>
          <w:rFonts w:ascii="Calibri" w:cs="Calibri" w:eastAsia="Calibri" w:hAnsi="Calibri"/>
          <w:b/>
          <w:bCs/>
          <w:color w:val="334155"/>
          <w:sz w:val="24"/>
          <w:szCs w:val="24"/>
        </w:rPr>
        <w:t xml:space="preserve">Case Study 1: Alex Chen (Mid-Stage Backend Candidate)</w:t>
      </w:r>
    </w:p>
    <w:p>
      <w:pPr>
        <w:pStyle w:val="ListParagraph"/>
        <w:numPr>
          <w:ilvl w:val="0"/>
          <w:numId w:val="1"/>
        </w:numPr>
        <w:spacing w:after="60"/>
      </w:pPr>
      <w:r>
        <w:rPr>
          <w:rFonts w:ascii="Calibri" w:cs="Calibri" w:eastAsia="Calibri" w:hAnsi="Calibri"/>
          <w:b/>
          <w:bCs/>
          <w:color w:val="0F172A"/>
          <w:sz w:val="22"/>
          <w:szCs w:val="22"/>
        </w:rPr>
        <w:t xml:space="preserve">Profile:</w:t>
      </w:r>
      <w:r>
        <w:rPr>
          <w:rFonts w:ascii="Calibri" w:cs="Calibri" w:eastAsia="Calibri" w:hAnsi="Calibri"/>
          <w:color w:val="334155"/>
          <w:sz w:val="22"/>
          <w:szCs w:val="22"/>
        </w:rPr>
        <w:t xml:space="preserve"> Final-year Computer Science undergraduate. $145$ LeetCode problems solved, academic coursework in DBMS and Operating Systems, relational task queue project.</w:t>
      </w:r>
    </w:p>
    <w:p>
      <w:pPr>
        <w:pStyle w:val="ListParagraph"/>
        <w:numPr>
          <w:ilvl w:val="0"/>
          <w:numId w:val="1"/>
        </w:numPr>
        <w:spacing w:after="60"/>
      </w:pPr>
      <w:r>
        <w:rPr>
          <w:rFonts w:ascii="Calibri" w:cs="Calibri" w:eastAsia="Calibri" w:hAnsi="Calibri"/>
          <w:b/>
          <w:bCs/>
          <w:color w:val="0F172A"/>
          <w:sz w:val="22"/>
          <w:szCs w:val="22"/>
        </w:rPr>
        <w:t xml:space="preserve">Target Role:</w:t>
      </w:r>
      <w:r>
        <w:rPr>
          <w:rFonts w:ascii="Calibri" w:cs="Calibri" w:eastAsia="Calibri" w:hAnsi="Calibri"/>
          <w:color w:val="334155"/>
          <w:sz w:val="22"/>
          <w:szCs w:val="22"/>
        </w:rPr>
        <w:t xml:space="preserve"> Backend Software Engineer.</w:t>
      </w:r>
    </w:p>
    <w:p>
      <w:pPr>
        <w:pStyle w:val="ListParagraph"/>
        <w:numPr>
          <w:ilvl w:val="0"/>
          <w:numId w:val="1"/>
        </w:numPr>
        <w:spacing w:after="60"/>
      </w:pPr>
      <w:r>
        <w:rPr>
          <w:rFonts w:ascii="Calibri" w:cs="Calibri" w:eastAsia="Calibri" w:hAnsi="Calibri"/>
          <w:b/>
          <w:bCs/>
          <w:color w:val="0F172A"/>
          <w:sz w:val="22"/>
          <w:szCs w:val="22"/>
        </w:rPr>
        <w:t xml:space="preserve">Initial Metrics:</w:t>
      </w:r>
    </w:p>
    <w:p>
      <w:pPr>
        <w:pStyle w:val="ListParagraph"/>
        <w:numPr>
          <w:ilvl w:val="0"/>
          <w:numId w:val="1"/>
        </w:numPr>
        <w:spacing w:after="60"/>
      </w:pPr>
      <w:r>
        <w:rPr>
          <w:rFonts w:ascii="Calibri" w:cs="Calibri" w:eastAsia="Calibri" w:hAnsi="Calibri"/>
          <w:color w:val="334155"/>
          <w:sz w:val="22"/>
          <w:szCs w:val="22"/>
        </w:rPr>
        <w:t xml:space="preserve">Data Structures &amp; Algorithms: $82\%$ (Mastered)</w:t>
      </w:r>
    </w:p>
    <w:p>
      <w:pPr>
        <w:pStyle w:val="ListParagraph"/>
        <w:numPr>
          <w:ilvl w:val="0"/>
          <w:numId w:val="1"/>
        </w:numPr>
        <w:spacing w:after="60"/>
      </w:pPr>
      <w:r>
        <w:rPr>
          <w:rFonts w:ascii="Calibri" w:cs="Calibri" w:eastAsia="Calibri" w:hAnsi="Calibri"/>
          <w:color w:val="334155"/>
          <w:sz w:val="22"/>
          <w:szCs w:val="22"/>
        </w:rPr>
        <w:t xml:space="preserve">Relational Databases &amp; SQL: $78\%$ (Mastered)</w:t>
      </w:r>
    </w:p>
    <w:p>
      <w:pPr>
        <w:pStyle w:val="ListParagraph"/>
        <w:numPr>
          <w:ilvl w:val="0"/>
          <w:numId w:val="1"/>
        </w:numPr>
        <w:spacing w:after="60"/>
      </w:pPr>
      <w:r>
        <w:rPr>
          <w:rFonts w:ascii="Calibri" w:cs="Calibri" w:eastAsia="Calibri" w:hAnsi="Calibri"/>
          <w:color w:val="334155"/>
          <w:sz w:val="22"/>
          <w:szCs w:val="22"/>
        </w:rPr>
        <w:t xml:space="preserve">Docker &amp; Containerization: $35\%$ (Deficit: $40$ pts)</w:t>
      </w:r>
    </w:p>
    <w:p>
      <w:pPr>
        <w:pStyle w:val="ListParagraph"/>
        <w:numPr>
          <w:ilvl w:val="0"/>
          <w:numId w:val="1"/>
        </w:numPr>
        <w:spacing w:after="60"/>
      </w:pPr>
      <w:r>
        <w:rPr>
          <w:rFonts w:ascii="Calibri" w:cs="Calibri" w:eastAsia="Calibri" w:hAnsi="Calibri"/>
          <w:b/>
          <w:bCs/>
          <w:color w:val="0F172A"/>
          <w:sz w:val="22"/>
          <w:szCs w:val="22"/>
        </w:rPr>
        <w:t xml:space="preserve">Readiness Score:</w:t>
      </w:r>
      <w:r>
        <w:rPr>
          <w:rFonts w:ascii="Calibri" w:cs="Calibri" w:eastAsia="Calibri" w:hAnsi="Calibri"/>
          <w:color w:val="334155"/>
          <w:sz w:val="22"/>
          <w:szCs w:val="22"/>
        </w:rPr>
        <w:t xml:space="preserve"> $\mathbf{58\%}$</w:t>
      </w:r>
    </w:p>
    <w:p>
      <w:pPr>
        <w:pStyle w:val="ListParagraph"/>
        <w:numPr>
          <w:ilvl w:val="0"/>
          <w:numId w:val="1"/>
        </w:numPr>
        <w:spacing w:after="60"/>
      </w:pPr>
      <w:r>
        <w:rPr>
          <w:rFonts w:ascii="Calibri" w:cs="Calibri" w:eastAsia="Calibri" w:hAnsi="Calibri"/>
          <w:b/>
          <w:bCs/>
          <w:color w:val="0F172A"/>
          <w:sz w:val="22"/>
          <w:szCs w:val="22"/>
        </w:rPr>
        <w:t xml:space="preserve">Identified #1 Gap:</w:t>
      </w:r>
      <w:r>
        <w:rPr>
          <w:rFonts w:ascii="Calibri" w:cs="Calibri" w:eastAsia="Calibri" w:hAnsi="Calibri"/>
          <w:color w:val="334155"/>
          <w:sz w:val="22"/>
          <w:szCs w:val="22"/>
        </w:rPr>
        <w:t xml:space="preserve"> *Docker &amp; Containerization* ($P = 40 \times 1.3 \times 1.4 = 72.8$).</w:t>
      </w:r>
    </w:p>
    <w:p>
      <w:pPr>
        <w:pStyle w:val="ListParagraph"/>
        <w:numPr>
          <w:ilvl w:val="0"/>
          <w:numId w:val="1"/>
        </w:numPr>
        <w:spacing w:after="60"/>
      </w:pPr>
      <w:r>
        <w:rPr>
          <w:rFonts w:ascii="Calibri" w:cs="Calibri" w:eastAsia="Calibri" w:hAnsi="Calibri"/>
          <w:b/>
          <w:bCs/>
          <w:color w:val="0F172A"/>
          <w:sz w:val="22"/>
          <w:szCs w:val="22"/>
        </w:rPr>
        <w:t xml:space="preserve">Intervention:</w:t>
      </w:r>
      <w:r>
        <w:rPr>
          <w:rFonts w:ascii="Calibri" w:cs="Calibri" w:eastAsia="Calibri" w:hAnsi="Calibri"/>
          <w:color w:val="334155"/>
          <w:sz w:val="22"/>
          <w:szCs w:val="22"/>
        </w:rPr>
        <w:t xml:space="preserve"> Completed Hands-on Mission *"Containerize an Express Service with Multi-Stage Dockerfile"*.</w:t>
      </w:r>
    </w:p>
    <w:p>
      <w:pPr>
        <w:pStyle w:val="ListParagraph"/>
        <w:numPr>
          <w:ilvl w:val="0"/>
          <w:numId w:val="1"/>
        </w:numPr>
        <w:spacing w:after="60"/>
      </w:pPr>
      <w:r>
        <w:rPr>
          <w:rFonts w:ascii="Calibri" w:cs="Calibri" w:eastAsia="Calibri" w:hAnsi="Calibri"/>
          <w:b/>
          <w:bCs/>
          <w:color w:val="0F172A"/>
          <w:sz w:val="22"/>
          <w:szCs w:val="22"/>
        </w:rPr>
        <w:t xml:space="preserve">Post-Evaluation Outcome:</w:t>
      </w:r>
      <w:r>
        <w:rPr>
          <w:rFonts w:ascii="Calibri" w:cs="Calibri" w:eastAsia="Calibri" w:hAnsi="Calibri"/>
          <w:color w:val="334155"/>
          <w:sz w:val="22"/>
          <w:szCs w:val="22"/>
        </w:rPr>
        <w:t xml:space="preserve"> $+20$ pts awarded to Docker score ($35\% \to 55\%$). Overall Career Readiness Index increased from $\mathbf{58\% \to 66\%}$.</w:t>
      </w:r>
    </w:p>
    <w:p>
      <w:pPr>
        <w:spacing w:after="100"/>
      </w:pPr>
    </w:p>
    <w:p>
      <w:pPr>
        <w:pStyle w:val="Heading3"/>
        <w:spacing w:after="80" w:before="160"/>
      </w:pPr>
      <w:r>
        <w:rPr>
          <w:rFonts w:ascii="Calibri" w:cs="Calibri" w:eastAsia="Calibri" w:hAnsi="Calibri"/>
          <w:b/>
          <w:bCs/>
          <w:color w:val="334155"/>
          <w:sz w:val="24"/>
          <w:szCs w:val="24"/>
        </w:rPr>
        <w:t xml:space="preserve">Case Study 2: Sarah Miller (Advanced Full-Stack Candidate)</w:t>
      </w:r>
    </w:p>
    <w:p>
      <w:pPr>
        <w:pStyle w:val="ListParagraph"/>
        <w:numPr>
          <w:ilvl w:val="0"/>
          <w:numId w:val="1"/>
        </w:numPr>
        <w:spacing w:after="60"/>
      </w:pPr>
      <w:r>
        <w:rPr>
          <w:rFonts w:ascii="Calibri" w:cs="Calibri" w:eastAsia="Calibri" w:hAnsi="Calibri"/>
          <w:b/>
          <w:bCs/>
          <w:color w:val="0F172A"/>
          <w:sz w:val="22"/>
          <w:szCs w:val="22"/>
        </w:rPr>
        <w:t xml:space="preserve">Profile:</w:t>
      </w:r>
      <w:r>
        <w:rPr>
          <w:rFonts w:ascii="Calibri" w:cs="Calibri" w:eastAsia="Calibri" w:hAnsi="Calibri"/>
          <w:color w:val="334155"/>
          <w:sz w:val="22"/>
          <w:szCs w:val="22"/>
        </w:rPr>
        <w:t xml:space="preserve"> Software Engineering student with high-scale React/TypeScript collaborative canvas portfolio, PostgreSQL microservices, and $210$ solved DSA problems.</w:t>
      </w:r>
    </w:p>
    <w:p>
      <w:pPr>
        <w:pStyle w:val="ListParagraph"/>
        <w:numPr>
          <w:ilvl w:val="0"/>
          <w:numId w:val="1"/>
        </w:numPr>
        <w:spacing w:after="60"/>
      </w:pPr>
      <w:r>
        <w:rPr>
          <w:rFonts w:ascii="Calibri" w:cs="Calibri" w:eastAsia="Calibri" w:hAnsi="Calibri"/>
          <w:b/>
          <w:bCs/>
          <w:color w:val="0F172A"/>
          <w:sz w:val="22"/>
          <w:szCs w:val="22"/>
        </w:rPr>
        <w:t xml:space="preserve">Target Role:</w:t>
      </w:r>
      <w:r>
        <w:rPr>
          <w:rFonts w:ascii="Calibri" w:cs="Calibri" w:eastAsia="Calibri" w:hAnsi="Calibri"/>
          <w:color w:val="334155"/>
          <w:sz w:val="22"/>
          <w:szCs w:val="22"/>
        </w:rPr>
        <w:t xml:space="preserve"> Full-Stack Developer.</w:t>
      </w:r>
    </w:p>
    <w:p>
      <w:pPr>
        <w:pStyle w:val="ListParagraph"/>
        <w:numPr>
          <w:ilvl w:val="0"/>
          <w:numId w:val="1"/>
        </w:numPr>
        <w:spacing w:after="60"/>
      </w:pPr>
      <w:r>
        <w:rPr>
          <w:rFonts w:ascii="Calibri" w:cs="Calibri" w:eastAsia="Calibri" w:hAnsi="Calibri"/>
          <w:b/>
          <w:bCs/>
          <w:color w:val="0F172A"/>
          <w:sz w:val="22"/>
          <w:szCs w:val="22"/>
        </w:rPr>
        <w:t xml:space="preserve">Readiness Score:</w:t>
      </w:r>
      <w:r>
        <w:rPr>
          <w:rFonts w:ascii="Calibri" w:cs="Calibri" w:eastAsia="Calibri" w:hAnsi="Calibri"/>
          <w:color w:val="334155"/>
          <w:sz w:val="22"/>
          <w:szCs w:val="22"/>
        </w:rPr>
        <w:t xml:space="preserve"> $\mathbf{86\%}$ (Interview-Ready &amp; Competitive).</w:t>
      </w:r>
    </w:p>
    <w:p>
      <w:pPr>
        <w:pStyle w:val="ListParagraph"/>
        <w:numPr>
          <w:ilvl w:val="0"/>
          <w:numId w:val="1"/>
        </w:numPr>
        <w:spacing w:after="60"/>
      </w:pPr>
      <w:r>
        <w:rPr>
          <w:rFonts w:ascii="Calibri" w:cs="Calibri" w:eastAsia="Calibri" w:hAnsi="Calibri"/>
          <w:b/>
          <w:bCs/>
          <w:color w:val="0F172A"/>
          <w:sz w:val="22"/>
          <w:szCs w:val="22"/>
        </w:rPr>
        <w:t xml:space="preserve">Simulated Career Pivot:</w:t>
      </w:r>
      <w:r>
        <w:rPr>
          <w:rFonts w:ascii="Calibri" w:cs="Calibri" w:eastAsia="Calibri" w:hAnsi="Calibri"/>
          <w:color w:val="334155"/>
          <w:sz w:val="22"/>
          <w:szCs w:val="22"/>
        </w:rPr>
        <w:t xml:space="preserve"> Benchmarked against Cloud DevOps role $\to \mathbf{64\%}$; Data Analyst $\to \mathbf{72\%}$.</w:t>
      </w:r>
    </w:p>
    <w:p>
      <w:pPr>
        <w:spacing w:after="100"/>
      </w:pPr>
    </w:p>
    <w:p>
      <w:pPr>
        <w:pStyle w:val="Heading3"/>
        <w:spacing w:after="80" w:before="160"/>
      </w:pPr>
      <w:r>
        <w:rPr>
          <w:rFonts w:ascii="Calibri" w:cs="Calibri" w:eastAsia="Calibri" w:hAnsi="Calibri"/>
          <w:b/>
          <w:bCs/>
          <w:color w:val="334155"/>
          <w:sz w:val="24"/>
          <w:szCs w:val="24"/>
        </w:rPr>
        <w:t xml:space="preserve">Case Study 3: Jordan Lee (Early-Stage Cloud Explorer)</w:t>
      </w:r>
    </w:p>
    <w:p>
      <w:pPr>
        <w:pStyle w:val="ListParagraph"/>
        <w:numPr>
          <w:ilvl w:val="0"/>
          <w:numId w:val="1"/>
        </w:numPr>
        <w:spacing w:after="60"/>
      </w:pPr>
      <w:r>
        <w:rPr>
          <w:rFonts w:ascii="Calibri" w:cs="Calibri" w:eastAsia="Calibri" w:hAnsi="Calibri"/>
          <w:b/>
          <w:bCs/>
          <w:color w:val="0F172A"/>
          <w:sz w:val="22"/>
          <w:szCs w:val="22"/>
        </w:rPr>
        <w:t xml:space="preserve">Profile:</w:t>
      </w:r>
      <w:r>
        <w:rPr>
          <w:rFonts w:ascii="Calibri" w:cs="Calibri" w:eastAsia="Calibri" w:hAnsi="Calibri"/>
          <w:color w:val="334155"/>
          <w:sz w:val="22"/>
          <w:szCs w:val="22"/>
        </w:rPr>
        <w:t xml:space="preserve"> Information Technology student with introductory Linux bash scripts and $45$ DSA problems solved.</w:t>
      </w:r>
    </w:p>
    <w:p>
      <w:pPr>
        <w:pStyle w:val="ListParagraph"/>
        <w:numPr>
          <w:ilvl w:val="0"/>
          <w:numId w:val="1"/>
        </w:numPr>
        <w:spacing w:after="60"/>
      </w:pPr>
      <w:r>
        <w:rPr>
          <w:rFonts w:ascii="Calibri" w:cs="Calibri" w:eastAsia="Calibri" w:hAnsi="Calibri"/>
          <w:b/>
          <w:bCs/>
          <w:color w:val="0F172A"/>
          <w:sz w:val="22"/>
          <w:szCs w:val="22"/>
        </w:rPr>
        <w:t xml:space="preserve">Target Role:</w:t>
      </w:r>
      <w:r>
        <w:rPr>
          <w:rFonts w:ascii="Calibri" w:cs="Calibri" w:eastAsia="Calibri" w:hAnsi="Calibri"/>
          <w:color w:val="334155"/>
          <w:sz w:val="22"/>
          <w:szCs w:val="22"/>
        </w:rPr>
        <w:t xml:space="preserve"> Cloud DevOps Engineer.</w:t>
      </w:r>
    </w:p>
    <w:p>
      <w:pPr>
        <w:pStyle w:val="ListParagraph"/>
        <w:numPr>
          <w:ilvl w:val="0"/>
          <w:numId w:val="1"/>
        </w:numPr>
        <w:spacing w:after="60"/>
      </w:pPr>
      <w:r>
        <w:rPr>
          <w:rFonts w:ascii="Calibri" w:cs="Calibri" w:eastAsia="Calibri" w:hAnsi="Calibri"/>
          <w:b/>
          <w:bCs/>
          <w:color w:val="0F172A"/>
          <w:sz w:val="22"/>
          <w:szCs w:val="22"/>
        </w:rPr>
        <w:t xml:space="preserve">Readiness Score:</w:t>
      </w:r>
      <w:r>
        <w:rPr>
          <w:rFonts w:ascii="Calibri" w:cs="Calibri" w:eastAsia="Calibri" w:hAnsi="Calibri"/>
          <w:color w:val="334155"/>
          <w:sz w:val="22"/>
          <w:szCs w:val="22"/>
        </w:rPr>
        <w:t xml:space="preserve"> $\mathbf{36\%}$ (Foundational Phase).</w:t>
      </w:r>
    </w:p>
    <w:p>
      <w:pPr>
        <w:pStyle w:val="ListParagraph"/>
        <w:numPr>
          <w:ilvl w:val="0"/>
          <w:numId w:val="1"/>
        </w:numPr>
        <w:spacing w:after="60"/>
      </w:pPr>
      <w:r>
        <w:rPr>
          <w:rFonts w:ascii="Calibri" w:cs="Calibri" w:eastAsia="Calibri" w:hAnsi="Calibri"/>
          <w:b/>
          <w:bCs/>
          <w:color w:val="0F172A"/>
          <w:sz w:val="22"/>
          <w:szCs w:val="22"/>
        </w:rPr>
        <w:t xml:space="preserve">Identified Priority Gaps:</w:t>
      </w:r>
      <w:r>
        <w:rPr>
          <w:rFonts w:ascii="Calibri" w:cs="Calibri" w:eastAsia="Calibri" w:hAnsi="Calibri"/>
          <w:color w:val="334155"/>
          <w:sz w:val="22"/>
          <w:szCs w:val="22"/>
        </w:rPr>
        <w:t xml:space="preserve"> Docker ($P = 97.5$), CI/CD Git Pipelines ($P = 82.5$), AWS Cloud Infrastructure ($P = 84.0$).</w:t>
      </w:r>
    </w:p>
    <w:p>
      <w:pPr>
        <w:spacing w:after="100"/>
      </w:pPr>
    </w:p>
    <w:p>
      <w:pPr>
        <w:pBdr>
          <w:bottom w:val="single" w:color="CBD5E1" w:sz="6" w:space="1"/>
        </w:pBdr>
        <w:spacing w:after="180" w:before="180"/>
      </w:pPr>
    </w:p>
    <w:p>
      <w:pPr>
        <w:spacing w:after="100"/>
      </w:pPr>
    </w:p>
    <w:p>
      <w:pPr>
        <w:pStyle w:val="Heading2"/>
        <w:spacing w:after="120" w:before="200"/>
      </w:pPr>
      <w:r>
        <w:rPr>
          <w:rFonts w:ascii="Calibri" w:cs="Calibri" w:eastAsia="Calibri" w:hAnsi="Calibri"/>
          <w:b/>
          <w:bCs/>
          <w:color w:val="1E3A8A"/>
          <w:sz w:val="28"/>
          <w:szCs w:val="28"/>
        </w:rPr>
        <w:t xml:space="preserve">8. Verified Credential &amp; Cryptographic Auditability</w:t>
      </w:r>
    </w:p>
    <w:p>
      <w:pPr>
        <w:spacing w:after="100"/>
      </w:pPr>
    </w:p>
    <w:p>
      <w:pPr>
        <w:spacing w:after="100"/>
      </w:pPr>
      <w:r>
        <w:rPr>
          <w:rFonts w:ascii="Calibri" w:cs="Calibri" w:eastAsia="Calibri" w:hAnsi="Calibri"/>
          <w:color w:val="334155"/>
          <w:sz w:val="22"/>
          <w:szCs w:val="22"/>
        </w:rPr>
        <w:t xml:space="preserve">To ensure demonstrated competency is portable and verifiable by external recruiters, SkillTwin implements a </w:t>
      </w:r>
      <w:r>
        <w:rPr>
          <w:rFonts w:ascii="Calibri" w:cs="Calibri" w:eastAsia="Calibri" w:hAnsi="Calibri"/>
          <w:b/>
          <w:bCs/>
          <w:color w:val="0F172A"/>
          <w:sz w:val="22"/>
          <w:szCs w:val="22"/>
        </w:rPr>
        <w:t xml:space="preserve">Verifiable Skill Credential Protocol</w:t>
      </w:r>
      <w:r>
        <w:rPr>
          <w:rFonts w:ascii="Calibri" w:cs="Calibri" w:eastAsia="Calibri" w:hAnsi="Calibri"/>
          <w:color w:val="334155"/>
          <w:sz w:val="22"/>
          <w:szCs w:val="22"/>
        </w:rPr>
        <w:t xml:space="preserve">. Each certified Digital Twin generates a deterministic hash identifier derived from candidate evidence:</w:t>
      </w:r>
    </w:p>
    <w:p>
      <w:pPr>
        <w:spacing w:after="100"/>
      </w:pPr>
    </w:p>
    <w:p>
      <w:pPr>
        <w:spacing w:after="100"/>
      </w:pPr>
      <w:r>
        <w:rPr>
          <w:rFonts w:ascii="Calibri" w:cs="Calibri" w:eastAsia="Calibri" w:hAnsi="Calibri"/>
          <w:color w:val="334155"/>
          <w:sz w:val="22"/>
          <w:szCs w:val="22"/>
        </w:rPr>
        <w:t xml:space="preserve">$$\text{Hash} = \text{SHA-256}( \text{StudentID} \mathbin{\Vert} \text{TargetRole} \mathbin{\Vert} \text{CRI} \mathbin{\Vert} \text{Timestamp} )$$</w:t>
      </w:r>
    </w:p>
    <w:p>
      <w:pPr>
        <w:spacing w:after="100"/>
      </w:pPr>
    </w:p>
    <w:p>
      <w:pPr>
        <w:spacing w:after="100"/>
      </w:pPr>
      <w:r>
        <w:rPr>
          <w:rFonts w:ascii="Calibri" w:cs="Calibri" w:eastAsia="Calibri" w:hAnsi="Calibri"/>
          <w:color w:val="334155"/>
          <w:sz w:val="22"/>
          <w:szCs w:val="22"/>
        </w:rPr>
        <w:t xml:space="preserve">The credential card integrates:</w:t>
      </w:r>
    </w:p>
    <w:p>
      <w:pPr>
        <w:spacing w:after="60"/>
      </w:pPr>
      <w:r>
        <w:rPr>
          <w:b/>
          <w:bCs/>
          <w:color w:val="1E3A8A"/>
        </w:rPr>
        <w:t xml:space="preserve">1. </w:t>
      </w:r>
      <w:r>
        <w:rPr>
          <w:rFonts w:ascii="Calibri" w:cs="Calibri" w:eastAsia="Calibri" w:hAnsi="Calibri"/>
          <w:b/>
          <w:bCs/>
          <w:color w:val="0F172A"/>
          <w:sz w:val="22"/>
          <w:szCs w:val="22"/>
        </w:rPr>
        <w:t xml:space="preserve">Unique Certificate Identifier:</w:t>
      </w:r>
      <w:r>
        <w:rPr>
          <w:rFonts w:ascii="Calibri" w:cs="Calibri" w:eastAsia="Calibri" w:hAnsi="Calibri"/>
          <w:color w:val="334155"/>
          <w:sz w:val="22"/>
          <w:szCs w:val="22"/>
        </w:rPr>
        <w:t xml:space="preserve"> Formatted as </w:t>
      </w:r>
      <w:r>
        <w:rPr>
          <w:rFonts w:ascii="Consolas" w:cs="Consolas" w:eastAsia="Consolas" w:hAnsi="Consolas"/>
          <w:color w:val="0F172A"/>
          <w:sz w:val="20"/>
          <w:szCs w:val="20"/>
          <w:shd w:fill="F1F5F9" w:color="auto" w:val="clear"/>
        </w:rPr>
        <w:t xml:space="preserve">ST-2026-[HEX]-VERIFIED</w:t>
      </w:r>
      <w:r>
        <w:rPr>
          <w:rFonts w:ascii="Calibri" w:cs="Calibri" w:eastAsia="Calibri" w:hAnsi="Calibri"/>
          <w:color w:val="334155"/>
          <w:sz w:val="22"/>
          <w:szCs w:val="22"/>
        </w:rPr>
        <w:t xml:space="preserve">.</w:t>
      </w:r>
    </w:p>
    <w:p>
      <w:pPr>
        <w:spacing w:after="60"/>
      </w:pPr>
      <w:r>
        <w:rPr>
          <w:b/>
          <w:bCs/>
          <w:color w:val="1E3A8A"/>
        </w:rPr>
        <w:t xml:space="preserve">2. </w:t>
      </w:r>
      <w:r>
        <w:rPr>
          <w:rFonts w:ascii="Calibri" w:cs="Calibri" w:eastAsia="Calibri" w:hAnsi="Calibri"/>
          <w:b/>
          <w:bCs/>
          <w:color w:val="0F172A"/>
          <w:sz w:val="22"/>
          <w:szCs w:val="22"/>
        </w:rPr>
        <w:t xml:space="preserve">Competency Breakdown:</w:t>
      </w:r>
      <w:r>
        <w:rPr>
          <w:rFonts w:ascii="Calibri" w:cs="Calibri" w:eastAsia="Calibri" w:hAnsi="Calibri"/>
          <w:color w:val="334155"/>
          <w:sz w:val="22"/>
          <w:szCs w:val="22"/>
        </w:rPr>
        <w:t xml:space="preserve"> Audit trail listing demonstrated score vs. target threshold for every evaluated domain.</w:t>
      </w:r>
    </w:p>
    <w:p>
      <w:pPr>
        <w:spacing w:after="60"/>
      </w:pPr>
      <w:r>
        <w:rPr>
          <w:b/>
          <w:bCs/>
          <w:color w:val="1E3A8A"/>
        </w:rPr>
        <w:t xml:space="preserve">3. </w:t>
      </w:r>
      <w:r>
        <w:rPr>
          <w:rFonts w:ascii="Calibri" w:cs="Calibri" w:eastAsia="Calibri" w:hAnsi="Calibri"/>
          <w:b/>
          <w:bCs/>
          <w:color w:val="0F172A"/>
          <w:sz w:val="22"/>
          <w:szCs w:val="22"/>
        </w:rPr>
        <w:t xml:space="preserve">Simulated Verification QR Code:</w:t>
      </w:r>
      <w:r>
        <w:rPr>
          <w:rFonts w:ascii="Calibri" w:cs="Calibri" w:eastAsia="Calibri" w:hAnsi="Calibri"/>
          <w:color w:val="334155"/>
          <w:sz w:val="22"/>
          <w:szCs w:val="22"/>
        </w:rPr>
        <w:t xml:space="preserve"> Direct link for recruiters to inspect verified repository commit hashes and checklist passes.</w:t>
      </w:r>
    </w:p>
    <w:p>
      <w:pPr>
        <w:spacing w:after="60"/>
      </w:pPr>
      <w:r>
        <w:rPr>
          <w:b/>
          <w:bCs/>
          <w:color w:val="1E3A8A"/>
        </w:rPr>
        <w:t xml:space="preserve">4. </w:t>
      </w:r>
      <w:r>
        <w:rPr>
          <w:rFonts w:ascii="Calibri" w:cs="Calibri" w:eastAsia="Calibri" w:hAnsi="Calibri"/>
          <w:b/>
          <w:bCs/>
          <w:color w:val="0F172A"/>
          <w:sz w:val="22"/>
          <w:szCs w:val="22"/>
        </w:rPr>
        <w:t xml:space="preserve">Printable PDF Export:</w:t>
      </w:r>
      <w:r>
        <w:rPr>
          <w:rFonts w:ascii="Calibri" w:cs="Calibri" w:eastAsia="Calibri" w:hAnsi="Calibri"/>
          <w:color w:val="334155"/>
          <w:sz w:val="22"/>
          <w:szCs w:val="22"/>
        </w:rPr>
        <w:t xml:space="preserve"> Optimized CSS print stylesheet generating formatted executive summaries for resume attachments.</w:t>
      </w:r>
    </w:p>
    <w:p>
      <w:pPr>
        <w:spacing w:after="100"/>
      </w:pPr>
    </w:p>
    <w:p>
      <w:pPr>
        <w:pBdr>
          <w:bottom w:val="single" w:color="CBD5E1" w:sz="6" w:space="1"/>
        </w:pBdr>
        <w:spacing w:after="180" w:before="180"/>
      </w:pPr>
    </w:p>
    <w:p>
      <w:pPr>
        <w:spacing w:after="100"/>
      </w:pPr>
    </w:p>
    <w:p>
      <w:pPr>
        <w:pStyle w:val="Heading2"/>
        <w:spacing w:after="120" w:before="200"/>
      </w:pPr>
      <w:r>
        <w:rPr>
          <w:rFonts w:ascii="Calibri" w:cs="Calibri" w:eastAsia="Calibri" w:hAnsi="Calibri"/>
          <w:b/>
          <w:bCs/>
          <w:color w:val="1E3A8A"/>
          <w:sz w:val="28"/>
          <w:szCs w:val="28"/>
        </w:rPr>
        <w:t xml:space="preserve">9. Limitations &amp; Scope Boundary Management</w:t>
      </w:r>
    </w:p>
    <w:p>
      <w:pPr>
        <w:spacing w:after="100"/>
      </w:pPr>
    </w:p>
    <w:p>
      <w:pPr>
        <w:pStyle w:val="Heading3"/>
        <w:spacing w:after="80" w:before="160"/>
      </w:pPr>
      <w:r>
        <w:rPr>
          <w:rFonts w:ascii="Calibri" w:cs="Calibri" w:eastAsia="Calibri" w:hAnsi="Calibri"/>
          <w:b/>
          <w:bCs/>
          <w:color w:val="334155"/>
          <w:sz w:val="24"/>
          <w:szCs w:val="24"/>
        </w:rPr>
        <w:t xml:space="preserve">9.1 Deterministic Rules vs. Large Language Models</w:t>
      </w:r>
    </w:p>
    <w:p>
      <w:pPr>
        <w:spacing w:after="100"/>
      </w:pPr>
      <w:r>
        <w:rPr>
          <w:rFonts w:ascii="Calibri" w:cs="Calibri" w:eastAsia="Calibri" w:hAnsi="Calibri"/>
          <w:color w:val="334155"/>
          <w:sz w:val="22"/>
          <w:szCs w:val="22"/>
        </w:rPr>
        <w:t xml:space="preserve">A deliberate architectural boundary of SkillTwin is the rejection of unconstrained generative AI models for primary scoring. While LLMs offer broad conversational capabilities, their stochastic nature introduces prompt-injection vulnerabilities, scoring drift, and non-reproducible evaluations. SkillTwin restricts scoring to deterministic mathematical heuristics, reserving LLM sidecars exclusively for post-pilot, bounded semantic code commentary.</w:t>
      </w:r>
    </w:p>
    <w:p>
      <w:pPr>
        <w:spacing w:after="100"/>
      </w:pPr>
    </w:p>
    <w:p>
      <w:pPr>
        <w:pStyle w:val="Heading3"/>
        <w:spacing w:after="80" w:before="160"/>
      </w:pPr>
      <w:r>
        <w:rPr>
          <w:rFonts w:ascii="Calibri" w:cs="Calibri" w:eastAsia="Calibri" w:hAnsi="Calibri"/>
          <w:b/>
          <w:bCs/>
          <w:color w:val="334155"/>
          <w:sz w:val="24"/>
          <w:szCs w:val="24"/>
        </w:rPr>
        <w:t xml:space="preserve">9.2 Regulatory &amp; Ethical Transparency Disclaimer</w:t>
      </w:r>
    </w:p>
    <w:p>
      <w:pPr>
        <w:spacing w:after="100"/>
      </w:pPr>
      <w:r>
        <w:rPr>
          <w:rFonts w:ascii="Calibri" w:cs="Calibri" w:eastAsia="Calibri" w:hAnsi="Calibri"/>
          <w:color w:val="334155"/>
          <w:sz w:val="22"/>
          <w:szCs w:val="22"/>
        </w:rPr>
        <w:t xml:space="preserve">To prevent misrepresentation and maintain compliance with educational technology evaluation standards, SkillTwin enforces a mandatory platform-wide disclaimer:</w:t>
      </w:r>
    </w:p>
    <w:p>
      <w:pPr>
        <w:spacing w:after="100"/>
      </w:pPr>
      <w:r>
        <w:rPr>
          <w:rFonts w:ascii="Calibri" w:cs="Calibri" w:eastAsia="Calibri" w:hAnsi="Calibri"/>
          <w:color w:val="334155"/>
          <w:sz w:val="22"/>
          <w:szCs w:val="22"/>
        </w:rPr>
        <w:t xml:space="preserve">&gt; *"The SkillTwin Career Readiness Index is an evidence-backed competency indicator based on demonstrated proof and automated rubric evaluation. It does not constitute a legal or contractual guarantee of employment."*</w:t>
      </w:r>
    </w:p>
    <w:p>
      <w:pPr>
        <w:spacing w:after="100"/>
      </w:pPr>
    </w:p>
    <w:p>
      <w:pPr>
        <w:pBdr>
          <w:bottom w:val="single" w:color="CBD5E1" w:sz="6" w:space="1"/>
        </w:pBdr>
        <w:spacing w:after="180" w:before="180"/>
      </w:pPr>
    </w:p>
    <w:p>
      <w:pPr>
        <w:spacing w:after="100"/>
      </w:pPr>
    </w:p>
    <w:p>
      <w:pPr>
        <w:pStyle w:val="Heading2"/>
        <w:spacing w:after="120" w:before="200"/>
      </w:pPr>
      <w:r>
        <w:rPr>
          <w:rFonts w:ascii="Calibri" w:cs="Calibri" w:eastAsia="Calibri" w:hAnsi="Calibri"/>
          <w:b/>
          <w:bCs/>
          <w:color w:val="1E3A8A"/>
          <w:sz w:val="28"/>
          <w:szCs w:val="28"/>
        </w:rPr>
        <w:t xml:space="preserve">10. Future Work &amp; Roadmap</w:t>
      </w:r>
    </w:p>
    <w:p>
      <w:pPr>
        <w:spacing w:after="100"/>
      </w:pPr>
    </w:p>
    <w:p>
      <w:pPr>
        <w:spacing w:after="60"/>
      </w:pPr>
      <w:r>
        <w:rPr>
          <w:b/>
          <w:bCs/>
          <w:color w:val="1E3A8A"/>
        </w:rPr>
        <w:t xml:space="preserve">1. </w:t>
      </w:r>
      <w:r>
        <w:rPr>
          <w:rFonts w:ascii="Calibri" w:cs="Calibri" w:eastAsia="Calibri" w:hAnsi="Calibri"/>
          <w:b/>
          <w:bCs/>
          <w:color w:val="0F172A"/>
          <w:sz w:val="22"/>
          <w:szCs w:val="22"/>
        </w:rPr>
        <w:t xml:space="preserve">Semantic AST Code Analysis:</w:t>
      </w:r>
      <w:r>
        <w:rPr>
          <w:rFonts w:ascii="Calibri" w:cs="Calibri" w:eastAsia="Calibri" w:hAnsi="Calibri"/>
          <w:color w:val="334155"/>
          <w:sz w:val="22"/>
          <w:szCs w:val="22"/>
        </w:rPr>
        <w:t xml:space="preserve"> Augment regex-based rubric parsing with Abstract Syntax Tree (AST) analyzers (e.g., Babel/ESTree) to inspect algorithmic complexity and memory leak patterns.</w:t>
      </w:r>
    </w:p>
    <w:p>
      <w:pPr>
        <w:spacing w:after="60"/>
      </w:pPr>
      <w:r>
        <w:rPr>
          <w:b/>
          <w:bCs/>
          <w:color w:val="1E3A8A"/>
        </w:rPr>
        <w:t xml:space="preserve">2. </w:t>
      </w:r>
      <w:r>
        <w:rPr>
          <w:rFonts w:ascii="Calibri" w:cs="Calibri" w:eastAsia="Calibri" w:hAnsi="Calibri"/>
          <w:b/>
          <w:bCs/>
          <w:color w:val="0F172A"/>
          <w:sz w:val="22"/>
          <w:szCs w:val="22"/>
        </w:rPr>
        <w:t xml:space="preserve">Real-Time Labor Market Signal Ingestion:</w:t>
      </w:r>
      <w:r>
        <w:rPr>
          <w:rFonts w:ascii="Calibri" w:cs="Calibri" w:eastAsia="Calibri" w:hAnsi="Calibri"/>
          <w:color w:val="334155"/>
          <w:sz w:val="22"/>
          <w:szCs w:val="22"/>
        </w:rPr>
        <w:t xml:space="preserve"> Build automated scrapers to dynamically calibrate skill importance weights $W_{\text{importance}}$ based on real-time natural language processing of live hiring requisitions.</w:t>
      </w:r>
    </w:p>
    <w:p>
      <w:pPr>
        <w:spacing w:after="60"/>
      </w:pPr>
      <w:r>
        <w:rPr>
          <w:b/>
          <w:bCs/>
          <w:color w:val="1E3A8A"/>
        </w:rPr>
        <w:t xml:space="preserve">3. </w:t>
      </w:r>
      <w:r>
        <w:rPr>
          <w:rFonts w:ascii="Calibri" w:cs="Calibri" w:eastAsia="Calibri" w:hAnsi="Calibri"/>
          <w:b/>
          <w:bCs/>
          <w:color w:val="0F172A"/>
          <w:sz w:val="22"/>
          <w:szCs w:val="22"/>
        </w:rPr>
        <w:t xml:space="preserve">Institutional Multi-Campus Pilot:</w:t>
      </w:r>
      <w:r>
        <w:rPr>
          <w:rFonts w:ascii="Calibri" w:cs="Calibri" w:eastAsia="Calibri" w:hAnsi="Calibri"/>
          <w:color w:val="334155"/>
          <w:sz w:val="22"/>
          <w:szCs w:val="22"/>
        </w:rPr>
        <w:t xml:space="preserve"> Deploy SkillTwin across $3$ engineering university placement cells to track statistical correlation between SkillTwin readiness scores and real-world placement offer rates.</w:t>
      </w:r>
    </w:p>
    <w:p>
      <w:pPr>
        <w:spacing w:after="60"/>
      </w:pPr>
      <w:r>
        <w:rPr>
          <w:b/>
          <w:bCs/>
          <w:color w:val="1E3A8A"/>
        </w:rPr>
        <w:t xml:space="preserve">4. </w:t>
      </w:r>
      <w:r>
        <w:rPr>
          <w:rFonts w:ascii="Calibri" w:cs="Calibri" w:eastAsia="Calibri" w:hAnsi="Calibri"/>
          <w:b/>
          <w:bCs/>
          <w:color w:val="0F172A"/>
          <w:sz w:val="22"/>
          <w:szCs w:val="22"/>
        </w:rPr>
        <w:t xml:space="preserve">Enterprise Recruiter Gateway:</w:t>
      </w:r>
      <w:r>
        <w:rPr>
          <w:rFonts w:ascii="Calibri" w:cs="Calibri" w:eastAsia="Calibri" w:hAnsi="Calibri"/>
          <w:color w:val="334155"/>
          <w:sz w:val="22"/>
          <w:szCs w:val="22"/>
        </w:rPr>
        <w:t xml:space="preserve"> Construct an employer-facing search interface allowing corporate recruiters to query pre-verified candidates by demonstrated skill thresholds rather than keyword resumes.</w:t>
      </w:r>
    </w:p>
    <w:p>
      <w:pPr>
        <w:spacing w:after="100"/>
      </w:pPr>
    </w:p>
    <w:p>
      <w:pPr>
        <w:pBdr>
          <w:bottom w:val="single" w:color="CBD5E1" w:sz="6" w:space="1"/>
        </w:pBdr>
        <w:spacing w:after="180" w:before="180"/>
      </w:pPr>
    </w:p>
    <w:p>
      <w:pPr>
        <w:spacing w:after="100"/>
      </w:pPr>
    </w:p>
    <w:p>
      <w:pPr>
        <w:pStyle w:val="Heading2"/>
        <w:spacing w:after="120" w:before="200"/>
      </w:pPr>
      <w:r>
        <w:rPr>
          <w:rFonts w:ascii="Calibri" w:cs="Calibri" w:eastAsia="Calibri" w:hAnsi="Calibri"/>
          <w:b/>
          <w:bCs/>
          <w:color w:val="1E3A8A"/>
          <w:sz w:val="28"/>
          <w:szCs w:val="28"/>
        </w:rPr>
        <w:t xml:space="preserve">11. Conclusion</w:t>
      </w:r>
    </w:p>
    <w:p>
      <w:pPr>
        <w:spacing w:after="100"/>
      </w:pPr>
    </w:p>
    <w:p>
      <w:pPr>
        <w:spacing w:after="100"/>
      </w:pPr>
      <w:r>
        <w:rPr>
          <w:rFonts w:ascii="Calibri" w:cs="Calibri" w:eastAsia="Calibri" w:hAnsi="Calibri"/>
          <w:color w:val="334155"/>
          <w:sz w:val="22"/>
          <w:szCs w:val="22"/>
        </w:rPr>
        <w:t xml:space="preserve">SkillTwin establishes a new paradigm in technical career readiness by replacing unverified resume claims and passive lecture metrics with a deterministic, evidence-based </w:t>
      </w:r>
      <w:r>
        <w:rPr>
          <w:rFonts w:ascii="Calibri" w:cs="Calibri" w:eastAsia="Calibri" w:hAnsi="Calibri"/>
          <w:b/>
          <w:bCs/>
          <w:color w:val="0F172A"/>
          <w:sz w:val="22"/>
          <w:szCs w:val="22"/>
        </w:rPr>
        <w:t xml:space="preserve">Digital Skill Twin</w:t>
      </w:r>
      <w:r>
        <w:rPr>
          <w:rFonts w:ascii="Calibri" w:cs="Calibri" w:eastAsia="Calibri" w:hAnsi="Calibri"/>
          <w:color w:val="334155"/>
          <w:sz w:val="22"/>
          <w:szCs w:val="22"/>
        </w:rPr>
        <w:t xml:space="preserve">. Through formal mathematical gap prioritization, hands-on evaluated evidence missions, cross-role what-if simulations, and institutional telemetry, the platform successfully closes the critical signaling gap between academic computing education and professional software engineering.</w:t>
      </w:r>
    </w:p>
    <w:p>
      <w:pPr>
        <w:spacing w:after="100"/>
      </w:pPr>
    </w:p>
    <w:p>
      <w:pPr>
        <w:pBdr>
          <w:bottom w:val="single" w:color="CBD5E1" w:sz="6" w:space="1"/>
        </w:pBdr>
        <w:spacing w:after="180" w:before="180"/>
      </w:pPr>
    </w:p>
    <w:p>
      <w:pPr>
        <w:spacing w:after="100"/>
      </w:pPr>
    </w:p>
    <w:p>
      <w:pPr>
        <w:pStyle w:val="Heading2"/>
        <w:spacing w:after="120" w:before="200"/>
      </w:pPr>
      <w:r>
        <w:rPr>
          <w:rFonts w:ascii="Calibri" w:cs="Calibri" w:eastAsia="Calibri" w:hAnsi="Calibri"/>
          <w:b/>
          <w:bCs/>
          <w:color w:val="1E3A8A"/>
          <w:sz w:val="28"/>
          <w:szCs w:val="28"/>
        </w:rPr>
        <w:t xml:space="preserve">References</w:t>
      </w:r>
    </w:p>
    <w:p>
      <w:pPr>
        <w:spacing w:after="100"/>
      </w:pPr>
    </w:p>
    <w:p>
      <w:pPr>
        <w:spacing w:after="60"/>
      </w:pPr>
      <w:r>
        <w:rPr>
          <w:b/>
          <w:bCs/>
          <w:color w:val="1E3A8A"/>
        </w:rPr>
        <w:t xml:space="preserve">1. </w:t>
      </w:r>
      <w:r>
        <w:rPr>
          <w:rFonts w:ascii="Calibri" w:cs="Calibri" w:eastAsia="Calibri" w:hAnsi="Calibri"/>
          <w:b/>
          <w:bCs/>
          <w:color w:val="0F172A"/>
          <w:sz w:val="22"/>
          <w:szCs w:val="22"/>
        </w:rPr>
        <w:t xml:space="preserve">ACM/IEEE-CS Joint Task Force on Computing Curricula.</w:t>
      </w:r>
      <w:r>
        <w:rPr>
          <w:rFonts w:ascii="Calibri" w:cs="Calibri" w:eastAsia="Calibri" w:hAnsi="Calibri"/>
          <w:color w:val="334155"/>
          <w:sz w:val="22"/>
          <w:szCs w:val="22"/>
        </w:rPr>
        <w:t xml:space="preserve"> (2020). *Computing Curricula 2020: Paradigms for Future Computing Curricula*. IEEE Computer Society / Association for Computing Machinery.</w:t>
      </w:r>
    </w:p>
    <w:p>
      <w:pPr>
        <w:spacing w:after="60"/>
      </w:pPr>
      <w:r>
        <w:rPr>
          <w:b/>
          <w:bCs/>
          <w:color w:val="1E3A8A"/>
        </w:rPr>
        <w:t xml:space="preserve">2. </w:t>
      </w:r>
      <w:r>
        <w:rPr>
          <w:rFonts w:ascii="Calibri" w:cs="Calibri" w:eastAsia="Calibri" w:hAnsi="Calibri"/>
          <w:b/>
          <w:bCs/>
          <w:color w:val="0F172A"/>
          <w:sz w:val="22"/>
          <w:szCs w:val="22"/>
        </w:rPr>
        <w:t xml:space="preserve">Begel, A., &amp; Simon, B.</w:t>
      </w:r>
      <w:r>
        <w:rPr>
          <w:rFonts w:ascii="Calibri" w:cs="Calibri" w:eastAsia="Calibri" w:hAnsi="Calibri"/>
          <w:color w:val="334155"/>
          <w:sz w:val="22"/>
          <w:szCs w:val="22"/>
        </w:rPr>
        <w:t xml:space="preserve"> (2008). *Novice software developers, all over again*. In Proceedings of the Fourth International Workshop on Computing Education Research (ICER '08), pp. 3–14.</w:t>
      </w:r>
    </w:p>
    <w:p>
      <w:pPr>
        <w:spacing w:after="60"/>
      </w:pPr>
      <w:r>
        <w:rPr>
          <w:b/>
          <w:bCs/>
          <w:color w:val="1E3A8A"/>
        </w:rPr>
        <w:t xml:space="preserve">3. </w:t>
      </w:r>
      <w:r>
        <w:rPr>
          <w:rFonts w:ascii="Calibri" w:cs="Calibri" w:eastAsia="Calibri" w:hAnsi="Calibri"/>
          <w:b/>
          <w:bCs/>
          <w:color w:val="0F172A"/>
          <w:sz w:val="22"/>
          <w:szCs w:val="22"/>
        </w:rPr>
        <w:t xml:space="preserve">Ford, D., Smith, J., Parnin, C., &amp; Zimmermann, T.</w:t>
      </w:r>
      <w:r>
        <w:rPr>
          <w:rFonts w:ascii="Calibri" w:cs="Calibri" w:eastAsia="Calibri" w:hAnsi="Calibri"/>
          <w:color w:val="334155"/>
          <w:sz w:val="22"/>
          <w:szCs w:val="22"/>
        </w:rPr>
        <w:t xml:space="preserve"> (2019). *Together We Make It: Identifying and Characterizing Collaborative Knowledge Building in Technical Online Communities*. ACM Transactions on Software Engineering and Methodology (TOSEM).</w:t>
      </w:r>
    </w:p>
    <w:p>
      <w:pPr>
        <w:spacing w:after="60"/>
      </w:pPr>
      <w:r>
        <w:rPr>
          <w:b/>
          <w:bCs/>
          <w:color w:val="1E3A8A"/>
        </w:rPr>
        <w:t xml:space="preserve">4. </w:t>
      </w:r>
      <w:r>
        <w:rPr>
          <w:rFonts w:ascii="Calibri" w:cs="Calibri" w:eastAsia="Calibri" w:hAnsi="Calibri"/>
          <w:b/>
          <w:bCs/>
          <w:color w:val="0F172A"/>
          <w:sz w:val="22"/>
          <w:szCs w:val="22"/>
        </w:rPr>
        <w:t xml:space="preserve">Kalyuga, S.</w:t>
      </w:r>
      <w:r>
        <w:rPr>
          <w:rFonts w:ascii="Calibri" w:cs="Calibri" w:eastAsia="Calibri" w:hAnsi="Calibri"/>
          <w:color w:val="334155"/>
          <w:sz w:val="22"/>
          <w:szCs w:val="22"/>
        </w:rPr>
        <w:t xml:space="preserve"> (2007). *Expertise reversal effect and its implications for learner-tailored instruction*. Educational Psychology Review, 19(4), 509–539.</w:t>
      </w:r>
    </w:p>
    <w:p>
      <w:pPr>
        <w:spacing w:after="60"/>
      </w:pPr>
      <w:r>
        <w:rPr>
          <w:b/>
          <w:bCs/>
          <w:color w:val="1E3A8A"/>
        </w:rPr>
        <w:t xml:space="preserve">5. </w:t>
      </w:r>
      <w:r>
        <w:rPr>
          <w:rFonts w:ascii="Calibri" w:cs="Calibri" w:eastAsia="Calibri" w:hAnsi="Calibri"/>
          <w:b/>
          <w:bCs/>
          <w:color w:val="0F172A"/>
          <w:sz w:val="22"/>
          <w:szCs w:val="22"/>
        </w:rPr>
        <w:t xml:space="preserve">Radermacher, A., &amp; Walia, G.</w:t>
      </w:r>
      <w:r>
        <w:rPr>
          <w:rFonts w:ascii="Calibri" w:cs="Calibri" w:eastAsia="Calibri" w:hAnsi="Calibri"/>
          <w:color w:val="334155"/>
          <w:sz w:val="22"/>
          <w:szCs w:val="22"/>
        </w:rPr>
        <w:t xml:space="preserve"> (2013). *Gaps between CS education and industry expectations: A systematic literature review*. In Proceedings of the 44th ACM Technical Symposium on Computer Science Education (SIGCSE '13), pp. 525–530.</w:t>
      </w:r>
    </w:p>
    <w:p>
      <w:pPr>
        <w:spacing w:after="60"/>
      </w:pPr>
      <w:r>
        <w:rPr>
          <w:b/>
          <w:bCs/>
          <w:color w:val="1E3A8A"/>
        </w:rPr>
        <w:t xml:space="preserve">6. </w:t>
      </w:r>
      <w:r>
        <w:rPr>
          <w:rFonts w:ascii="Calibri" w:cs="Calibri" w:eastAsia="Calibri" w:hAnsi="Calibri"/>
          <w:b/>
          <w:bCs/>
          <w:color w:val="0F172A"/>
          <w:sz w:val="22"/>
          <w:szCs w:val="22"/>
        </w:rPr>
        <w:t xml:space="preserve">Veenman, M. V., Van Hout-Wolters, B. H., &amp; Afflerbach, P.</w:t>
      </w:r>
      <w:r>
        <w:rPr>
          <w:rFonts w:ascii="Calibri" w:cs="Calibri" w:eastAsia="Calibri" w:hAnsi="Calibri"/>
          <w:color w:val="334155"/>
          <w:sz w:val="22"/>
          <w:szCs w:val="22"/>
        </w:rPr>
        <w:t xml:space="preserve"> (2006). *Metacognition and learning: Conceptual and methodological considerations*. Metacognition and Learning, 1(1), 3–14.</w:t>
      </w:r>
    </w:p>
    <w:p>
      <w:pPr>
        <w:spacing w:after="100"/>
      </w:pPr>
    </w:p>
    <w:p>
      <w:pPr>
        <w:pBdr>
          <w:bottom w:val="single" w:color="CBD5E1" w:sz="6" w:space="1"/>
        </w:pBdr>
        <w:spacing w:after="180" w:before="180"/>
      </w:pPr>
    </w:p>
    <w:p>
      <w:pPr>
        <w:spacing w:after="100"/>
      </w:pPr>
      <w:r>
        <w:rPr>
          <w:rFonts w:ascii="Calibri" w:cs="Calibri" w:eastAsia="Calibri" w:hAnsi="Calibri"/>
          <w:color w:val="334155"/>
          <w:sz w:val="22"/>
          <w:szCs w:val="22"/>
        </w:rPr>
        <w:t xml:space="preserve">*SkillTwin Research Documentation • Document Version 1.0.0-PRO • August 2026*</w:t>
      </w:r>
    </w:p>
    <w:p>
      <w:pPr>
        <w:spacing w:after="1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SkillTwin: A Deterministic Competency Modeling and Evidence-Based Continuous Career-Readiness Framework</dc:title>
  <dc:creator>Un-named</dc:creator>
  <cp:lastModifiedBy>Un-named</cp:lastModifiedBy>
  <cp:revision>1</cp:revision>
  <dcterms:created xsi:type="dcterms:W3CDTF">2026-08-20T16:18:24.031Z</dcterms:created>
  <dcterms:modified xsi:type="dcterms:W3CDTF">2026-08-20T16:18:24.031Z</dcterms:modified>
</cp:coreProperties>
</file>

<file path=docProps/custom.xml><?xml version="1.0" encoding="utf-8"?>
<Properties xmlns="http://schemas.openxmlformats.org/officeDocument/2006/custom-properties" xmlns:vt="http://schemas.openxmlformats.org/officeDocument/2006/docPropsVTypes"/>
</file>