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F305" w14:textId="77777777" w:rsidR="00982021" w:rsidRPr="00982021" w:rsidRDefault="00982021" w:rsidP="00982021">
      <w:hyperlink r:id="rId4" w:anchor="image=2" w:history="1">
        <w:r w:rsidRPr="00982021">
          <w:rPr>
            <w:rStyle w:val="Hyperlink"/>
          </w:rPr>
          <w:t>Longevity decoded: 5 biomarkers that reveal how long a person will live</w:t>
        </w:r>
      </w:hyperlink>
    </w:p>
    <w:p w14:paraId="497A6D32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E4"/>
    <w:rsid w:val="00746EFD"/>
    <w:rsid w:val="00982021"/>
    <w:rsid w:val="00BB5DE4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9C9A"/>
  <w15:chartTrackingRefBased/>
  <w15:docId w15:val="{83C213C4-487C-40A7-B7E7-C4C909B0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sn.com/en-in/health/other/longevity-decoded-5-biomarkers-that-reveal-how-long-a-person-will-live/ss-AA1O7KQ6?ocid=entnewsntp&amp;pc=DCTS&amp;cvid=68ef78560dd646528c32fca61a056aba&amp;ei=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2026-10-22T03:31:00Z</dcterms:created>
  <dcterms:modified xsi:type="dcterms:W3CDTF">2026-10-22T03:31:00Z</dcterms:modified>
</cp:coreProperties>
</file>