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74F4" w14:textId="77777777" w:rsidR="00DA42E1" w:rsidRPr="00364D6C" w:rsidRDefault="00000000">
      <w:pPr>
        <w:spacing w:before="1600"/>
        <w:jc w:val="center"/>
        <w:rPr>
          <w:rFonts w:asciiTheme="minorHAnsi" w:hAnsiTheme="minorHAnsi"/>
        </w:rPr>
      </w:pPr>
      <w:r w:rsidRPr="00364D6C">
        <w:rPr>
          <w:rFonts w:asciiTheme="minorHAnsi" w:hAnsiTheme="minorHAnsi"/>
          <w:b/>
          <w:bCs/>
          <w:color w:val="1F3864"/>
          <w:sz w:val="48"/>
          <w:szCs w:val="48"/>
        </w:rPr>
        <w:t>DP-203</w:t>
      </w:r>
    </w:p>
    <w:p w14:paraId="06EBB931" w14:textId="77777777" w:rsidR="00DA42E1" w:rsidRPr="00364D6C" w:rsidRDefault="00000000">
      <w:pPr>
        <w:spacing w:before="120"/>
        <w:jc w:val="center"/>
        <w:rPr>
          <w:rFonts w:asciiTheme="minorHAnsi" w:hAnsiTheme="minorHAnsi"/>
        </w:rPr>
      </w:pPr>
      <w:r w:rsidRPr="00364D6C">
        <w:rPr>
          <w:rFonts w:asciiTheme="minorHAnsi" w:hAnsiTheme="minorHAnsi"/>
          <w:b/>
          <w:bCs/>
          <w:color w:val="2E5395"/>
          <w:sz w:val="30"/>
          <w:szCs w:val="30"/>
        </w:rPr>
        <w:t>Data Engineering on Microsoft Azure</w:t>
      </w:r>
    </w:p>
    <w:p w14:paraId="1C2C4CB8" w14:textId="77777777" w:rsidR="00DA42E1" w:rsidRPr="00364D6C" w:rsidRDefault="00000000">
      <w:pPr>
        <w:spacing w:before="60"/>
        <w:jc w:val="center"/>
        <w:rPr>
          <w:rFonts w:asciiTheme="minorHAnsi" w:hAnsiTheme="minorHAnsi"/>
        </w:rPr>
      </w:pPr>
      <w:r w:rsidRPr="00364D6C">
        <w:rPr>
          <w:rFonts w:asciiTheme="minorHAnsi" w:hAnsiTheme="minorHAnsi"/>
          <w:color w:val="2E5395"/>
          <w:sz w:val="24"/>
          <w:szCs w:val="24"/>
        </w:rPr>
        <w:t>Original Practice Question Set with Answers &amp; Discussion</w:t>
      </w:r>
    </w:p>
    <w:p w14:paraId="6A87DFFF" w14:textId="77777777" w:rsidR="00DA42E1" w:rsidRPr="00364D6C" w:rsidRDefault="00000000">
      <w:pPr>
        <w:spacing w:before="800"/>
        <w:jc w:val="center"/>
        <w:rPr>
          <w:rFonts w:asciiTheme="minorHAnsi" w:hAnsiTheme="minorHAnsi"/>
        </w:rPr>
      </w:pPr>
      <w:r w:rsidRPr="00364D6C">
        <w:rPr>
          <w:rFonts w:asciiTheme="minorHAnsi" w:hAnsiTheme="minorHAnsi"/>
          <w:i/>
          <w:iCs/>
          <w:color w:val="595959"/>
        </w:rPr>
        <w:t>Prepared as original study material — not sourced from, or a reproduction of, any official exam or third-party question bank.</w:t>
      </w:r>
    </w:p>
    <w:p w14:paraId="79A91978" w14:textId="77777777" w:rsidR="00DA42E1" w:rsidRPr="00364D6C" w:rsidRDefault="00000000">
      <w:pPr>
        <w:rPr>
          <w:rFonts w:asciiTheme="minorHAnsi" w:hAnsiTheme="minorHAnsi"/>
        </w:rPr>
      </w:pPr>
      <w:r w:rsidRPr="00364D6C">
        <w:rPr>
          <w:rFonts w:asciiTheme="minorHAnsi" w:hAnsiTheme="minorHAnsi"/>
        </w:rPr>
        <w:br w:type="page"/>
      </w:r>
    </w:p>
    <w:p w14:paraId="6742F6A5" w14:textId="77777777" w:rsidR="00DA42E1" w:rsidRPr="00364D6C" w:rsidRDefault="00000000">
      <w:pPr>
        <w:spacing w:after="240"/>
        <w:rPr>
          <w:rFonts w:asciiTheme="minorHAnsi" w:hAnsiTheme="minorHAnsi"/>
        </w:rPr>
      </w:pPr>
      <w:r w:rsidRPr="00364D6C">
        <w:rPr>
          <w:rFonts w:asciiTheme="minorHAnsi" w:hAnsiTheme="minorHAnsi"/>
          <w:b/>
          <w:bCs/>
          <w:color w:val="1F3864"/>
          <w:sz w:val="30"/>
          <w:szCs w:val="30"/>
        </w:rPr>
        <w:lastRenderedPageBreak/>
        <w:t>Table of Contents</w:t>
      </w:r>
    </w:p>
    <w:sdt>
      <w:sdtPr>
        <w:rPr>
          <w:rFonts w:asciiTheme="minorHAnsi" w:hAnsiTheme="minorHAnsi"/>
        </w:rPr>
        <w:alias w:val="Table of Contents"/>
        <w:id w:val="-87848982"/>
      </w:sdtPr>
      <w:sdtContent>
        <w:p w14:paraId="0EFD0112" w14:textId="77777777" w:rsidR="00364D6C" w:rsidRPr="00364D6C" w:rsidRDefault="00000000">
          <w:pPr>
            <w:pStyle w:val="TOC1"/>
            <w:tabs>
              <w:tab w:val="right" w:leader="dot" w:pos="9710"/>
            </w:tabs>
            <w:rPr>
              <w:rFonts w:asciiTheme="minorHAnsi" w:hAnsiTheme="minorHAnsi"/>
              <w:noProof/>
            </w:rPr>
          </w:pPr>
          <w:r w:rsidRPr="00364D6C">
            <w:rPr>
              <w:rFonts w:asciiTheme="minorHAnsi" w:hAnsiTheme="minorHAnsi"/>
            </w:rPr>
            <w:fldChar w:fldCharType="begin"/>
          </w:r>
          <w:r w:rsidRPr="00364D6C">
            <w:rPr>
              <w:rFonts w:asciiTheme="minorHAnsi" w:hAnsiTheme="minorHAnsi"/>
            </w:rPr>
            <w:instrText>TOC \h \o "1-2"</w:instrText>
          </w:r>
          <w:r w:rsidRPr="00364D6C">
            <w:rPr>
              <w:rFonts w:asciiTheme="minorHAnsi" w:hAnsiTheme="minorHAnsi"/>
            </w:rPr>
            <w:fldChar w:fldCharType="separate"/>
          </w:r>
          <w:hyperlink w:anchor="_Toc234931938" w:history="1">
            <w:r w:rsidR="00364D6C" w:rsidRPr="00364D6C">
              <w:rPr>
                <w:rStyle w:val="Hyperlink"/>
                <w:rFonts w:asciiTheme="minorHAnsi" w:hAnsiTheme="minorHAnsi"/>
                <w:b/>
                <w:bCs/>
                <w:noProof/>
              </w:rPr>
              <w:t>About This Practice Set</w:t>
            </w:r>
            <w:r w:rsidR="00364D6C" w:rsidRPr="00364D6C">
              <w:rPr>
                <w:rFonts w:asciiTheme="minorHAnsi" w:hAnsiTheme="minorHAnsi"/>
                <w:noProof/>
              </w:rPr>
              <w:tab/>
            </w:r>
            <w:r w:rsidR="00364D6C" w:rsidRPr="00364D6C">
              <w:rPr>
                <w:rFonts w:asciiTheme="minorHAnsi" w:hAnsiTheme="minorHAnsi"/>
                <w:noProof/>
              </w:rPr>
              <w:fldChar w:fldCharType="begin"/>
            </w:r>
            <w:r w:rsidR="00364D6C" w:rsidRPr="00364D6C">
              <w:rPr>
                <w:rFonts w:asciiTheme="minorHAnsi" w:hAnsiTheme="minorHAnsi"/>
                <w:noProof/>
              </w:rPr>
              <w:instrText xml:space="preserve"> PAGEREF _Toc234931938 \h </w:instrText>
            </w:r>
            <w:r w:rsidR="00364D6C" w:rsidRPr="00364D6C">
              <w:rPr>
                <w:rFonts w:asciiTheme="minorHAnsi" w:hAnsiTheme="minorHAnsi"/>
                <w:noProof/>
              </w:rPr>
            </w:r>
            <w:r w:rsidR="00364D6C" w:rsidRPr="00364D6C">
              <w:rPr>
                <w:rFonts w:asciiTheme="minorHAnsi" w:hAnsiTheme="minorHAnsi"/>
                <w:noProof/>
              </w:rPr>
              <w:fldChar w:fldCharType="separate"/>
            </w:r>
            <w:r w:rsidR="00364D6C" w:rsidRPr="00364D6C">
              <w:rPr>
                <w:rFonts w:asciiTheme="minorHAnsi" w:hAnsiTheme="minorHAnsi"/>
                <w:noProof/>
              </w:rPr>
              <w:t>1</w:t>
            </w:r>
            <w:r w:rsidR="00364D6C" w:rsidRPr="00364D6C">
              <w:rPr>
                <w:rFonts w:asciiTheme="minorHAnsi" w:hAnsiTheme="minorHAnsi"/>
                <w:noProof/>
              </w:rPr>
              <w:fldChar w:fldCharType="end"/>
            </w:r>
          </w:hyperlink>
        </w:p>
        <w:p w14:paraId="1B1EBCF3" w14:textId="77777777" w:rsidR="00364D6C" w:rsidRPr="00364D6C" w:rsidRDefault="00364D6C">
          <w:pPr>
            <w:pStyle w:val="TOC1"/>
            <w:tabs>
              <w:tab w:val="right" w:leader="dot" w:pos="9710"/>
            </w:tabs>
            <w:rPr>
              <w:rFonts w:asciiTheme="minorHAnsi" w:hAnsiTheme="minorHAnsi"/>
              <w:noProof/>
            </w:rPr>
          </w:pPr>
          <w:hyperlink w:anchor="_Toc234931939" w:history="1">
            <w:r w:rsidRPr="00364D6C">
              <w:rPr>
                <w:rStyle w:val="Hyperlink"/>
                <w:rFonts w:asciiTheme="minorHAnsi" w:hAnsiTheme="minorHAnsi"/>
                <w:b/>
                <w:bCs/>
                <w:noProof/>
              </w:rPr>
              <w:t>Domain 1: Design and Implement Data Storage</w:t>
            </w:r>
            <w:r w:rsidRPr="00364D6C">
              <w:rPr>
                <w:rFonts w:asciiTheme="minorHAnsi" w:hAnsiTheme="minorHAnsi"/>
                <w:noProof/>
              </w:rPr>
              <w:tab/>
            </w:r>
            <w:r w:rsidRPr="00364D6C">
              <w:rPr>
                <w:rFonts w:asciiTheme="minorHAnsi" w:hAnsiTheme="minorHAnsi"/>
                <w:noProof/>
              </w:rPr>
              <w:fldChar w:fldCharType="begin"/>
            </w:r>
            <w:r w:rsidRPr="00364D6C">
              <w:rPr>
                <w:rFonts w:asciiTheme="minorHAnsi" w:hAnsiTheme="minorHAnsi"/>
                <w:noProof/>
              </w:rPr>
              <w:instrText xml:space="preserve"> PAGEREF _Toc234931939 \h </w:instrText>
            </w:r>
            <w:r w:rsidRPr="00364D6C">
              <w:rPr>
                <w:rFonts w:asciiTheme="minorHAnsi" w:hAnsiTheme="minorHAnsi"/>
                <w:noProof/>
              </w:rPr>
            </w:r>
            <w:r w:rsidRPr="00364D6C">
              <w:rPr>
                <w:rFonts w:asciiTheme="minorHAnsi" w:hAnsiTheme="minorHAnsi"/>
                <w:noProof/>
              </w:rPr>
              <w:fldChar w:fldCharType="separate"/>
            </w:r>
            <w:r w:rsidRPr="00364D6C">
              <w:rPr>
                <w:rFonts w:asciiTheme="minorHAnsi" w:hAnsiTheme="minorHAnsi"/>
                <w:noProof/>
              </w:rPr>
              <w:t>1</w:t>
            </w:r>
            <w:r w:rsidRPr="00364D6C">
              <w:rPr>
                <w:rFonts w:asciiTheme="minorHAnsi" w:hAnsiTheme="minorHAnsi"/>
                <w:noProof/>
              </w:rPr>
              <w:fldChar w:fldCharType="end"/>
            </w:r>
          </w:hyperlink>
        </w:p>
        <w:p w14:paraId="05436C9B" w14:textId="77777777" w:rsidR="00364D6C" w:rsidRPr="00364D6C" w:rsidRDefault="00364D6C">
          <w:pPr>
            <w:pStyle w:val="TOC1"/>
            <w:tabs>
              <w:tab w:val="right" w:leader="dot" w:pos="9710"/>
            </w:tabs>
            <w:rPr>
              <w:rFonts w:asciiTheme="minorHAnsi" w:hAnsiTheme="minorHAnsi"/>
              <w:noProof/>
            </w:rPr>
          </w:pPr>
          <w:hyperlink w:anchor="_Toc234931940" w:history="1">
            <w:r w:rsidRPr="00364D6C">
              <w:rPr>
                <w:rStyle w:val="Hyperlink"/>
                <w:rFonts w:asciiTheme="minorHAnsi" w:hAnsiTheme="minorHAnsi"/>
                <w:b/>
                <w:bCs/>
                <w:noProof/>
              </w:rPr>
              <w:t>Domain 2: Design and Develop Data Processing</w:t>
            </w:r>
            <w:r w:rsidRPr="00364D6C">
              <w:rPr>
                <w:rFonts w:asciiTheme="minorHAnsi" w:hAnsiTheme="minorHAnsi"/>
                <w:noProof/>
              </w:rPr>
              <w:tab/>
            </w:r>
            <w:r w:rsidRPr="00364D6C">
              <w:rPr>
                <w:rFonts w:asciiTheme="minorHAnsi" w:hAnsiTheme="minorHAnsi"/>
                <w:noProof/>
              </w:rPr>
              <w:fldChar w:fldCharType="begin"/>
            </w:r>
            <w:r w:rsidRPr="00364D6C">
              <w:rPr>
                <w:rFonts w:asciiTheme="minorHAnsi" w:hAnsiTheme="minorHAnsi"/>
                <w:noProof/>
              </w:rPr>
              <w:instrText xml:space="preserve"> PAGEREF _Toc234931940 \h </w:instrText>
            </w:r>
            <w:r w:rsidRPr="00364D6C">
              <w:rPr>
                <w:rFonts w:asciiTheme="minorHAnsi" w:hAnsiTheme="minorHAnsi"/>
                <w:noProof/>
              </w:rPr>
            </w:r>
            <w:r w:rsidRPr="00364D6C">
              <w:rPr>
                <w:rFonts w:asciiTheme="minorHAnsi" w:hAnsiTheme="minorHAnsi"/>
                <w:noProof/>
              </w:rPr>
              <w:fldChar w:fldCharType="separate"/>
            </w:r>
            <w:r w:rsidRPr="00364D6C">
              <w:rPr>
                <w:rFonts w:asciiTheme="minorHAnsi" w:hAnsiTheme="minorHAnsi"/>
                <w:noProof/>
              </w:rPr>
              <w:t>1</w:t>
            </w:r>
            <w:r w:rsidRPr="00364D6C">
              <w:rPr>
                <w:rFonts w:asciiTheme="minorHAnsi" w:hAnsiTheme="minorHAnsi"/>
                <w:noProof/>
              </w:rPr>
              <w:fldChar w:fldCharType="end"/>
            </w:r>
          </w:hyperlink>
        </w:p>
        <w:p w14:paraId="06AA1DE0" w14:textId="77777777" w:rsidR="00364D6C" w:rsidRPr="00364D6C" w:rsidRDefault="00364D6C">
          <w:pPr>
            <w:pStyle w:val="TOC1"/>
            <w:tabs>
              <w:tab w:val="right" w:leader="dot" w:pos="9710"/>
            </w:tabs>
            <w:rPr>
              <w:rFonts w:asciiTheme="minorHAnsi" w:hAnsiTheme="minorHAnsi"/>
              <w:noProof/>
            </w:rPr>
          </w:pPr>
          <w:hyperlink w:anchor="_Toc234931941" w:history="1">
            <w:r w:rsidRPr="00364D6C">
              <w:rPr>
                <w:rStyle w:val="Hyperlink"/>
                <w:rFonts w:asciiTheme="minorHAnsi" w:hAnsiTheme="minorHAnsi"/>
                <w:b/>
                <w:bCs/>
                <w:noProof/>
              </w:rPr>
              <w:t>Domain 3: Design and Implement Data Security</w:t>
            </w:r>
            <w:r w:rsidRPr="00364D6C">
              <w:rPr>
                <w:rFonts w:asciiTheme="minorHAnsi" w:hAnsiTheme="minorHAnsi"/>
                <w:noProof/>
              </w:rPr>
              <w:tab/>
            </w:r>
            <w:r w:rsidRPr="00364D6C">
              <w:rPr>
                <w:rFonts w:asciiTheme="minorHAnsi" w:hAnsiTheme="minorHAnsi"/>
                <w:noProof/>
              </w:rPr>
              <w:fldChar w:fldCharType="begin"/>
            </w:r>
            <w:r w:rsidRPr="00364D6C">
              <w:rPr>
                <w:rFonts w:asciiTheme="minorHAnsi" w:hAnsiTheme="minorHAnsi"/>
                <w:noProof/>
              </w:rPr>
              <w:instrText xml:space="preserve"> PAGEREF _Toc234931941 \h </w:instrText>
            </w:r>
            <w:r w:rsidRPr="00364D6C">
              <w:rPr>
                <w:rFonts w:asciiTheme="minorHAnsi" w:hAnsiTheme="minorHAnsi"/>
                <w:noProof/>
              </w:rPr>
            </w:r>
            <w:r w:rsidRPr="00364D6C">
              <w:rPr>
                <w:rFonts w:asciiTheme="minorHAnsi" w:hAnsiTheme="minorHAnsi"/>
                <w:noProof/>
              </w:rPr>
              <w:fldChar w:fldCharType="separate"/>
            </w:r>
            <w:r w:rsidRPr="00364D6C">
              <w:rPr>
                <w:rFonts w:asciiTheme="minorHAnsi" w:hAnsiTheme="minorHAnsi"/>
                <w:noProof/>
              </w:rPr>
              <w:t>1</w:t>
            </w:r>
            <w:r w:rsidRPr="00364D6C">
              <w:rPr>
                <w:rFonts w:asciiTheme="minorHAnsi" w:hAnsiTheme="minorHAnsi"/>
                <w:noProof/>
              </w:rPr>
              <w:fldChar w:fldCharType="end"/>
            </w:r>
          </w:hyperlink>
        </w:p>
        <w:p w14:paraId="4748CA41" w14:textId="77777777" w:rsidR="00364D6C" w:rsidRPr="00364D6C" w:rsidRDefault="00364D6C">
          <w:pPr>
            <w:pStyle w:val="TOC1"/>
            <w:tabs>
              <w:tab w:val="right" w:leader="dot" w:pos="9710"/>
            </w:tabs>
            <w:rPr>
              <w:rFonts w:asciiTheme="minorHAnsi" w:hAnsiTheme="minorHAnsi"/>
              <w:noProof/>
            </w:rPr>
          </w:pPr>
          <w:hyperlink w:anchor="_Toc234931942" w:history="1">
            <w:r w:rsidRPr="00364D6C">
              <w:rPr>
                <w:rStyle w:val="Hyperlink"/>
                <w:rFonts w:asciiTheme="minorHAnsi" w:hAnsiTheme="minorHAnsi"/>
                <w:b/>
                <w:bCs/>
                <w:noProof/>
              </w:rPr>
              <w:t>Domain 4: Monitor and Optimize Data Storage and Data Processing</w:t>
            </w:r>
            <w:r w:rsidRPr="00364D6C">
              <w:rPr>
                <w:rFonts w:asciiTheme="minorHAnsi" w:hAnsiTheme="minorHAnsi"/>
                <w:noProof/>
              </w:rPr>
              <w:tab/>
            </w:r>
            <w:r w:rsidRPr="00364D6C">
              <w:rPr>
                <w:rFonts w:asciiTheme="minorHAnsi" w:hAnsiTheme="minorHAnsi"/>
                <w:noProof/>
              </w:rPr>
              <w:fldChar w:fldCharType="begin"/>
            </w:r>
            <w:r w:rsidRPr="00364D6C">
              <w:rPr>
                <w:rFonts w:asciiTheme="minorHAnsi" w:hAnsiTheme="minorHAnsi"/>
                <w:noProof/>
              </w:rPr>
              <w:instrText xml:space="preserve"> PAGEREF _Toc234931942 \h </w:instrText>
            </w:r>
            <w:r w:rsidRPr="00364D6C">
              <w:rPr>
                <w:rFonts w:asciiTheme="minorHAnsi" w:hAnsiTheme="minorHAnsi"/>
                <w:noProof/>
              </w:rPr>
            </w:r>
            <w:r w:rsidRPr="00364D6C">
              <w:rPr>
                <w:rFonts w:asciiTheme="minorHAnsi" w:hAnsiTheme="minorHAnsi"/>
                <w:noProof/>
              </w:rPr>
              <w:fldChar w:fldCharType="separate"/>
            </w:r>
            <w:r w:rsidRPr="00364D6C">
              <w:rPr>
                <w:rFonts w:asciiTheme="minorHAnsi" w:hAnsiTheme="minorHAnsi"/>
                <w:noProof/>
              </w:rPr>
              <w:t>1</w:t>
            </w:r>
            <w:r w:rsidRPr="00364D6C">
              <w:rPr>
                <w:rFonts w:asciiTheme="minorHAnsi" w:hAnsiTheme="minorHAnsi"/>
                <w:noProof/>
              </w:rPr>
              <w:fldChar w:fldCharType="end"/>
            </w:r>
          </w:hyperlink>
        </w:p>
        <w:p w14:paraId="4E83FC13" w14:textId="77777777" w:rsidR="00364D6C" w:rsidRPr="00364D6C" w:rsidRDefault="00364D6C">
          <w:pPr>
            <w:pStyle w:val="TOC1"/>
            <w:tabs>
              <w:tab w:val="right" w:leader="dot" w:pos="9710"/>
            </w:tabs>
            <w:rPr>
              <w:rFonts w:asciiTheme="minorHAnsi" w:hAnsiTheme="minorHAnsi"/>
              <w:noProof/>
            </w:rPr>
          </w:pPr>
          <w:hyperlink w:anchor="_Toc234931943" w:history="1">
            <w:r w:rsidRPr="00364D6C">
              <w:rPr>
                <w:rStyle w:val="Hyperlink"/>
                <w:rFonts w:asciiTheme="minorHAnsi" w:hAnsiTheme="minorHAnsi"/>
                <w:b/>
                <w:bCs/>
                <w:noProof/>
              </w:rPr>
              <w:t>Answer Key Summary</w:t>
            </w:r>
            <w:r w:rsidRPr="00364D6C">
              <w:rPr>
                <w:rFonts w:asciiTheme="minorHAnsi" w:hAnsiTheme="minorHAnsi"/>
                <w:noProof/>
              </w:rPr>
              <w:tab/>
            </w:r>
            <w:r w:rsidRPr="00364D6C">
              <w:rPr>
                <w:rFonts w:asciiTheme="minorHAnsi" w:hAnsiTheme="minorHAnsi"/>
                <w:noProof/>
              </w:rPr>
              <w:fldChar w:fldCharType="begin"/>
            </w:r>
            <w:r w:rsidRPr="00364D6C">
              <w:rPr>
                <w:rFonts w:asciiTheme="minorHAnsi" w:hAnsiTheme="minorHAnsi"/>
                <w:noProof/>
              </w:rPr>
              <w:instrText xml:space="preserve"> PAGEREF _Toc234931943 \h </w:instrText>
            </w:r>
            <w:r w:rsidRPr="00364D6C">
              <w:rPr>
                <w:rFonts w:asciiTheme="minorHAnsi" w:hAnsiTheme="minorHAnsi"/>
                <w:noProof/>
              </w:rPr>
            </w:r>
            <w:r w:rsidRPr="00364D6C">
              <w:rPr>
                <w:rFonts w:asciiTheme="minorHAnsi" w:hAnsiTheme="minorHAnsi"/>
                <w:noProof/>
              </w:rPr>
              <w:fldChar w:fldCharType="separate"/>
            </w:r>
            <w:r w:rsidRPr="00364D6C">
              <w:rPr>
                <w:rFonts w:asciiTheme="minorHAnsi" w:hAnsiTheme="minorHAnsi"/>
                <w:noProof/>
              </w:rPr>
              <w:t>1</w:t>
            </w:r>
            <w:r w:rsidRPr="00364D6C">
              <w:rPr>
                <w:rFonts w:asciiTheme="minorHAnsi" w:hAnsiTheme="minorHAnsi"/>
                <w:noProof/>
              </w:rPr>
              <w:fldChar w:fldCharType="end"/>
            </w:r>
          </w:hyperlink>
        </w:p>
        <w:p w14:paraId="386A4449" w14:textId="77777777" w:rsidR="00DA42E1" w:rsidRPr="00364D6C" w:rsidRDefault="00000000">
          <w:pPr>
            <w:rPr>
              <w:rFonts w:asciiTheme="minorHAnsi" w:hAnsiTheme="minorHAnsi"/>
            </w:rPr>
          </w:pPr>
          <w:r w:rsidRPr="00364D6C">
            <w:rPr>
              <w:rFonts w:asciiTheme="minorHAnsi" w:hAnsiTheme="minorHAnsi"/>
            </w:rPr>
            <w:fldChar w:fldCharType="end"/>
          </w:r>
        </w:p>
      </w:sdtContent>
    </w:sdt>
    <w:p w14:paraId="5FCA8720" w14:textId="77777777" w:rsidR="00DA42E1" w:rsidRPr="00364D6C" w:rsidRDefault="00000000">
      <w:pPr>
        <w:rPr>
          <w:rFonts w:asciiTheme="minorHAnsi" w:hAnsiTheme="minorHAnsi"/>
        </w:rPr>
      </w:pPr>
      <w:r w:rsidRPr="00364D6C">
        <w:rPr>
          <w:rFonts w:asciiTheme="minorHAnsi" w:hAnsiTheme="minorHAnsi"/>
        </w:rPr>
        <w:br w:type="page"/>
      </w:r>
    </w:p>
    <w:p w14:paraId="77AEB1F6" w14:textId="77777777" w:rsidR="00DA42E1" w:rsidRPr="00364D6C" w:rsidRDefault="00000000">
      <w:pPr>
        <w:pStyle w:val="Heading1"/>
        <w:pBdr>
          <w:bottom w:val="single" w:sz="8" w:space="4" w:color="2E5395"/>
        </w:pBdr>
        <w:spacing w:before="360" w:after="160"/>
        <w:rPr>
          <w:rFonts w:asciiTheme="minorHAnsi" w:hAnsiTheme="minorHAnsi"/>
        </w:rPr>
      </w:pPr>
      <w:bookmarkStart w:id="0" w:name="_Toc234931938"/>
      <w:r w:rsidRPr="00364D6C">
        <w:rPr>
          <w:rFonts w:asciiTheme="minorHAnsi" w:hAnsiTheme="minorHAnsi"/>
          <w:b/>
          <w:bCs/>
          <w:color w:val="1F3864"/>
          <w:sz w:val="30"/>
          <w:szCs w:val="30"/>
        </w:rPr>
        <w:lastRenderedPageBreak/>
        <w:t>About This Practice Set</w:t>
      </w:r>
      <w:bookmarkEnd w:id="0"/>
    </w:p>
    <w:p w14:paraId="03EE1452"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 xml:space="preserve">This document contains original, independently written practice questions </w:t>
      </w:r>
      <w:proofErr w:type="spellStart"/>
      <w:r w:rsidRPr="00364D6C">
        <w:rPr>
          <w:rFonts w:asciiTheme="minorHAnsi" w:hAnsiTheme="minorHAnsi"/>
          <w:sz w:val="22"/>
          <w:szCs w:val="22"/>
        </w:rPr>
        <w:t>modeled</w:t>
      </w:r>
      <w:proofErr w:type="spellEnd"/>
      <w:r w:rsidRPr="00364D6C">
        <w:rPr>
          <w:rFonts w:asciiTheme="minorHAnsi" w:hAnsiTheme="minorHAnsi"/>
          <w:sz w:val="22"/>
          <w:szCs w:val="22"/>
        </w:rPr>
        <w:t xml:space="preserve"> on the official DP-203: Data Engineering on Microsoft Azure exam skill domains: designing and implementing data storage, designing and developing data processing, designing and implementing data security, and monitoring and optimizing data storage and data processing.</w:t>
      </w:r>
    </w:p>
    <w:p w14:paraId="5F8E3B45"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These questions are written from scratch to test understanding of the underlying Azure data engineering concepts (Azure Data Lake Storage, Synapse Analytics, Azure Databricks, Azure Data Factory / Synapse Pipelines, Azure Stream Analytics, and data security features). They are study aids, not real exam questions, and are not guaranteed to reflect the exact scope, wording, or difficulty of the live certification exam.</w:t>
      </w:r>
    </w:p>
    <w:p w14:paraId="6E84A9B8" w14:textId="77777777" w:rsidR="00DA42E1" w:rsidRPr="00364D6C" w:rsidRDefault="00000000">
      <w:pPr>
        <w:spacing w:after="160" w:line="276" w:lineRule="auto"/>
        <w:rPr>
          <w:rFonts w:asciiTheme="minorHAnsi" w:hAnsiTheme="minorHAnsi"/>
        </w:rPr>
      </w:pPr>
      <w:r w:rsidRPr="00364D6C">
        <w:rPr>
          <w:rFonts w:asciiTheme="minorHAnsi" w:hAnsiTheme="minorHAnsi"/>
          <w:i/>
          <w:iCs/>
          <w:sz w:val="22"/>
          <w:szCs w:val="22"/>
        </w:rPr>
        <w:t>Each question includes four answer options, the correct answer, and a discussion explaining the reasoning — similar in spirit to a study guide, but entirely original content.</w:t>
      </w:r>
    </w:p>
    <w:p w14:paraId="726FE802" w14:textId="77777777" w:rsidR="00DA42E1" w:rsidRPr="00364D6C" w:rsidRDefault="00000000">
      <w:pPr>
        <w:rPr>
          <w:rFonts w:asciiTheme="minorHAnsi" w:hAnsiTheme="minorHAnsi"/>
        </w:rPr>
      </w:pPr>
      <w:r w:rsidRPr="00364D6C">
        <w:rPr>
          <w:rFonts w:asciiTheme="minorHAnsi" w:hAnsiTheme="minorHAnsi"/>
        </w:rPr>
        <w:br w:type="page"/>
      </w:r>
    </w:p>
    <w:p w14:paraId="4A2491C8" w14:textId="77777777" w:rsidR="00DA42E1" w:rsidRPr="00364D6C" w:rsidRDefault="00000000">
      <w:pPr>
        <w:pStyle w:val="Heading1"/>
        <w:pBdr>
          <w:bottom w:val="single" w:sz="8" w:space="4" w:color="2E5395"/>
        </w:pBdr>
        <w:spacing w:before="360" w:after="160"/>
        <w:rPr>
          <w:rFonts w:asciiTheme="minorHAnsi" w:hAnsiTheme="minorHAnsi"/>
        </w:rPr>
      </w:pPr>
      <w:bookmarkStart w:id="1" w:name="_Toc234931939"/>
      <w:r w:rsidRPr="00364D6C">
        <w:rPr>
          <w:rFonts w:asciiTheme="minorHAnsi" w:hAnsiTheme="minorHAnsi"/>
          <w:b/>
          <w:bCs/>
          <w:color w:val="1F3864"/>
          <w:sz w:val="30"/>
          <w:szCs w:val="30"/>
        </w:rPr>
        <w:lastRenderedPageBreak/>
        <w:t>Domain 1: Design and Implement Data Storage</w:t>
      </w:r>
      <w:bookmarkEnd w:id="1"/>
    </w:p>
    <w:p w14:paraId="77F985A3" w14:textId="77777777" w:rsidR="00DA42E1" w:rsidRPr="00364D6C" w:rsidRDefault="00000000">
      <w:pPr>
        <w:spacing w:after="160" w:line="276" w:lineRule="auto"/>
        <w:rPr>
          <w:rFonts w:asciiTheme="minorHAnsi" w:hAnsiTheme="minorHAnsi"/>
        </w:rPr>
      </w:pPr>
      <w:r w:rsidRPr="00364D6C">
        <w:rPr>
          <w:rFonts w:asciiTheme="minorHAnsi" w:hAnsiTheme="minorHAnsi"/>
          <w:i/>
          <w:iCs/>
          <w:color w:val="595959"/>
        </w:rPr>
        <w:t>This domain covers designing Azure Data Lake Storage layouts, choosing file formats and partitioning strategies, and designing Synapse Analytics storage structures (distributions, indexing, and table types).</w:t>
      </w:r>
    </w:p>
    <w:p w14:paraId="3A88B234"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w:t>
      </w:r>
    </w:p>
    <w:p w14:paraId="292955A0"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are designing a data lake that will hold several years of clickstream data. Analysts will run large-scale, column-heavy aggregation queries against this data using Synapse serverless SQL pools. Which file format should you choose to minimize query cost and maximize scan performance?</w:t>
      </w:r>
    </w:p>
    <w:p w14:paraId="31C6A1B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CSV</w:t>
      </w:r>
    </w:p>
    <w:p w14:paraId="2C367AA4"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JSON</w:t>
      </w:r>
    </w:p>
    <w:p w14:paraId="410BAFE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Parquet</w:t>
      </w:r>
    </w:p>
    <w:p w14:paraId="7868384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Avro</w:t>
      </w:r>
    </w:p>
    <w:p w14:paraId="51453784"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C</w:t>
      </w:r>
    </w:p>
    <w:p w14:paraId="676FB6DD"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Parquet is a columnar, compressed, </w:t>
      </w:r>
      <w:proofErr w:type="spellStart"/>
      <w:r w:rsidRPr="00364D6C">
        <w:rPr>
          <w:rFonts w:asciiTheme="minorHAnsi" w:hAnsiTheme="minorHAnsi"/>
          <w:color w:val="595959"/>
        </w:rPr>
        <w:t>splittable</w:t>
      </w:r>
      <w:proofErr w:type="spellEnd"/>
      <w:r w:rsidRPr="00364D6C">
        <w:rPr>
          <w:rFonts w:asciiTheme="minorHAnsi" w:hAnsiTheme="minorHAnsi"/>
          <w:color w:val="595959"/>
        </w:rPr>
        <w:t xml:space="preserve"> format. Because serverless SQL pools bill by data scanned, a columnar format lets the engine skip unread columns entirely, dramatically reducing bytes scanned for column-heavy aggregations. CSV and JSON are row-based and must be read in full; Avro is columnar-unfriendly since it is a row-based format best suited to write-heavy, schema-evolving streaming scenarios rather than large analytical scans.</w:t>
      </w:r>
    </w:p>
    <w:p w14:paraId="43C73C6A"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w:t>
      </w:r>
    </w:p>
    <w:p w14:paraId="4D657936"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 xml:space="preserve">A fact table in a Synapse dedicated SQL pool has 2 billion rows and is frequently joined to a dimension table on </w:t>
      </w:r>
      <w:proofErr w:type="spellStart"/>
      <w:r w:rsidRPr="00364D6C">
        <w:rPr>
          <w:rFonts w:asciiTheme="minorHAnsi" w:hAnsiTheme="minorHAnsi"/>
          <w:sz w:val="22"/>
          <w:szCs w:val="22"/>
        </w:rPr>
        <w:t>CustomerKey</w:t>
      </w:r>
      <w:proofErr w:type="spellEnd"/>
      <w:r w:rsidRPr="00364D6C">
        <w:rPr>
          <w:rFonts w:asciiTheme="minorHAnsi" w:hAnsiTheme="minorHAnsi"/>
          <w:sz w:val="22"/>
          <w:szCs w:val="22"/>
        </w:rPr>
        <w:t xml:space="preserve">, </w:t>
      </w:r>
      <w:proofErr w:type="gramStart"/>
      <w:r w:rsidRPr="00364D6C">
        <w:rPr>
          <w:rFonts w:asciiTheme="minorHAnsi" w:hAnsiTheme="minorHAnsi"/>
          <w:sz w:val="22"/>
          <w:szCs w:val="22"/>
        </w:rPr>
        <w:t>and also</w:t>
      </w:r>
      <w:proofErr w:type="gramEnd"/>
      <w:r w:rsidRPr="00364D6C">
        <w:rPr>
          <w:rFonts w:asciiTheme="minorHAnsi" w:hAnsiTheme="minorHAnsi"/>
          <w:sz w:val="22"/>
          <w:szCs w:val="22"/>
        </w:rPr>
        <w:t xml:space="preserve"> frequently filtered and aggregated by </w:t>
      </w:r>
      <w:proofErr w:type="spellStart"/>
      <w:r w:rsidRPr="00364D6C">
        <w:rPr>
          <w:rFonts w:asciiTheme="minorHAnsi" w:hAnsiTheme="minorHAnsi"/>
          <w:sz w:val="22"/>
          <w:szCs w:val="22"/>
        </w:rPr>
        <w:t>CustomerKey</w:t>
      </w:r>
      <w:proofErr w:type="spellEnd"/>
      <w:r w:rsidRPr="00364D6C">
        <w:rPr>
          <w:rFonts w:asciiTheme="minorHAnsi" w:hAnsiTheme="minorHAnsi"/>
          <w:sz w:val="22"/>
          <w:szCs w:val="22"/>
        </w:rPr>
        <w:t>. Which distribution strategy is most appropriate for the fact table?</w:t>
      </w:r>
    </w:p>
    <w:p w14:paraId="48E7EA2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Round-robin distribution</w:t>
      </w:r>
    </w:p>
    <w:p w14:paraId="040DC1D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 xml:space="preserve">B. Hash distribution on </w:t>
      </w:r>
      <w:proofErr w:type="spellStart"/>
      <w:r w:rsidRPr="00364D6C">
        <w:rPr>
          <w:rFonts w:asciiTheme="minorHAnsi" w:hAnsiTheme="minorHAnsi"/>
          <w:sz w:val="21"/>
          <w:szCs w:val="21"/>
        </w:rPr>
        <w:t>CustomerKey</w:t>
      </w:r>
      <w:proofErr w:type="spellEnd"/>
    </w:p>
    <w:p w14:paraId="1ED2246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Replicated distribution</w:t>
      </w:r>
    </w:p>
    <w:p w14:paraId="7ECA7DD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Hash distribution on an auto-incrementing surrogate key unrelated to the joins</w:t>
      </w:r>
    </w:p>
    <w:p w14:paraId="3949C04D"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5D6309BC"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Hash distribution on the join/filter key (</w:t>
      </w:r>
      <w:proofErr w:type="spellStart"/>
      <w:r w:rsidRPr="00364D6C">
        <w:rPr>
          <w:rFonts w:asciiTheme="minorHAnsi" w:hAnsiTheme="minorHAnsi"/>
          <w:color w:val="595959"/>
        </w:rPr>
        <w:t>CustomerKey</w:t>
      </w:r>
      <w:proofErr w:type="spellEnd"/>
      <w:r w:rsidRPr="00364D6C">
        <w:rPr>
          <w:rFonts w:asciiTheme="minorHAnsi" w:hAnsiTheme="minorHAnsi"/>
          <w:color w:val="595959"/>
        </w:rPr>
        <w:t>) co-locates matching rows on the same compute node, avoiding costly data movement during joins and aggregations. Round-robin is simpler to load but forces data shuffling for joins. Replicated distribution is appropriate only for small dimension tables (typically under a few GB), not a 2-billion-row fact table, since every node would need a full copy.</w:t>
      </w:r>
    </w:p>
    <w:p w14:paraId="3B79613E"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w:t>
      </w:r>
    </w:p>
    <w:p w14:paraId="3A94493C"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Azure Data Lake Storage Gen2 feature provides POSIX-compliant access control lists and enables efficient directory rename/move operations compared to a flat blob namespace?</w:t>
      </w:r>
    </w:p>
    <w:p w14:paraId="65CA681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Soft delete</w:t>
      </w:r>
    </w:p>
    <w:p w14:paraId="2108771A"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Hierarchical namespace</w:t>
      </w:r>
    </w:p>
    <w:p w14:paraId="5CCDE92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Blob versioning</w:t>
      </w:r>
    </w:p>
    <w:p w14:paraId="627551C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Immutable storage policies</w:t>
      </w:r>
    </w:p>
    <w:p w14:paraId="49D03C3A"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54A36897"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lastRenderedPageBreak/>
        <w:t xml:space="preserve">Discussion: </w:t>
      </w:r>
      <w:r w:rsidRPr="00364D6C">
        <w:rPr>
          <w:rFonts w:asciiTheme="minorHAnsi" w:hAnsiTheme="minorHAnsi"/>
          <w:color w:val="595959"/>
        </w:rPr>
        <w:t>Hierarchical namespace (HNS) organizes objects into an actual directory/file tree rather than a flat key-value blob namespace, enabling atomic directory operations, POSIX-style ACLs at the directory and file level, and better performance for big data engines like Spark. This is the feature you must enable during storage account creation to get 'Data Lake Storage Gen2' capabilities on top of Blob Storage.</w:t>
      </w:r>
    </w:p>
    <w:p w14:paraId="1BF05BCC"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4</w:t>
      </w:r>
    </w:p>
    <w:p w14:paraId="6EFE6D02"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are designing folder structure for a medallion-architecture data lake. Which folder naming pattern best reflects the recommended progression of data quality and refinement?</w:t>
      </w:r>
    </w:p>
    <w:p w14:paraId="31A8E60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/input, /output, /archive</w:t>
      </w:r>
    </w:p>
    <w:p w14:paraId="378C8D0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/raw, /curated, /published</w:t>
      </w:r>
    </w:p>
    <w:p w14:paraId="260A34A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/bronze, /silver, /gold</w:t>
      </w:r>
    </w:p>
    <w:p w14:paraId="7091F97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/dev, /test, /prod</w:t>
      </w:r>
    </w:p>
    <w:p w14:paraId="2B1B9F60"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C</w:t>
      </w:r>
    </w:p>
    <w:p w14:paraId="5DBDDD3F"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The medallion architecture pattern organizes data into bronze (raw, as-ingested), silver (cleansed and conformed), and gold (aggregated, business-ready) layers — this bronze/silver/gold terminology is the standard naming convention for that specific pattern. Option B describes a similar three-tier concept using different naming, but the question specifically asks for the medallion architecture's naming convention, which is bronze/silver/gold.</w:t>
      </w:r>
    </w:p>
    <w:p w14:paraId="57DD9CA4"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5</w:t>
      </w:r>
    </w:p>
    <w:p w14:paraId="6BCF28DA"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A dimension table containing only 500 rows of static reference data (e.g., Country codes) is frequently joined to very large fact tables in a Synapse dedicated SQL pool. Which distribution type minimizes data movement for these joins?</w:t>
      </w:r>
    </w:p>
    <w:p w14:paraId="055F14E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Hash distribution</w:t>
      </w:r>
    </w:p>
    <w:p w14:paraId="2BB1B65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Round-robin distribution</w:t>
      </w:r>
    </w:p>
    <w:p w14:paraId="5BADDC7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Replicated distribution</w:t>
      </w:r>
    </w:p>
    <w:p w14:paraId="37EF6A1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Range distribution</w:t>
      </w:r>
    </w:p>
    <w:p w14:paraId="76C4E7C9"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C</w:t>
      </w:r>
    </w:p>
    <w:p w14:paraId="7AFD1382"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Replicated tables store a full copy of the table on every compute node, eliminating data movement entirely for joins against them. This is ideal for small, relatively static dimension tables. Hash distribution would be unnecessary overhead for such a small table, and round-robin would force shuffling during joins. Synapse dedicated pools do not offer a native 'range distribution' option.</w:t>
      </w:r>
    </w:p>
    <w:p w14:paraId="59E26E6B"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6</w:t>
      </w:r>
    </w:p>
    <w:p w14:paraId="5EB2D304"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need to load a large batch of new data into a Synapse dedicated SQL pool fact table with minimal locking and downtime, then make it available atomically to readers. Which technique should you use?</w:t>
      </w:r>
    </w:p>
    <w:p w14:paraId="0D56199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INSERT INTO statement row by row</w:t>
      </w:r>
    </w:p>
    <w:p w14:paraId="3B21A21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Partition switching using a staging table</w:t>
      </w:r>
    </w:p>
    <w:p w14:paraId="1453D7B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TRUNCATE and re-INSERT the whole table</w:t>
      </w:r>
    </w:p>
    <w:p w14:paraId="6F88853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UPDATE STATISTICS after every load</w:t>
      </w:r>
    </w:p>
    <w:p w14:paraId="636C609B"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4FC3066E"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Partition switching loads data into a staging table with an identical schema and matching partition scheme, then switches the partition into the target table as a fast metadata-only operation. This avoids row-by-</w:t>
      </w:r>
      <w:r w:rsidRPr="00364D6C">
        <w:rPr>
          <w:rFonts w:asciiTheme="minorHAnsi" w:hAnsiTheme="minorHAnsi"/>
          <w:color w:val="595959"/>
        </w:rPr>
        <w:lastRenderedPageBreak/>
        <w:t>row locking, is nearly instantaneous regardless of data volume, and makes the new partition available atomically. Row-by-row inserts and full table reloads are far slower and cause much more contention.</w:t>
      </w:r>
    </w:p>
    <w:p w14:paraId="07DA87ED"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7</w:t>
      </w:r>
    </w:p>
    <w:p w14:paraId="659D3A08"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Synapse Analytics table type reads data directly from files in a data lake without duplicating the data into the database itself?</w:t>
      </w:r>
    </w:p>
    <w:p w14:paraId="5BC821D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External table</w:t>
      </w:r>
    </w:p>
    <w:p w14:paraId="27C631C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 xml:space="preserve">B. Clustered </w:t>
      </w:r>
      <w:proofErr w:type="spellStart"/>
      <w:r w:rsidRPr="00364D6C">
        <w:rPr>
          <w:rFonts w:asciiTheme="minorHAnsi" w:hAnsiTheme="minorHAnsi"/>
          <w:sz w:val="21"/>
          <w:szCs w:val="21"/>
        </w:rPr>
        <w:t>columnstore</w:t>
      </w:r>
      <w:proofErr w:type="spellEnd"/>
      <w:r w:rsidRPr="00364D6C">
        <w:rPr>
          <w:rFonts w:asciiTheme="minorHAnsi" w:hAnsiTheme="minorHAnsi"/>
          <w:sz w:val="21"/>
          <w:szCs w:val="21"/>
        </w:rPr>
        <w:t xml:space="preserve"> table</w:t>
      </w:r>
    </w:p>
    <w:p w14:paraId="796FA95A"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Heap table</w:t>
      </w:r>
    </w:p>
    <w:p w14:paraId="4BC0E5A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Replicated table</w:t>
      </w:r>
    </w:p>
    <w:p w14:paraId="4236BFD6"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496A46DD"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External tables define a schema over files that remain in external storage (such as ADLS Gen2), without copying the data into the SQL pool. This is commonly used with serverless SQL pools for querying the data lake directly, or in dedicated pools with </w:t>
      </w:r>
      <w:proofErr w:type="spellStart"/>
      <w:r w:rsidRPr="00364D6C">
        <w:rPr>
          <w:rFonts w:asciiTheme="minorHAnsi" w:hAnsiTheme="minorHAnsi"/>
          <w:color w:val="595959"/>
        </w:rPr>
        <w:t>PolyBase</w:t>
      </w:r>
      <w:proofErr w:type="spellEnd"/>
      <w:r w:rsidRPr="00364D6C">
        <w:rPr>
          <w:rFonts w:asciiTheme="minorHAnsi" w:hAnsiTheme="minorHAnsi"/>
          <w:color w:val="595959"/>
        </w:rPr>
        <w:t>/COPY for staging loads.</w:t>
      </w:r>
    </w:p>
    <w:p w14:paraId="0D2D6920"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8</w:t>
      </w:r>
    </w:p>
    <w:p w14:paraId="2226A620"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For a fact table with over 60 million rows in a Synapse dedicated SQL pool, which index type generally provides the best combination of storage compression and query performance for analytical workloads?</w:t>
      </w:r>
    </w:p>
    <w:p w14:paraId="3FBFE7A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Heap</w:t>
      </w:r>
    </w:p>
    <w:p w14:paraId="4025C256"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Clustered index (</w:t>
      </w:r>
      <w:proofErr w:type="spellStart"/>
      <w:r w:rsidRPr="00364D6C">
        <w:rPr>
          <w:rFonts w:asciiTheme="minorHAnsi" w:hAnsiTheme="minorHAnsi"/>
          <w:sz w:val="21"/>
          <w:szCs w:val="21"/>
        </w:rPr>
        <w:t>rowstore</w:t>
      </w:r>
      <w:proofErr w:type="spellEnd"/>
      <w:r w:rsidRPr="00364D6C">
        <w:rPr>
          <w:rFonts w:asciiTheme="minorHAnsi" w:hAnsiTheme="minorHAnsi"/>
          <w:sz w:val="21"/>
          <w:szCs w:val="21"/>
        </w:rPr>
        <w:t>)</w:t>
      </w:r>
    </w:p>
    <w:p w14:paraId="039D3596"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 xml:space="preserve">C. Clustered </w:t>
      </w:r>
      <w:proofErr w:type="spellStart"/>
      <w:r w:rsidRPr="00364D6C">
        <w:rPr>
          <w:rFonts w:asciiTheme="minorHAnsi" w:hAnsiTheme="minorHAnsi"/>
          <w:sz w:val="21"/>
          <w:szCs w:val="21"/>
        </w:rPr>
        <w:t>columnstore</w:t>
      </w:r>
      <w:proofErr w:type="spellEnd"/>
      <w:r w:rsidRPr="00364D6C">
        <w:rPr>
          <w:rFonts w:asciiTheme="minorHAnsi" w:hAnsiTheme="minorHAnsi"/>
          <w:sz w:val="21"/>
          <w:szCs w:val="21"/>
        </w:rPr>
        <w:t xml:space="preserve"> index</w:t>
      </w:r>
    </w:p>
    <w:p w14:paraId="411D74E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 xml:space="preserve">D. </w:t>
      </w:r>
      <w:proofErr w:type="spellStart"/>
      <w:r w:rsidRPr="00364D6C">
        <w:rPr>
          <w:rFonts w:asciiTheme="minorHAnsi" w:hAnsiTheme="minorHAnsi"/>
          <w:sz w:val="21"/>
          <w:szCs w:val="21"/>
        </w:rPr>
        <w:t>Nonclustered</w:t>
      </w:r>
      <w:proofErr w:type="spellEnd"/>
      <w:r w:rsidRPr="00364D6C">
        <w:rPr>
          <w:rFonts w:asciiTheme="minorHAnsi" w:hAnsiTheme="minorHAnsi"/>
          <w:sz w:val="21"/>
          <w:szCs w:val="21"/>
        </w:rPr>
        <w:t xml:space="preserve"> index only</w:t>
      </w:r>
    </w:p>
    <w:p w14:paraId="221A078D"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C</w:t>
      </w:r>
    </w:p>
    <w:p w14:paraId="5BA072F4"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Clustered </w:t>
      </w:r>
      <w:proofErr w:type="spellStart"/>
      <w:r w:rsidRPr="00364D6C">
        <w:rPr>
          <w:rFonts w:asciiTheme="minorHAnsi" w:hAnsiTheme="minorHAnsi"/>
          <w:color w:val="595959"/>
        </w:rPr>
        <w:t>columnstore</w:t>
      </w:r>
      <w:proofErr w:type="spellEnd"/>
      <w:r w:rsidRPr="00364D6C">
        <w:rPr>
          <w:rFonts w:asciiTheme="minorHAnsi" w:hAnsiTheme="minorHAnsi"/>
          <w:color w:val="595959"/>
        </w:rPr>
        <w:t xml:space="preserve"> indexes are the default and recommended choice for large fact tables in Synapse dedicated pools because they provide high compression ratios and fast scan/aggregation performance for analytical queries. Microsoft's general guidance is to use </w:t>
      </w:r>
      <w:proofErr w:type="spellStart"/>
      <w:r w:rsidRPr="00364D6C">
        <w:rPr>
          <w:rFonts w:asciiTheme="minorHAnsi" w:hAnsiTheme="minorHAnsi"/>
          <w:color w:val="595959"/>
        </w:rPr>
        <w:t>columnstore</w:t>
      </w:r>
      <w:proofErr w:type="spellEnd"/>
      <w:r w:rsidRPr="00364D6C">
        <w:rPr>
          <w:rFonts w:asciiTheme="minorHAnsi" w:hAnsiTheme="minorHAnsi"/>
          <w:color w:val="595959"/>
        </w:rPr>
        <w:t xml:space="preserve"> for tables with more than roughly 60 million rows; heaps or </w:t>
      </w:r>
      <w:proofErr w:type="spellStart"/>
      <w:r w:rsidRPr="00364D6C">
        <w:rPr>
          <w:rFonts w:asciiTheme="minorHAnsi" w:hAnsiTheme="minorHAnsi"/>
          <w:color w:val="595959"/>
        </w:rPr>
        <w:t>rowstore</w:t>
      </w:r>
      <w:proofErr w:type="spellEnd"/>
      <w:r w:rsidRPr="00364D6C">
        <w:rPr>
          <w:rFonts w:asciiTheme="minorHAnsi" w:hAnsiTheme="minorHAnsi"/>
          <w:color w:val="595959"/>
        </w:rPr>
        <w:t xml:space="preserve"> indexes are better suited to small dimension tables or staging tables with heavy single-row lookups.</w:t>
      </w:r>
    </w:p>
    <w:p w14:paraId="3566E677"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9</w:t>
      </w:r>
    </w:p>
    <w:p w14:paraId="47A42551"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are choosing a file format for a streaming ingestion pipeline where the schema is expected to evolve frequently (new fields added over time</w:t>
      </w:r>
      <w:proofErr w:type="gramStart"/>
      <w:r w:rsidRPr="00364D6C">
        <w:rPr>
          <w:rFonts w:asciiTheme="minorHAnsi" w:hAnsiTheme="minorHAnsi"/>
          <w:sz w:val="22"/>
          <w:szCs w:val="22"/>
        </w:rPr>
        <w:t>)</w:t>
      </w:r>
      <w:proofErr w:type="gramEnd"/>
      <w:r w:rsidRPr="00364D6C">
        <w:rPr>
          <w:rFonts w:asciiTheme="minorHAnsi" w:hAnsiTheme="minorHAnsi"/>
          <w:sz w:val="22"/>
          <w:szCs w:val="22"/>
        </w:rPr>
        <w:t xml:space="preserve"> and files will primarily be consumed by downstream row-based processing systems. Which format is most appropriate?</w:t>
      </w:r>
    </w:p>
    <w:p w14:paraId="7F387634"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Parquet</w:t>
      </w:r>
    </w:p>
    <w:p w14:paraId="341BAAAB"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Avro</w:t>
      </w:r>
    </w:p>
    <w:p w14:paraId="246F2CA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ORC</w:t>
      </w:r>
    </w:p>
    <w:p w14:paraId="5811B86C"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Plain text</w:t>
      </w:r>
    </w:p>
    <w:p w14:paraId="3ADCDD54"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4623AE0A"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Avro is a row-based format with strong native support for schema evolution (embedding the schema with the data) and is widely used in streaming/messaging pipelines such as those integrating with Kafka or Event Hubs. Parquet and ORC are columnar formats better suited to analytical batch-read workloads, not frequent schema changes during write-heavy streaming ingestion.</w:t>
      </w:r>
    </w:p>
    <w:p w14:paraId="61D89D42"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lastRenderedPageBreak/>
        <w:t>Question 10</w:t>
      </w:r>
    </w:p>
    <w:p w14:paraId="4E15CED5"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statement about serverless SQL pools in Azure Synapse Analytics is correct?</w:t>
      </w:r>
    </w:p>
    <w:p w14:paraId="35ACA3C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They require you to provision and pay for dedicated compute nodes ahead of time.</w:t>
      </w:r>
    </w:p>
    <w:p w14:paraId="3B133646"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They bill based on the amount of data processed per query, with no dedicated compute to manage.</w:t>
      </w:r>
    </w:p>
    <w:p w14:paraId="6B15EB6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They only support reading data from Azure SQL Database, not the data lake.</w:t>
      </w:r>
    </w:p>
    <w:p w14:paraId="42F3BAC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They require loading all queried data into internal storage before querying.</w:t>
      </w:r>
    </w:p>
    <w:p w14:paraId="1B5277A2"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45C452ED"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Serverless SQL pools use a pay-per-query, consumption-based billing model based on data processed, with no infrastructure to provision or manage. They are designed specifically to query data directly in the data lake (via external tables or OPENROWSET) without first loading it into internal storage, which is the opposite of options A, C, and D.</w:t>
      </w:r>
    </w:p>
    <w:p w14:paraId="17AE161B" w14:textId="77777777" w:rsidR="00DA42E1" w:rsidRPr="00364D6C" w:rsidRDefault="00000000">
      <w:pPr>
        <w:rPr>
          <w:rFonts w:asciiTheme="minorHAnsi" w:hAnsiTheme="minorHAnsi"/>
        </w:rPr>
      </w:pPr>
      <w:r w:rsidRPr="00364D6C">
        <w:rPr>
          <w:rFonts w:asciiTheme="minorHAnsi" w:hAnsiTheme="minorHAnsi"/>
        </w:rPr>
        <w:br w:type="page"/>
      </w:r>
    </w:p>
    <w:p w14:paraId="0C92D2A4" w14:textId="77777777" w:rsidR="00DA42E1" w:rsidRPr="00364D6C" w:rsidRDefault="00000000">
      <w:pPr>
        <w:pStyle w:val="Heading1"/>
        <w:pBdr>
          <w:bottom w:val="single" w:sz="8" w:space="4" w:color="2E5395"/>
        </w:pBdr>
        <w:spacing w:before="360" w:after="160"/>
        <w:rPr>
          <w:rFonts w:asciiTheme="minorHAnsi" w:hAnsiTheme="minorHAnsi"/>
        </w:rPr>
      </w:pPr>
      <w:bookmarkStart w:id="2" w:name="_Toc234931940"/>
      <w:r w:rsidRPr="00364D6C">
        <w:rPr>
          <w:rFonts w:asciiTheme="minorHAnsi" w:hAnsiTheme="minorHAnsi"/>
          <w:b/>
          <w:bCs/>
          <w:color w:val="1F3864"/>
          <w:sz w:val="30"/>
          <w:szCs w:val="30"/>
        </w:rPr>
        <w:lastRenderedPageBreak/>
        <w:t>Domain 2: Design and Develop Data Processing</w:t>
      </w:r>
      <w:bookmarkEnd w:id="2"/>
    </w:p>
    <w:p w14:paraId="77A7A655" w14:textId="77777777" w:rsidR="00DA42E1" w:rsidRPr="00364D6C" w:rsidRDefault="00000000">
      <w:pPr>
        <w:spacing w:after="160" w:line="276" w:lineRule="auto"/>
        <w:rPr>
          <w:rFonts w:asciiTheme="minorHAnsi" w:hAnsiTheme="minorHAnsi"/>
        </w:rPr>
      </w:pPr>
      <w:r w:rsidRPr="00364D6C">
        <w:rPr>
          <w:rFonts w:asciiTheme="minorHAnsi" w:hAnsiTheme="minorHAnsi"/>
          <w:i/>
          <w:iCs/>
          <w:color w:val="595959"/>
        </w:rPr>
        <w:t>This domain covers batch and streaming data pipeline design, including Azure Data Factory / Synapse Pipelines orchestration, Azure Databricks and Spark processing, and Azure Stream Analytics.</w:t>
      </w:r>
    </w:p>
    <w:p w14:paraId="75A4F307"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11</w:t>
      </w:r>
    </w:p>
    <w:p w14:paraId="540C3FF7"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need an Azure Data Factory trigger that fires a pipeline once for every non-overlapping one-hour interval of data, including support for backfilling historical intervals. Which trigger type should you use?</w:t>
      </w:r>
    </w:p>
    <w:p w14:paraId="74FEBA46"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Schedule trigger</w:t>
      </w:r>
    </w:p>
    <w:p w14:paraId="6B3CFD9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Tumbling window trigger</w:t>
      </w:r>
    </w:p>
    <w:p w14:paraId="1DD8CAD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Storage event trigger</w:t>
      </w:r>
    </w:p>
    <w:p w14:paraId="20EA7D3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Manual trigger</w:t>
      </w:r>
    </w:p>
    <w:p w14:paraId="5ED34C8C"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6B2C8A52"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Tumbling window triggers are designed for periodic, non-overlapping time slices and natively support backfill of historical windows, dependency chaining between windows, and retry policies scoped to each window. A schedule trigger fires pipelines on a calendar schedule but does not track window state or support backfill in the same structured way.</w:t>
      </w:r>
    </w:p>
    <w:p w14:paraId="26C36879"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12</w:t>
      </w:r>
    </w:p>
    <w:p w14:paraId="318BA706"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Azure Data Factory component allows you to visually build code-free, scalable data transformations that execute on a Spark cluster managed transparently by ADF, without requiring you to write Spark code?</w:t>
      </w:r>
    </w:p>
    <w:p w14:paraId="55936C7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Wrangling Data Flow</w:t>
      </w:r>
    </w:p>
    <w:p w14:paraId="13B40E0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Mapping Data Flow</w:t>
      </w:r>
    </w:p>
    <w:p w14:paraId="7D8B20B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Lookup activity</w:t>
      </w:r>
    </w:p>
    <w:p w14:paraId="5D732E8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Copy activity</w:t>
      </w:r>
    </w:p>
    <w:p w14:paraId="26CDACDE"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3B6D8BBA"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Mapping Data Flows provide a visual, code-free way to design data transformation logic (joins, aggregations, derived columns, etc.) that ADF compiles and executes on a scaled-out, ephemeral Spark cluster behind the scenes. Wrangling Data Flows use a Power Query-style interactive data preparation experience instead, and Copy/Lookup activities are for moving or retrieving data, not transforming it at scale.</w:t>
      </w:r>
    </w:p>
    <w:p w14:paraId="7496388E"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13</w:t>
      </w:r>
    </w:p>
    <w:p w14:paraId="4204A58F"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need to run a repeatable, automated Spark job on Azure Databricks as part of a nightly pipeline, where the cluster should start when the job begins and terminate automatically when it completes, to control cost. Which cluster type should you use?</w:t>
      </w:r>
    </w:p>
    <w:p w14:paraId="4750301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All-purpose (interactive) cluster</w:t>
      </w:r>
    </w:p>
    <w:p w14:paraId="6A51FE0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Job cluster</w:t>
      </w:r>
    </w:p>
    <w:p w14:paraId="668C4A2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SQL warehouse</w:t>
      </w:r>
    </w:p>
    <w:p w14:paraId="2F05D007"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Single-node cluster kept running permanently</w:t>
      </w:r>
    </w:p>
    <w:p w14:paraId="0D0A5AD0"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614A8EDD"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Job clusters are created automatically when a scheduled job starts and are terminated automatically when the job finishes, which minimizes cost for unattended, automated workloads. All-purpose </w:t>
      </w:r>
      <w:r w:rsidRPr="00364D6C">
        <w:rPr>
          <w:rFonts w:asciiTheme="minorHAnsi" w:hAnsiTheme="minorHAnsi"/>
          <w:color w:val="595959"/>
        </w:rPr>
        <w:lastRenderedPageBreak/>
        <w:t>clusters are intended for interactive, shared development work and typically stay up longer, at higher cost, than is appropriate for a scheduled nightly batch job.</w:t>
      </w:r>
    </w:p>
    <w:p w14:paraId="0457A20F"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14</w:t>
      </w:r>
    </w:p>
    <w:p w14:paraId="30F0D0E6"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In Spark Structured Streaming, what is the primary purpose of setting a watermark on an event-time column?</w:t>
      </w:r>
    </w:p>
    <w:p w14:paraId="218ACAEB"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To encrypt streaming data in transit</w:t>
      </w:r>
    </w:p>
    <w:p w14:paraId="6497582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To bound how long the engine waits for late-arriving data before finalizing windowed aggregation results</w:t>
      </w:r>
    </w:p>
    <w:p w14:paraId="1D1DFEFA"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To increase the number of Kafka partitions automatically</w:t>
      </w:r>
    </w:p>
    <w:p w14:paraId="22CB8DB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To convert streaming data into batch data permanently</w:t>
      </w:r>
    </w:p>
    <w:p w14:paraId="76099274"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68446393"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A watermark tells the streaming engine how late data is allowed to arrive, based on event time, before a windowed aggregation is considered final and its state can be safely dropped. This bounds unbounded state growth while still tolerating a reasonable amount of out-of-order or delayed data. It has nothing to do with encryption or partition scaling.</w:t>
      </w:r>
    </w:p>
    <w:p w14:paraId="22ACECEC"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15</w:t>
      </w:r>
    </w:p>
    <w:p w14:paraId="5F09F080"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In Azure Stream Analytics, which windowing function produces overlapping windows of a fixed length, advanced by a hop size smaller than the window length, so a single event can belong to multiple windows?</w:t>
      </w:r>
    </w:p>
    <w:p w14:paraId="1B5C456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Tumbling window</w:t>
      </w:r>
    </w:p>
    <w:p w14:paraId="3DDE5CC6"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Hopping window</w:t>
      </w:r>
    </w:p>
    <w:p w14:paraId="1699FD2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Sliding window</w:t>
      </w:r>
    </w:p>
    <w:p w14:paraId="2C91D09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Session window</w:t>
      </w:r>
    </w:p>
    <w:p w14:paraId="70FBB0EE"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02BF7B46"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Hopping windows are </w:t>
      </w:r>
      <w:proofErr w:type="gramStart"/>
      <w:r w:rsidRPr="00364D6C">
        <w:rPr>
          <w:rFonts w:asciiTheme="minorHAnsi" w:hAnsiTheme="minorHAnsi"/>
          <w:color w:val="595959"/>
        </w:rPr>
        <w:t>fixed-length</w:t>
      </w:r>
      <w:proofErr w:type="gramEnd"/>
      <w:r w:rsidRPr="00364D6C">
        <w:rPr>
          <w:rFonts w:asciiTheme="minorHAnsi" w:hAnsiTheme="minorHAnsi"/>
          <w:color w:val="595959"/>
        </w:rPr>
        <w:t xml:space="preserve"> and can overlap, advancing by a specified hop size; if the hop size is smaller than the window size, windows </w:t>
      </w:r>
      <w:proofErr w:type="gramStart"/>
      <w:r w:rsidRPr="00364D6C">
        <w:rPr>
          <w:rFonts w:asciiTheme="minorHAnsi" w:hAnsiTheme="minorHAnsi"/>
          <w:color w:val="595959"/>
        </w:rPr>
        <w:t>overlap</w:t>
      </w:r>
      <w:proofErr w:type="gramEnd"/>
      <w:r w:rsidRPr="00364D6C">
        <w:rPr>
          <w:rFonts w:asciiTheme="minorHAnsi" w:hAnsiTheme="minorHAnsi"/>
          <w:color w:val="595959"/>
        </w:rPr>
        <w:t xml:space="preserve"> and an event can fall into more than one window. Tumbling windows are </w:t>
      </w:r>
      <w:proofErr w:type="gramStart"/>
      <w:r w:rsidRPr="00364D6C">
        <w:rPr>
          <w:rFonts w:asciiTheme="minorHAnsi" w:hAnsiTheme="minorHAnsi"/>
          <w:color w:val="595959"/>
        </w:rPr>
        <w:t>fixed-length</w:t>
      </w:r>
      <w:proofErr w:type="gramEnd"/>
      <w:r w:rsidRPr="00364D6C">
        <w:rPr>
          <w:rFonts w:asciiTheme="minorHAnsi" w:hAnsiTheme="minorHAnsi"/>
          <w:color w:val="595959"/>
        </w:rPr>
        <w:t xml:space="preserve"> and never overlap. Sliding windows only emit output when an event enters or exits the window. Session windows group events based on a period of inactivity (a gap) rather than a fixed size.</w:t>
      </w:r>
    </w:p>
    <w:p w14:paraId="06E8D39F"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16</w:t>
      </w:r>
    </w:p>
    <w:p w14:paraId="2D0B2E2B"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are designing a Stream Analytics job and need to group clickstream events into sessions per user, where a new session starts after 30 minutes of user inactivity. Which windowing function should you use?</w:t>
      </w:r>
    </w:p>
    <w:p w14:paraId="20F6E2F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Tumbling window</w:t>
      </w:r>
    </w:p>
    <w:p w14:paraId="3A6D963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Hopping window</w:t>
      </w:r>
    </w:p>
    <w:p w14:paraId="192805C6"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Sliding window</w:t>
      </w:r>
    </w:p>
    <w:p w14:paraId="2F7233A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Session window</w:t>
      </w:r>
    </w:p>
    <w:p w14:paraId="4B3371E4"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D</w:t>
      </w:r>
    </w:p>
    <w:p w14:paraId="0FA51FD5"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Session windows group events that occur close together in time, closing a window after a specified gap of inactivity (here, 30 minutes) and opening a new one on the next event. This is the natural fit for grouping user activity into sessions, unlike the fixed-length tumbling/hopping windows or event-triggered sliding windows.</w:t>
      </w:r>
    </w:p>
    <w:p w14:paraId="4CC2E65A"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lastRenderedPageBreak/>
        <w:t>Question 17</w:t>
      </w:r>
    </w:p>
    <w:p w14:paraId="6C0BD878"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 xml:space="preserve">You are implementing </w:t>
      </w:r>
      <w:proofErr w:type="spellStart"/>
      <w:r w:rsidRPr="00364D6C">
        <w:rPr>
          <w:rFonts w:asciiTheme="minorHAnsi" w:hAnsiTheme="minorHAnsi"/>
          <w:sz w:val="22"/>
          <w:szCs w:val="22"/>
        </w:rPr>
        <w:t>upserts</w:t>
      </w:r>
      <w:proofErr w:type="spellEnd"/>
      <w:r w:rsidRPr="00364D6C">
        <w:rPr>
          <w:rFonts w:asciiTheme="minorHAnsi" w:hAnsiTheme="minorHAnsi"/>
          <w:sz w:val="22"/>
          <w:szCs w:val="22"/>
        </w:rPr>
        <w:t xml:space="preserve"> (insert-or-update) against a Delta Lake table in Azure Databricks based on matching keys from an incoming batch of change data. Which Delta Lake operation should you use?</w:t>
      </w:r>
    </w:p>
    <w:p w14:paraId="1D7C6244"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INSERT OVERWRITE</w:t>
      </w:r>
    </w:p>
    <w:p w14:paraId="47D2891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MERGE INTO</w:t>
      </w:r>
    </w:p>
    <w:p w14:paraId="72E3298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VACUUM</w:t>
      </w:r>
    </w:p>
    <w:p w14:paraId="0FBBF90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OPTIMIZE</w:t>
      </w:r>
    </w:p>
    <w:p w14:paraId="394D602E"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686F87FF"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The MERGE INTO statement in Delta Lake performs conditional inserts, updates, and deletes against a target table based on a join condition with a source dataset, making it the standard way to implement </w:t>
      </w:r>
      <w:proofErr w:type="spellStart"/>
      <w:r w:rsidRPr="00364D6C">
        <w:rPr>
          <w:rFonts w:asciiTheme="minorHAnsi" w:hAnsiTheme="minorHAnsi"/>
          <w:color w:val="595959"/>
        </w:rPr>
        <w:t>upsert</w:t>
      </w:r>
      <w:proofErr w:type="spellEnd"/>
      <w:r w:rsidRPr="00364D6C">
        <w:rPr>
          <w:rFonts w:asciiTheme="minorHAnsi" w:hAnsiTheme="minorHAnsi"/>
          <w:color w:val="595959"/>
        </w:rPr>
        <w:t xml:space="preserve">/CDC-style logic. VACUUM removes old data </w:t>
      </w:r>
      <w:proofErr w:type="gramStart"/>
      <w:r w:rsidRPr="00364D6C">
        <w:rPr>
          <w:rFonts w:asciiTheme="minorHAnsi" w:hAnsiTheme="minorHAnsi"/>
          <w:color w:val="595959"/>
        </w:rPr>
        <w:t>files, and</w:t>
      </w:r>
      <w:proofErr w:type="gramEnd"/>
      <w:r w:rsidRPr="00364D6C">
        <w:rPr>
          <w:rFonts w:asciiTheme="minorHAnsi" w:hAnsiTheme="minorHAnsi"/>
          <w:color w:val="595959"/>
        </w:rPr>
        <w:t xml:space="preserve"> OPTIMIZE compacts small files — neither performs row-level merge logic.</w:t>
      </w:r>
    </w:p>
    <w:p w14:paraId="19C11FD3"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18</w:t>
      </w:r>
    </w:p>
    <w:p w14:paraId="20EEA17E"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Azure Data Factory Integration Runtime is required when a Copy activity needs to move data from an on-premises SQL Server database that is not exposed to the public internet?</w:t>
      </w:r>
    </w:p>
    <w:p w14:paraId="7DB62F5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Azure Integration Runtime</w:t>
      </w:r>
    </w:p>
    <w:p w14:paraId="514240B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Self-hosted Integration Runtime</w:t>
      </w:r>
    </w:p>
    <w:p w14:paraId="75BA9ED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Azure-SSIS Integration Runtime</w:t>
      </w:r>
    </w:p>
    <w:p w14:paraId="136CE54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No Integration Runtime is required</w:t>
      </w:r>
    </w:p>
    <w:p w14:paraId="53A4340C"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5D6DA219"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A Self-hosted Integration Runtime is installed on a machine within (or with network access to) the on-premises environment, allowing ADF to securely connect to data sources that are not publicly reachable. The Azure IR handles cloud-to-cloud data movement, and the Azure-SSIS IR is specifically for lifting and shifting SSIS package execution into Azure, not for general on-premises connectivity.</w:t>
      </w:r>
    </w:p>
    <w:p w14:paraId="51F08EF2"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19</w:t>
      </w:r>
    </w:p>
    <w:p w14:paraId="14A8A90B"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 xml:space="preserve">You are implementing a Slowly Changing Dimension (SCD) Type 2 pattern for a </w:t>
      </w:r>
      <w:proofErr w:type="gramStart"/>
      <w:r w:rsidRPr="00364D6C">
        <w:rPr>
          <w:rFonts w:asciiTheme="minorHAnsi" w:hAnsiTheme="minorHAnsi"/>
          <w:sz w:val="22"/>
          <w:szCs w:val="22"/>
        </w:rPr>
        <w:t>Customer</w:t>
      </w:r>
      <w:proofErr w:type="gramEnd"/>
      <w:r w:rsidRPr="00364D6C">
        <w:rPr>
          <w:rFonts w:asciiTheme="minorHAnsi" w:hAnsiTheme="minorHAnsi"/>
          <w:sz w:val="22"/>
          <w:szCs w:val="22"/>
        </w:rPr>
        <w:t xml:space="preserve"> dimension so that historical attribute values are preserved when a customer's address changes. Which technique correctly implements this?</w:t>
      </w:r>
    </w:p>
    <w:p w14:paraId="2569B74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Overwrite the existing row's address column with the new value</w:t>
      </w:r>
    </w:p>
    <w:p w14:paraId="63A9060B"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Delete the old row and insert a new one with a new surrogate key</w:t>
      </w:r>
    </w:p>
    <w:p w14:paraId="6659B95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Insert a new row with a new surrogate key and updated address, and mark the previous row as expired using effective/end date columns</w:t>
      </w:r>
    </w:p>
    <w:p w14:paraId="1B29688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Add the new address as an additional column on the same row</w:t>
      </w:r>
    </w:p>
    <w:p w14:paraId="1E9ABB10"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C</w:t>
      </w:r>
    </w:p>
    <w:p w14:paraId="31071002"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SCD Type 2 preserves full history by inserting a new row for the changed attribute value, retaining the natural/business key, assigning a new surrogate key, and using effective-date and end-date (or a current-flag) columns to track which row is currently active. Simply overwriting (Type 1) loses history, and adding new columns for every possible change (Type 3) does not scale and is not what Type 2 refers to.</w:t>
      </w:r>
    </w:p>
    <w:p w14:paraId="76FDE33B"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20</w:t>
      </w:r>
    </w:p>
    <w:p w14:paraId="05034BB8"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lastRenderedPageBreak/>
        <w:t>Which Databricks feature is designed to incrementally and efficiently ingest new files as they arrive in cloud storage, automatically tracking which files have already been processed without you having to manage that state yourself?</w:t>
      </w:r>
    </w:p>
    <w:p w14:paraId="6A7C79E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Auto Loader</w:t>
      </w:r>
    </w:p>
    <w:p w14:paraId="445E801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Delta Live Tables materialized views only</w:t>
      </w:r>
    </w:p>
    <w:p w14:paraId="7865E4D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spark.read.csv() run on a schedule</w:t>
      </w:r>
    </w:p>
    <w:p w14:paraId="780A476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VACUUM</w:t>
      </w:r>
    </w:p>
    <w:p w14:paraId="3D61448E"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578FE037"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Auto Loader incrementally and efficiently processes new data files as they arrive, using structured streaming with checkpointing to track processed files, scaling to handle millions of files without manual state tracking. Repeatedly calling a batch read function would reprocess all files or require you to build your own tracking logic.</w:t>
      </w:r>
    </w:p>
    <w:p w14:paraId="459975A6"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21</w:t>
      </w:r>
    </w:p>
    <w:p w14:paraId="2B4328B7"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 xml:space="preserve">A Spark job reading a </w:t>
      </w:r>
      <w:proofErr w:type="gramStart"/>
      <w:r w:rsidRPr="00364D6C">
        <w:rPr>
          <w:rFonts w:asciiTheme="minorHAnsi" w:hAnsiTheme="minorHAnsi"/>
          <w:sz w:val="22"/>
          <w:szCs w:val="22"/>
        </w:rPr>
        <w:t>large partitioned</w:t>
      </w:r>
      <w:proofErr w:type="gramEnd"/>
      <w:r w:rsidRPr="00364D6C">
        <w:rPr>
          <w:rFonts w:asciiTheme="minorHAnsi" w:hAnsiTheme="minorHAnsi"/>
          <w:sz w:val="22"/>
          <w:szCs w:val="22"/>
        </w:rPr>
        <w:t xml:space="preserve"> dataset is running slowly because it scans far more data than necessary. Which optimization technique lets Spark skip reading irrelevant partitions entirely based on a filter in the query?</w:t>
      </w:r>
    </w:p>
    <w:p w14:paraId="4A7DABE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Partition pruning</w:t>
      </w:r>
    </w:p>
    <w:p w14:paraId="52398CD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Broadcast join</w:t>
      </w:r>
    </w:p>
    <w:p w14:paraId="04DC397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Caching the entire dataset in memory</w:t>
      </w:r>
    </w:p>
    <w:p w14:paraId="0F94862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Increasing shuffle partitions</w:t>
      </w:r>
    </w:p>
    <w:p w14:paraId="4FEA9746"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75BA38DC"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Partition pruning allows Spark to skip scanning partitions that cannot satisfy a query's filter predicate (for example, filtering on a date-partitioned column), reducing the amount of data read from storage. Broadcast joins optimize join strategy rather than scan </w:t>
      </w:r>
      <w:proofErr w:type="gramStart"/>
      <w:r w:rsidRPr="00364D6C">
        <w:rPr>
          <w:rFonts w:asciiTheme="minorHAnsi" w:hAnsiTheme="minorHAnsi"/>
          <w:color w:val="595959"/>
        </w:rPr>
        <w:t>volume, and</w:t>
      </w:r>
      <w:proofErr w:type="gramEnd"/>
      <w:r w:rsidRPr="00364D6C">
        <w:rPr>
          <w:rFonts w:asciiTheme="minorHAnsi" w:hAnsiTheme="minorHAnsi"/>
          <w:color w:val="595959"/>
        </w:rPr>
        <w:t xml:space="preserve"> increasing shuffle partitions affects how data is redistributed during wide operations, not how much is initially read.</w:t>
      </w:r>
    </w:p>
    <w:p w14:paraId="0424475D"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22</w:t>
      </w:r>
    </w:p>
    <w:p w14:paraId="7ED25C93"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 xml:space="preserve">In an Azure Data Factory Mapping Data Flow, what does </w:t>
      </w:r>
      <w:proofErr w:type="gramStart"/>
      <w:r w:rsidRPr="00364D6C">
        <w:rPr>
          <w:rFonts w:asciiTheme="minorHAnsi" w:hAnsiTheme="minorHAnsi"/>
          <w:sz w:val="22"/>
          <w:szCs w:val="22"/>
        </w:rPr>
        <w:t>enabling</w:t>
      </w:r>
      <w:proofErr w:type="gramEnd"/>
      <w:r w:rsidRPr="00364D6C">
        <w:rPr>
          <w:rFonts w:asciiTheme="minorHAnsi" w:hAnsiTheme="minorHAnsi"/>
          <w:sz w:val="22"/>
          <w:szCs w:val="22"/>
        </w:rPr>
        <w:t xml:space="preserve"> 'schema drift' on a source allow the data flow to do?</w:t>
      </w:r>
    </w:p>
    <w:p w14:paraId="6736708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Automatically encrypt columns containing personal data</w:t>
      </w:r>
    </w:p>
    <w:p w14:paraId="2E87F86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Handle source columns that change or are added over time without failing the pipeline</w:t>
      </w:r>
    </w:p>
    <w:p w14:paraId="31528ACC"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Automatically create a new pipeline for each schema version</w:t>
      </w:r>
    </w:p>
    <w:p w14:paraId="46A3911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Convert all incoming data to a fixed schema at ingestion time</w:t>
      </w:r>
    </w:p>
    <w:p w14:paraId="0C022F85"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4AE5C713"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Schema drift allows a data flow to work with source data whose columns change from run to run — for example, when new columns are added upstream — without requiring you to manually update the data flow's schema definition every time, and without the pipeline failing on unexpected columns.</w:t>
      </w:r>
    </w:p>
    <w:p w14:paraId="6C1301DC"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23</w:t>
      </w:r>
    </w:p>
    <w:p w14:paraId="303B4C95"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What is the key architectural relationship between Azure Synapse Pipelines and Azure Data Factory?</w:t>
      </w:r>
    </w:p>
    <w:p w14:paraId="6DF5CD1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They are unrelated products with no shared functionality</w:t>
      </w:r>
    </w:p>
    <w:p w14:paraId="09CABB56"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lastRenderedPageBreak/>
        <w:t>B. Synapse Pipelines is built on the same underlying data integration engine as Azure Data Factory, exposed within the Synapse workspace</w:t>
      </w:r>
    </w:p>
    <w:p w14:paraId="4181980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Synapse Pipelines can only orchestrate Databricks jobs, not Copy activities</w:t>
      </w:r>
    </w:p>
    <w:p w14:paraId="23B115F6"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Azure Data Factory is a legacy product fully replaced by Synapse Pipelines</w:t>
      </w:r>
    </w:p>
    <w:p w14:paraId="5BA44FAA"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499109AB"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Synapse Pipelines are built on the same data integration engine as Azure Data Factory, giving them a near-identical activity set and authoring experience, but surfaced inside the unified Synapse Studio workspace alongside SQL pools, Spark pools, and other Synapse capabilities. Azure Data Factory remains a fully supported, separate standalone service.</w:t>
      </w:r>
    </w:p>
    <w:p w14:paraId="5C2CC7F3"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24</w:t>
      </w:r>
    </w:p>
    <w:p w14:paraId="3CFFA585"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need to ingest high-throughput telemetry data from millions of IoT devices, including bi-directional device management (command and control), into Azure for real-time processing. Which service is purpose-built for this scenario, beyond simple event ingestion?</w:t>
      </w:r>
    </w:p>
    <w:p w14:paraId="367DBCE7"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Azure Event Hubs</w:t>
      </w:r>
    </w:p>
    <w:p w14:paraId="10C4BEB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Azure IoT Hub</w:t>
      </w:r>
    </w:p>
    <w:p w14:paraId="66D623D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Azure Service Bus Queue</w:t>
      </w:r>
    </w:p>
    <w:p w14:paraId="4028C38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Azure Data Factory</w:t>
      </w:r>
    </w:p>
    <w:p w14:paraId="76E1A0CD"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48E2D05C"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Azure IoT Hub is purpose-built for IoT scenarios, providing not just high-throughput event ingestion (</w:t>
      </w:r>
      <w:proofErr w:type="gramStart"/>
      <w:r w:rsidRPr="00364D6C">
        <w:rPr>
          <w:rFonts w:asciiTheme="minorHAnsi" w:hAnsiTheme="minorHAnsi"/>
          <w:color w:val="595959"/>
        </w:rPr>
        <w:t>similar to</w:t>
      </w:r>
      <w:proofErr w:type="gramEnd"/>
      <w:r w:rsidRPr="00364D6C">
        <w:rPr>
          <w:rFonts w:asciiTheme="minorHAnsi" w:hAnsiTheme="minorHAnsi"/>
          <w:color w:val="595959"/>
        </w:rPr>
        <w:t xml:space="preserve"> Event Hubs) but also bi-directional communication, device provisioning, and device management capabilities. Event Hubs is a more general-purpose big data streaming ingestion service without native device management features.</w:t>
      </w:r>
    </w:p>
    <w:p w14:paraId="406024E0"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25</w:t>
      </w:r>
    </w:p>
    <w:p w14:paraId="43737BD8"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When designing a data pipeline that may be retried automatically after a transient failure, which design principle ensures that re-running the same pipeline run does not produce duplicate or incorrect data?</w:t>
      </w:r>
    </w:p>
    <w:p w14:paraId="4062D87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Idempotency</w:t>
      </w:r>
    </w:p>
    <w:p w14:paraId="2B176CFB"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Partition elimination</w:t>
      </w:r>
    </w:p>
    <w:p w14:paraId="3CBC968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Data skew balancing</w:t>
      </w:r>
    </w:p>
    <w:p w14:paraId="29E86FF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 xml:space="preserve">D. </w:t>
      </w:r>
      <w:proofErr w:type="spellStart"/>
      <w:r w:rsidRPr="00364D6C">
        <w:rPr>
          <w:rFonts w:asciiTheme="minorHAnsi" w:hAnsiTheme="minorHAnsi"/>
          <w:sz w:val="21"/>
          <w:szCs w:val="21"/>
        </w:rPr>
        <w:t>Columnstore</w:t>
      </w:r>
      <w:proofErr w:type="spellEnd"/>
      <w:r w:rsidRPr="00364D6C">
        <w:rPr>
          <w:rFonts w:asciiTheme="minorHAnsi" w:hAnsiTheme="minorHAnsi"/>
          <w:sz w:val="21"/>
          <w:szCs w:val="21"/>
        </w:rPr>
        <w:t xml:space="preserve"> compression</w:t>
      </w:r>
    </w:p>
    <w:p w14:paraId="551D5C22"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62645DAA"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Designing pipeline steps to be idempotent means that running the same operation multiple times with the same input produces the same result without unwanted side effects such as duplicated rows — for example, by using MERGE/</w:t>
      </w:r>
      <w:proofErr w:type="spellStart"/>
      <w:r w:rsidRPr="00364D6C">
        <w:rPr>
          <w:rFonts w:asciiTheme="minorHAnsi" w:hAnsiTheme="minorHAnsi"/>
          <w:color w:val="595959"/>
        </w:rPr>
        <w:t>upsert</w:t>
      </w:r>
      <w:proofErr w:type="spellEnd"/>
      <w:r w:rsidRPr="00364D6C">
        <w:rPr>
          <w:rFonts w:asciiTheme="minorHAnsi" w:hAnsiTheme="minorHAnsi"/>
          <w:color w:val="595959"/>
        </w:rPr>
        <w:t xml:space="preserve"> logic or overwriting a specific partition rather than blindly appending. This is essential for pipelines that may be retried after failures.</w:t>
      </w:r>
    </w:p>
    <w:p w14:paraId="3F6A3061"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26</w:t>
      </w:r>
    </w:p>
    <w:p w14:paraId="67CEC91C"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Azure Data Factory feature allows a single pipeline definition to be reused across multiple source tables or file paths by supplying different values at runtime, avoiding the need to duplicate the pipeline for each table?</w:t>
      </w:r>
    </w:p>
    <w:p w14:paraId="03062924"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Global parameters and pipeline parameters</w:t>
      </w:r>
    </w:p>
    <w:p w14:paraId="1E65081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Data flow debug mode</w:t>
      </w:r>
    </w:p>
    <w:p w14:paraId="24F55007"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lastRenderedPageBreak/>
        <w:t>C. Self-hosted Integration Runtime</w:t>
      </w:r>
    </w:p>
    <w:p w14:paraId="720BE0F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Trigger dependency conditions</w:t>
      </w:r>
    </w:p>
    <w:p w14:paraId="4CC1C443"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40930D17"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Parameterizing pipelines (using pipeline parameters, and optionally global parameters or a control-table-driven metadata approach) allows one generic pipeline to be executed for many different tables, folders, or configurations by passing in different parameter values at each run, avoiding pipeline sprawl.</w:t>
      </w:r>
    </w:p>
    <w:p w14:paraId="646A0185"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27</w:t>
      </w:r>
    </w:p>
    <w:p w14:paraId="51C9472C"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Comparing Lambda and Kappa architectures for combined batch and streaming analytics, what is the defining characteristic of the Kappa architecture?</w:t>
      </w:r>
    </w:p>
    <w:p w14:paraId="31BC467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It maintains two entirely separate processing paths — one batch, one streaming — that are reconciled later</w:t>
      </w:r>
    </w:p>
    <w:p w14:paraId="1EE90BA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It processes all data, including historical reprocessing, through a single streaming pipeline rather than maintaining a separate batch layer</w:t>
      </w:r>
    </w:p>
    <w:p w14:paraId="6D70716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It eliminates the need for any stream processing engine</w:t>
      </w:r>
    </w:p>
    <w:p w14:paraId="0DBCADE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It requires a relational data warehouse as the only serving layer</w:t>
      </w:r>
    </w:p>
    <w:p w14:paraId="1A6762A3"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0B3FCF26"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The Kappa architecture simplifies the Lambda architecture's dual batch-and-speed-layer design by treating all data, including reprocessing of historical data, as a stream through a single processing pipeline, avoiding the complexity and potential inconsistency of maintaining separate batch and streaming code paths. Lambda architecture is option A's description.</w:t>
      </w:r>
    </w:p>
    <w:p w14:paraId="29FAA6AB" w14:textId="77777777" w:rsidR="00DA42E1" w:rsidRPr="00364D6C" w:rsidRDefault="00000000">
      <w:pPr>
        <w:rPr>
          <w:rFonts w:asciiTheme="minorHAnsi" w:hAnsiTheme="minorHAnsi"/>
        </w:rPr>
      </w:pPr>
      <w:r w:rsidRPr="00364D6C">
        <w:rPr>
          <w:rFonts w:asciiTheme="minorHAnsi" w:hAnsiTheme="minorHAnsi"/>
        </w:rPr>
        <w:br w:type="page"/>
      </w:r>
    </w:p>
    <w:p w14:paraId="0FD8BB00" w14:textId="77777777" w:rsidR="00DA42E1" w:rsidRPr="00364D6C" w:rsidRDefault="00000000">
      <w:pPr>
        <w:pStyle w:val="Heading1"/>
        <w:pBdr>
          <w:bottom w:val="single" w:sz="8" w:space="4" w:color="2E5395"/>
        </w:pBdr>
        <w:spacing w:before="360" w:after="160"/>
        <w:rPr>
          <w:rFonts w:asciiTheme="minorHAnsi" w:hAnsiTheme="minorHAnsi"/>
        </w:rPr>
      </w:pPr>
      <w:bookmarkStart w:id="3" w:name="_Toc234931941"/>
      <w:r w:rsidRPr="00364D6C">
        <w:rPr>
          <w:rFonts w:asciiTheme="minorHAnsi" w:hAnsiTheme="minorHAnsi"/>
          <w:b/>
          <w:bCs/>
          <w:color w:val="1F3864"/>
          <w:sz w:val="30"/>
          <w:szCs w:val="30"/>
        </w:rPr>
        <w:lastRenderedPageBreak/>
        <w:t>Domain 3: Design and Implement Data Security</w:t>
      </w:r>
      <w:bookmarkEnd w:id="3"/>
    </w:p>
    <w:p w14:paraId="088AB06B" w14:textId="77777777" w:rsidR="00DA42E1" w:rsidRPr="00364D6C" w:rsidRDefault="00000000">
      <w:pPr>
        <w:spacing w:after="160" w:line="276" w:lineRule="auto"/>
        <w:rPr>
          <w:rFonts w:asciiTheme="minorHAnsi" w:hAnsiTheme="minorHAnsi"/>
        </w:rPr>
      </w:pPr>
      <w:r w:rsidRPr="00364D6C">
        <w:rPr>
          <w:rFonts w:asciiTheme="minorHAnsi" w:hAnsiTheme="minorHAnsi"/>
          <w:i/>
          <w:iCs/>
          <w:color w:val="595959"/>
        </w:rPr>
        <w:t>This domain covers securing data at rest and in transit, implementing row-level and column-level security, data masking, and identity-based access control across the Azure data platform.</w:t>
      </w:r>
    </w:p>
    <w:p w14:paraId="4B9E9BF0"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28</w:t>
      </w:r>
    </w:p>
    <w:p w14:paraId="1ED12054"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need to ensure that sales representatives querying a Synapse dedicated SQL pool table can only see rows for the region they are assigned to, without maintaining separate views per region. Which feature should you implement?</w:t>
      </w:r>
    </w:p>
    <w:p w14:paraId="57D1FDB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Dynamic data masking</w:t>
      </w:r>
    </w:p>
    <w:p w14:paraId="2DFE84E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Row-level security (RLS)</w:t>
      </w:r>
    </w:p>
    <w:p w14:paraId="183E948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Transparent Data Encryption</w:t>
      </w:r>
    </w:p>
    <w:p w14:paraId="33D5A2E4"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Column-level encryption</w:t>
      </w:r>
    </w:p>
    <w:p w14:paraId="25D6CB1D"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3C3AD98C"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Row-level security uses a security predicate function and policy to automatically filter which rows a given user can see based on their identity or role, without requiring separate views or copies of the table per region. Dynamic data masking obscures column values rather than restricting rows, and TDE/column encryption protect data at rest, not row visibility.</w:t>
      </w:r>
    </w:p>
    <w:p w14:paraId="38B8AAAC"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29</w:t>
      </w:r>
    </w:p>
    <w:p w14:paraId="1F786805"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want users in a support role to see customer credit card numbers displayed mostly as 'XXXX-XXXX-XXXX-1234' in query results, without altering the underlying stored data or requiring application-level changes. Which feature should you use?</w:t>
      </w:r>
    </w:p>
    <w:p w14:paraId="693B51F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Dynamic data masking</w:t>
      </w:r>
    </w:p>
    <w:p w14:paraId="23C576BC"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Row-level security</w:t>
      </w:r>
    </w:p>
    <w:p w14:paraId="6968CEA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Always Encrypted</w:t>
      </w:r>
    </w:p>
    <w:p w14:paraId="74CBE98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Azure Key Vault</w:t>
      </w:r>
    </w:p>
    <w:p w14:paraId="4DC9CCBC"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51C01E3D"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Dynamic data masking obscures sensitive column data in query results for non-privileged users in real time, without changing the actual stored data, and requires no application changes since masking is applied by the database engine itself. Always Encrypted instead encrypts data so it is never visible in plaintext to the database engine at all, which is a stronger but different guarantee, typically requiring client-side driver support.</w:t>
      </w:r>
    </w:p>
    <w:p w14:paraId="5254F11C"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30</w:t>
      </w:r>
    </w:p>
    <w:p w14:paraId="1FB2AF0B"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security feature restricts which specific columns (e.g., SSN, salary) a given database user or role is permitted to query at all, returning an error if they attempt to select that column?</w:t>
      </w:r>
    </w:p>
    <w:p w14:paraId="24F1F3B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Column-level security</w:t>
      </w:r>
    </w:p>
    <w:p w14:paraId="7120831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Dynamic data masking</w:t>
      </w:r>
    </w:p>
    <w:p w14:paraId="0751AC47"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Transparent Data Encryption</w:t>
      </w:r>
    </w:p>
    <w:p w14:paraId="634AC5C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Network security groups</w:t>
      </w:r>
    </w:p>
    <w:p w14:paraId="46926704"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7986EABA"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lastRenderedPageBreak/>
        <w:t xml:space="preserve">Discussion: </w:t>
      </w:r>
      <w:r w:rsidRPr="00364D6C">
        <w:rPr>
          <w:rFonts w:asciiTheme="minorHAnsi" w:hAnsiTheme="minorHAnsi"/>
          <w:color w:val="595959"/>
        </w:rPr>
        <w:t>Column-level security uses GRANT/DENY permissions on specific columns to prevent unauthorized users from querying them at all (they receive a permissions error), which is a stricter control than dynamic data masking, where the query succeeds but the returned value is obscured.</w:t>
      </w:r>
    </w:p>
    <w:p w14:paraId="47E7DF73"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31</w:t>
      </w:r>
    </w:p>
    <w:p w14:paraId="25741E9D"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 xml:space="preserve">An Azure Data Factory pipeline needs to authenticate to an Azure Data Lake Storage Gen2 </w:t>
      </w:r>
      <w:proofErr w:type="gramStart"/>
      <w:r w:rsidRPr="00364D6C">
        <w:rPr>
          <w:rFonts w:asciiTheme="minorHAnsi" w:hAnsiTheme="minorHAnsi"/>
          <w:sz w:val="22"/>
          <w:szCs w:val="22"/>
        </w:rPr>
        <w:t>account</w:t>
      </w:r>
      <w:proofErr w:type="gramEnd"/>
      <w:r w:rsidRPr="00364D6C">
        <w:rPr>
          <w:rFonts w:asciiTheme="minorHAnsi" w:hAnsiTheme="minorHAnsi"/>
          <w:sz w:val="22"/>
          <w:szCs w:val="22"/>
        </w:rPr>
        <w:t xml:space="preserve"> and a Synapse dedicated SQL pool without storing any credentials or connection secrets in the pipeline definition. Which authentication approach best achieves this?</w:t>
      </w:r>
    </w:p>
    <w:p w14:paraId="72C72CB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Store the storage account key directly in the linked service</w:t>
      </w:r>
    </w:p>
    <w:p w14:paraId="5E0B9E2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Use a Managed Identity for ADF and grant it appropriate RBAC roles on the target resources</w:t>
      </w:r>
    </w:p>
    <w:p w14:paraId="7EC036FB"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Embed a SQL username and password in plain text in the pipeline JSON</w:t>
      </w:r>
    </w:p>
    <w:p w14:paraId="2F0A271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Use anonymous public access on the storage account</w:t>
      </w:r>
    </w:p>
    <w:p w14:paraId="338A19AF"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54082C3C"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A system- or user-assigned Managed Identity lets Azure Data Factory authenticate to other Azure resources (like ADLS Gen2 or Synapse) using Microsoft Entra ID-backed identity and RBAC role assignments, eliminating the need to store or rotate credentials/secrets directly in the pipeline or linked service definition.</w:t>
      </w:r>
    </w:p>
    <w:p w14:paraId="5895D595"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32</w:t>
      </w:r>
    </w:p>
    <w:p w14:paraId="072FA287"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Where should connection strings and credentials referenced by an Azure Data Factory linked service be securely stored, rather than embedded directly in the pipeline definition?</w:t>
      </w:r>
    </w:p>
    <w:p w14:paraId="497AD00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In a pipeline parameter with default value</w:t>
      </w:r>
    </w:p>
    <w:p w14:paraId="078ADB0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In Azure Key Vault, referenced by the linked service</w:t>
      </w:r>
    </w:p>
    <w:p w14:paraId="75028B5D"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 xml:space="preserve">C. </w:t>
      </w:r>
      <w:proofErr w:type="gramStart"/>
      <w:r w:rsidRPr="00364D6C">
        <w:rPr>
          <w:rFonts w:asciiTheme="minorHAnsi" w:hAnsiTheme="minorHAnsi"/>
          <w:sz w:val="21"/>
          <w:szCs w:val="21"/>
        </w:rPr>
        <w:t>Hard-coded</w:t>
      </w:r>
      <w:proofErr w:type="gramEnd"/>
      <w:r w:rsidRPr="00364D6C">
        <w:rPr>
          <w:rFonts w:asciiTheme="minorHAnsi" w:hAnsiTheme="minorHAnsi"/>
          <w:sz w:val="21"/>
          <w:szCs w:val="21"/>
        </w:rPr>
        <w:t xml:space="preserve"> in a Lookup activity</w:t>
      </w:r>
    </w:p>
    <w:p w14:paraId="7DA9627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In a plain text file in the data lake</w:t>
      </w:r>
    </w:p>
    <w:p w14:paraId="6633A72D"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66A166DA"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Azure Key Vault is the recommended secure store for secrets, keys, and connection credentials. Azure Data Factory linked services can reference secrets stored in Key Vault directly, so the actual credential value is never stored in the pipeline definition or exposed in source control.</w:t>
      </w:r>
    </w:p>
    <w:p w14:paraId="58F39C8D"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33</w:t>
      </w:r>
    </w:p>
    <w:p w14:paraId="14C9A185"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Azure SQL / Synapse feature automatically encrypts the database files at rest (data files, log files, backups) without requiring any application changes, protecting against the scenario of physical media theft?</w:t>
      </w:r>
    </w:p>
    <w:p w14:paraId="16462C0F"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Transparent Data Encryption (TDE)</w:t>
      </w:r>
    </w:p>
    <w:p w14:paraId="1D14EC8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Dynamic data masking</w:t>
      </w:r>
    </w:p>
    <w:p w14:paraId="46C2CFE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Row-level security</w:t>
      </w:r>
    </w:p>
    <w:p w14:paraId="3AAEE17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Always Encrypted</w:t>
      </w:r>
    </w:p>
    <w:p w14:paraId="620C07BD"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0291CD62"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Transparent Data Encryption encrypts the database at the storage/file level (data files, log files, backups) transparently to applications and users, protecting against the scenario where someone gains access to the raw physical storage or backup media. It does not restrict what an authenticated query can see, unlike RLS or masking.</w:t>
      </w:r>
    </w:p>
    <w:p w14:paraId="2E80D569"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34</w:t>
      </w:r>
    </w:p>
    <w:p w14:paraId="1F87E874"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lastRenderedPageBreak/>
        <w:t>You want to restrict network access to a Synapse workspace's SQL pools so that traffic never traverses the public internet and instead stays on the Azure backbone network, connecting from a peered virtual network. Which feature should you implement?</w:t>
      </w:r>
    </w:p>
    <w:p w14:paraId="3BED635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Dynamic data masking</w:t>
      </w:r>
    </w:p>
    <w:p w14:paraId="1D07BE3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Private endpoints (Private Link)</w:t>
      </w:r>
    </w:p>
    <w:p w14:paraId="4D1A239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Shared access signature (SAS) tokens</w:t>
      </w:r>
    </w:p>
    <w:p w14:paraId="7ED54F1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Firewall rule allowing all IP addresses</w:t>
      </w:r>
    </w:p>
    <w:p w14:paraId="58483EBC"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669B853E"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Private endpoints, backed by Azure Private Link, provision a private IP address for the Synapse workspace inside your virtual network, so traffic from connected/peered networks stays on the Microsoft backbone rather than traversing the public internet, and the resource can be configured to reject public network access entirely.</w:t>
      </w:r>
    </w:p>
    <w:p w14:paraId="77537848"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35</w:t>
      </w:r>
    </w:p>
    <w:p w14:paraId="583A5D6A"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In Azure Data Lake Storage Gen2, what is the key difference between using Azure RBAC and using POSIX-style ACLs for authorization?</w:t>
      </w:r>
    </w:p>
    <w:p w14:paraId="521E7DB4"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RBAC controls access at the level of the storage account or container using built-in/custom roles; ACLs allow fine-grained permissions on individual directories and files</w:t>
      </w:r>
    </w:p>
    <w:p w14:paraId="76C94631"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ACLs can only be used with Blob Storage, never with ADLS Gen2</w:t>
      </w:r>
    </w:p>
    <w:p w14:paraId="2296C3E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RBAC and ACLs cannot be used together on the same storage account</w:t>
      </w:r>
    </w:p>
    <w:p w14:paraId="0CE669BC"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ACLs are only evaluated for anonymous, unauthenticated requests</w:t>
      </w:r>
    </w:p>
    <w:p w14:paraId="7E730B96"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1E9085D6"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Azure RBAC operates at a coarser scope (subscription, resource group, storage account, or container level) using role assignments, while POSIX-style ACLs — available specifically because ADLS Gen2 has hierarchical namespace enabled — allow fine-grained, per-directory and per-file read/write/execute permissions, </w:t>
      </w:r>
      <w:proofErr w:type="gramStart"/>
      <w:r w:rsidRPr="00364D6C">
        <w:rPr>
          <w:rFonts w:asciiTheme="minorHAnsi" w:hAnsiTheme="minorHAnsi"/>
          <w:color w:val="595959"/>
        </w:rPr>
        <w:t>similar to</w:t>
      </w:r>
      <w:proofErr w:type="gramEnd"/>
      <w:r w:rsidRPr="00364D6C">
        <w:rPr>
          <w:rFonts w:asciiTheme="minorHAnsi" w:hAnsiTheme="minorHAnsi"/>
          <w:color w:val="595959"/>
        </w:rPr>
        <w:t xml:space="preserve"> a traditional file system. The two models can be combined, with RBAC providing a baseline and ACLs refining access at the file/folder level.</w:t>
      </w:r>
    </w:p>
    <w:p w14:paraId="296B1E76" w14:textId="77777777" w:rsidR="00DA42E1" w:rsidRPr="00364D6C" w:rsidRDefault="00000000">
      <w:pPr>
        <w:rPr>
          <w:rFonts w:asciiTheme="minorHAnsi" w:hAnsiTheme="minorHAnsi"/>
        </w:rPr>
      </w:pPr>
      <w:r w:rsidRPr="00364D6C">
        <w:rPr>
          <w:rFonts w:asciiTheme="minorHAnsi" w:hAnsiTheme="minorHAnsi"/>
        </w:rPr>
        <w:br w:type="page"/>
      </w:r>
    </w:p>
    <w:p w14:paraId="0D7C65CB" w14:textId="77777777" w:rsidR="00DA42E1" w:rsidRPr="00364D6C" w:rsidRDefault="00000000">
      <w:pPr>
        <w:pStyle w:val="Heading1"/>
        <w:pBdr>
          <w:bottom w:val="single" w:sz="8" w:space="4" w:color="2E5395"/>
        </w:pBdr>
        <w:spacing w:before="360" w:after="160"/>
        <w:rPr>
          <w:rFonts w:asciiTheme="minorHAnsi" w:hAnsiTheme="minorHAnsi"/>
        </w:rPr>
      </w:pPr>
      <w:bookmarkStart w:id="4" w:name="_Toc234931942"/>
      <w:r w:rsidRPr="00364D6C">
        <w:rPr>
          <w:rFonts w:asciiTheme="minorHAnsi" w:hAnsiTheme="minorHAnsi"/>
          <w:b/>
          <w:bCs/>
          <w:color w:val="1F3864"/>
          <w:sz w:val="30"/>
          <w:szCs w:val="30"/>
        </w:rPr>
        <w:lastRenderedPageBreak/>
        <w:t>Domain 4: Monitor and Optimize Data Storage and Data Processing</w:t>
      </w:r>
      <w:bookmarkEnd w:id="4"/>
    </w:p>
    <w:p w14:paraId="7859D6D0" w14:textId="77777777" w:rsidR="00DA42E1" w:rsidRPr="00364D6C" w:rsidRDefault="00000000">
      <w:pPr>
        <w:spacing w:after="160" w:line="276" w:lineRule="auto"/>
        <w:rPr>
          <w:rFonts w:asciiTheme="minorHAnsi" w:hAnsiTheme="minorHAnsi"/>
        </w:rPr>
      </w:pPr>
      <w:r w:rsidRPr="00364D6C">
        <w:rPr>
          <w:rFonts w:asciiTheme="minorHAnsi" w:hAnsiTheme="minorHAnsi"/>
          <w:i/>
          <w:iCs/>
          <w:color w:val="595959"/>
        </w:rPr>
        <w:t>This domain covers monitoring pipeline and query health, diagnosing and resolving performance bottlenecks, and applying cost and performance optimization techniques across Azure data services.</w:t>
      </w:r>
    </w:p>
    <w:p w14:paraId="2992E100"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36</w:t>
      </w:r>
    </w:p>
    <w:p w14:paraId="02CE8529"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notice a query against a Synapse dedicated SQL pool is running much slower than expected, and you suspect data movement between compute nodes is the cause. Which tool should you use to investigate the query's execution plan and data movement operations?</w:t>
      </w:r>
    </w:p>
    <w:p w14:paraId="47D7264C"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Azure Advisor</w:t>
      </w:r>
    </w:p>
    <w:p w14:paraId="23E5187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 xml:space="preserve">B. Dynamic Management Views (DMVs) such as </w:t>
      </w:r>
      <w:proofErr w:type="spellStart"/>
      <w:r w:rsidRPr="00364D6C">
        <w:rPr>
          <w:rFonts w:asciiTheme="minorHAnsi" w:hAnsiTheme="minorHAnsi"/>
          <w:sz w:val="21"/>
          <w:szCs w:val="21"/>
        </w:rPr>
        <w:t>sys.dm_pdw_exec_requests</w:t>
      </w:r>
      <w:proofErr w:type="spellEnd"/>
    </w:p>
    <w:p w14:paraId="26E94CF4"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Azure Cost Management</w:t>
      </w:r>
    </w:p>
    <w:p w14:paraId="5F39E27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Azure Monitor Activity Log</w:t>
      </w:r>
    </w:p>
    <w:p w14:paraId="4AB0CC90"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7BA47D09"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Synapse dedicated SQL pool Dynamic Management Views (DMVs), such as </w:t>
      </w:r>
      <w:proofErr w:type="spellStart"/>
      <w:r w:rsidRPr="00364D6C">
        <w:rPr>
          <w:rFonts w:asciiTheme="minorHAnsi" w:hAnsiTheme="minorHAnsi"/>
          <w:color w:val="595959"/>
        </w:rPr>
        <w:t>sys.dm_pdw_exec_requests</w:t>
      </w:r>
      <w:proofErr w:type="spellEnd"/>
      <w:r w:rsidRPr="00364D6C">
        <w:rPr>
          <w:rFonts w:asciiTheme="minorHAnsi" w:hAnsiTheme="minorHAnsi"/>
          <w:color w:val="595959"/>
        </w:rPr>
        <w:t xml:space="preserve">, </w:t>
      </w:r>
      <w:proofErr w:type="spellStart"/>
      <w:r w:rsidRPr="00364D6C">
        <w:rPr>
          <w:rFonts w:asciiTheme="minorHAnsi" w:hAnsiTheme="minorHAnsi"/>
          <w:color w:val="595959"/>
        </w:rPr>
        <w:t>sys.dm_pdw_request_steps</w:t>
      </w:r>
      <w:proofErr w:type="spellEnd"/>
      <w:r w:rsidRPr="00364D6C">
        <w:rPr>
          <w:rFonts w:asciiTheme="minorHAnsi" w:hAnsiTheme="minorHAnsi"/>
          <w:color w:val="595959"/>
        </w:rPr>
        <w:t xml:space="preserve">, and </w:t>
      </w:r>
      <w:proofErr w:type="spellStart"/>
      <w:r w:rsidRPr="00364D6C">
        <w:rPr>
          <w:rFonts w:asciiTheme="minorHAnsi" w:hAnsiTheme="minorHAnsi"/>
          <w:color w:val="595959"/>
        </w:rPr>
        <w:t>sys.dm_pdw_sql_requests</w:t>
      </w:r>
      <w:proofErr w:type="spellEnd"/>
      <w:r w:rsidRPr="00364D6C">
        <w:rPr>
          <w:rFonts w:asciiTheme="minorHAnsi" w:hAnsiTheme="minorHAnsi"/>
          <w:color w:val="595959"/>
        </w:rPr>
        <w:t>, expose detailed information about query execution steps, including data movement (shuffle/broadcast) operations, letting you pinpoint where time is being spent and identify distribution design issues.</w:t>
      </w:r>
    </w:p>
    <w:p w14:paraId="705DC278"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37</w:t>
      </w:r>
    </w:p>
    <w:p w14:paraId="57FA6DB4"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Azure service should you configure to receive Azure Data Factory pipeline run diagnostics (successes, failures, durations) so you can build alerts and dashboards over historical pipeline execution data?</w:t>
      </w:r>
    </w:p>
    <w:p w14:paraId="3D4F72D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Azure Key Vault</w:t>
      </w:r>
    </w:p>
    <w:p w14:paraId="2BF4D9BA"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Log Analytics workspace (via Azure Monitor diagnostic settings)</w:t>
      </w:r>
    </w:p>
    <w:p w14:paraId="6B517C9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Azure Data Lake Storage Gen1</w:t>
      </w:r>
    </w:p>
    <w:p w14:paraId="3025029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Azure DevOps Boards</w:t>
      </w:r>
    </w:p>
    <w:p w14:paraId="16E17057"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619F7B64"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Configuring ADF's diagnostic settings to send pipeline, trigger, and activity run logs to a Log Analytics workspace allows you to query historical execution data with Kusto Query Language (KQL), build workbooks/dashboards, and configure Azure Monitor alert rules on failure patterns or duration anomalies.</w:t>
      </w:r>
    </w:p>
    <w:p w14:paraId="3E4D979A"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38</w:t>
      </w:r>
    </w:p>
    <w:p w14:paraId="41BDB47B"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A Spark job is running slowly due to excessive shuffle operations and data skew, where a small number of partitions contain a disproportionate share of the data. Which technique directly addresses data skew?</w:t>
      </w:r>
    </w:p>
    <w:p w14:paraId="25C19BBE"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Salting the skewed key to distribute rows more evenly across partitions</w:t>
      </w:r>
    </w:p>
    <w:p w14:paraId="0F807F5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Increasing the driver memory only</w:t>
      </w:r>
    </w:p>
    <w:p w14:paraId="4FA1489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Switching from Parquet to CSV</w:t>
      </w:r>
    </w:p>
    <w:p w14:paraId="796A1CCB"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Disabling caching entirely</w:t>
      </w:r>
    </w:p>
    <w:p w14:paraId="76DF9F70"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7BF48A17"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Salting adds a randomized or derived component to a skewed join/grouping key so that rows that would otherwise all land in the same partition are spread across multiple partitions, reducing the size imbalance </w:t>
      </w:r>
      <w:r w:rsidRPr="00364D6C">
        <w:rPr>
          <w:rFonts w:asciiTheme="minorHAnsi" w:hAnsiTheme="minorHAnsi"/>
          <w:color w:val="595959"/>
        </w:rPr>
        <w:lastRenderedPageBreak/>
        <w:t>that causes a small number of tasks to become stragglers. Increasing driver memory does not address the root skew, and file format alone does not fix partition-level skew.</w:t>
      </w:r>
    </w:p>
    <w:p w14:paraId="6F627EAD"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39</w:t>
      </w:r>
    </w:p>
    <w:p w14:paraId="30A2A976"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In Azure Synapse dedicated SQL pools, what is the purpose of assigning a larger resource class to a specific user or query?</w:t>
      </w:r>
    </w:p>
    <w:p w14:paraId="6B4BDC0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It grants that query more memory and concurrency slots, generally improving performance for complex queries at the cost of overall concurrency</w:t>
      </w:r>
    </w:p>
    <w:p w14:paraId="5844A8F2"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It permanently increases the DWU (data warehouse unit) setting for the whole pool</w:t>
      </w:r>
    </w:p>
    <w:p w14:paraId="5D1232F0"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It disables row-level security for that user</w:t>
      </w:r>
    </w:p>
    <w:p w14:paraId="1E391807"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It encrypts the query results automatically</w:t>
      </w:r>
    </w:p>
    <w:p w14:paraId="0F5B7B2B"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4390E40F"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Resource classes control the amount of memory allocated to a query and the number of concurrent queries allowed to run; assigning a larger resource class to a user gives their queries more memory (useful for complex sorts, joins, and aggregations) but reduces the total number of queries that can run concurrently across the pool, since more memory per query means fewer available concurrency slots.</w:t>
      </w:r>
    </w:p>
    <w:p w14:paraId="2889D936"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40</w:t>
      </w:r>
    </w:p>
    <w:p w14:paraId="4B5EA437"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Which caching feature in Azure Synapse serverless SQL pools automatically improves performance for repeated queries against the same underlying files in the data lake, without any explicit configuration by the user?</w:t>
      </w:r>
    </w:p>
    <w:p w14:paraId="08CEA348"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Result set caching only</w:t>
      </w:r>
    </w:p>
    <w:p w14:paraId="7A5AB7B3"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Metadata and file-level caching used internally by the serverless engine to speed up repeated scans</w:t>
      </w:r>
    </w:p>
    <w:p w14:paraId="0546573A"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There is no caching in serverless SQL pools; every query always performs a full cold read</w:t>
      </w:r>
    </w:p>
    <w:p w14:paraId="768CEFA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Delta Lake time travel</w:t>
      </w:r>
    </w:p>
    <w:p w14:paraId="17D30AF3"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B</w:t>
      </w:r>
    </w:p>
    <w:p w14:paraId="1657DD21"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Azure Synapse serverless SQL pools use internal caching mechanisms (including caching of file metadata and, depending on scenario, data) to improve performance for repeated access patterns against the same files, reducing the need to fully re-scan from cold storage every single time, even though there is no dedicated, persistent storage layer like in a dedicated pool.</w:t>
      </w:r>
    </w:p>
    <w:p w14:paraId="43CAEE17" w14:textId="77777777" w:rsidR="00DA42E1" w:rsidRPr="00364D6C" w:rsidRDefault="00000000">
      <w:pPr>
        <w:spacing w:before="240" w:after="80"/>
        <w:rPr>
          <w:rFonts w:asciiTheme="minorHAnsi" w:hAnsiTheme="minorHAnsi"/>
        </w:rPr>
      </w:pPr>
      <w:r w:rsidRPr="00364D6C">
        <w:rPr>
          <w:rFonts w:asciiTheme="minorHAnsi" w:hAnsiTheme="minorHAnsi"/>
          <w:b/>
          <w:bCs/>
          <w:color w:val="1F3864"/>
          <w:sz w:val="23"/>
          <w:szCs w:val="23"/>
        </w:rPr>
        <w:t>Question 41</w:t>
      </w:r>
    </w:p>
    <w:p w14:paraId="5B1CBD8C"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You want to be notified automatically via email or webhook whenever an Azure Data Factory pipeline fails, without manually checking the monitoring UI. Which combination of features should you configure?</w:t>
      </w:r>
    </w:p>
    <w:p w14:paraId="78A091DA"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A. Azure Monitor alert rule based on a pipeline failed runs metric, with an associated action group</w:t>
      </w:r>
    </w:p>
    <w:p w14:paraId="43084AE9"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B. A pipeline parameter named '</w:t>
      </w:r>
      <w:proofErr w:type="spellStart"/>
      <w:r w:rsidRPr="00364D6C">
        <w:rPr>
          <w:rFonts w:asciiTheme="minorHAnsi" w:hAnsiTheme="minorHAnsi"/>
          <w:sz w:val="21"/>
          <w:szCs w:val="21"/>
        </w:rPr>
        <w:t>AlertEmail</w:t>
      </w:r>
      <w:proofErr w:type="spellEnd"/>
      <w:r w:rsidRPr="00364D6C">
        <w:rPr>
          <w:rFonts w:asciiTheme="minorHAnsi" w:hAnsiTheme="minorHAnsi"/>
          <w:sz w:val="21"/>
          <w:szCs w:val="21"/>
        </w:rPr>
        <w:t>'</w:t>
      </w:r>
    </w:p>
    <w:p w14:paraId="302EAA15"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C. A tumbling window trigger with a shorter interval</w:t>
      </w:r>
    </w:p>
    <w:p w14:paraId="093FAE84" w14:textId="77777777" w:rsidR="00DA42E1" w:rsidRPr="00364D6C" w:rsidRDefault="00000000">
      <w:pPr>
        <w:spacing w:after="40"/>
        <w:ind w:left="360"/>
        <w:rPr>
          <w:rFonts w:asciiTheme="minorHAnsi" w:hAnsiTheme="minorHAnsi"/>
        </w:rPr>
      </w:pPr>
      <w:r w:rsidRPr="00364D6C">
        <w:rPr>
          <w:rFonts w:asciiTheme="minorHAnsi" w:hAnsiTheme="minorHAnsi"/>
          <w:sz w:val="21"/>
          <w:szCs w:val="21"/>
        </w:rPr>
        <w:t>D. Increasing the pipeline's timeout setting</w:t>
      </w:r>
    </w:p>
    <w:p w14:paraId="6B16AAFC" w14:textId="77777777" w:rsidR="00DA42E1" w:rsidRPr="00364D6C" w:rsidRDefault="00000000">
      <w:pPr>
        <w:pBdr>
          <w:top w:val="single" w:sz="4" w:space="4" w:color="1E7B34"/>
          <w:left w:val="single" w:sz="4" w:space="4" w:color="1E7B34"/>
          <w:bottom w:val="single" w:sz="4" w:space="4" w:color="1E7B34"/>
          <w:right w:val="single" w:sz="4" w:space="4" w:color="1E7B34"/>
        </w:pBdr>
        <w:shd w:val="clear" w:color="auto" w:fill="EAF3EA"/>
        <w:spacing w:before="120" w:after="40"/>
        <w:rPr>
          <w:rFonts w:asciiTheme="minorHAnsi" w:hAnsiTheme="minorHAnsi"/>
        </w:rPr>
      </w:pPr>
      <w:r w:rsidRPr="00364D6C">
        <w:rPr>
          <w:rFonts w:asciiTheme="minorHAnsi" w:hAnsiTheme="minorHAnsi"/>
          <w:b/>
          <w:bCs/>
          <w:color w:val="1E7B34"/>
          <w:sz w:val="21"/>
          <w:szCs w:val="21"/>
        </w:rPr>
        <w:t>Correct Answer: A</w:t>
      </w:r>
    </w:p>
    <w:p w14:paraId="5FAA65C1" w14:textId="77777777" w:rsidR="00DA42E1" w:rsidRPr="00364D6C" w:rsidRDefault="00000000">
      <w:pPr>
        <w:spacing w:before="40" w:after="200"/>
        <w:rPr>
          <w:rFonts w:asciiTheme="minorHAnsi" w:hAnsiTheme="minorHAnsi"/>
        </w:rPr>
      </w:pPr>
      <w:r w:rsidRPr="00364D6C">
        <w:rPr>
          <w:rFonts w:asciiTheme="minorHAnsi" w:hAnsiTheme="minorHAnsi"/>
          <w:b/>
          <w:bCs/>
          <w:color w:val="595959"/>
        </w:rPr>
        <w:t xml:space="preserve">Discussion: </w:t>
      </w:r>
      <w:r w:rsidRPr="00364D6C">
        <w:rPr>
          <w:rFonts w:asciiTheme="minorHAnsi" w:hAnsiTheme="minorHAnsi"/>
          <w:color w:val="595959"/>
        </w:rPr>
        <w:t xml:space="preserve">Azure Monitor alert rules can be configured against Data Factory metrics (such as failed pipeline runs) or against custom log queries from a connected Log </w:t>
      </w:r>
      <w:proofErr w:type="gramStart"/>
      <w:r w:rsidRPr="00364D6C">
        <w:rPr>
          <w:rFonts w:asciiTheme="minorHAnsi" w:hAnsiTheme="minorHAnsi"/>
          <w:color w:val="595959"/>
        </w:rPr>
        <w:t>Analytics workspace, and</w:t>
      </w:r>
      <w:proofErr w:type="gramEnd"/>
      <w:r w:rsidRPr="00364D6C">
        <w:rPr>
          <w:rFonts w:asciiTheme="minorHAnsi" w:hAnsiTheme="minorHAnsi"/>
          <w:color w:val="595959"/>
        </w:rPr>
        <w:t xml:space="preserve"> paired with an action group to send notifications via email, SMS, webhook, or other channels automatically whenever the alert condition is met — no manual portal checking required.</w:t>
      </w:r>
    </w:p>
    <w:p w14:paraId="270E7FA5" w14:textId="77777777" w:rsidR="00DA42E1" w:rsidRPr="00364D6C" w:rsidRDefault="00000000">
      <w:pPr>
        <w:rPr>
          <w:rFonts w:asciiTheme="minorHAnsi" w:hAnsiTheme="minorHAnsi"/>
        </w:rPr>
      </w:pPr>
      <w:r w:rsidRPr="00364D6C">
        <w:rPr>
          <w:rFonts w:asciiTheme="minorHAnsi" w:hAnsiTheme="minorHAnsi"/>
        </w:rPr>
        <w:lastRenderedPageBreak/>
        <w:br w:type="page"/>
      </w:r>
    </w:p>
    <w:p w14:paraId="7243B14F" w14:textId="77777777" w:rsidR="00DA42E1" w:rsidRPr="00364D6C" w:rsidRDefault="00000000">
      <w:pPr>
        <w:pStyle w:val="Heading1"/>
        <w:pBdr>
          <w:bottom w:val="single" w:sz="8" w:space="4" w:color="2E5395"/>
        </w:pBdr>
        <w:spacing w:before="360" w:after="160"/>
        <w:rPr>
          <w:rFonts w:asciiTheme="minorHAnsi" w:hAnsiTheme="minorHAnsi"/>
        </w:rPr>
      </w:pPr>
      <w:bookmarkStart w:id="5" w:name="_Toc234931943"/>
      <w:r w:rsidRPr="00364D6C">
        <w:rPr>
          <w:rFonts w:asciiTheme="minorHAnsi" w:hAnsiTheme="minorHAnsi"/>
          <w:b/>
          <w:bCs/>
          <w:color w:val="1F3864"/>
          <w:sz w:val="30"/>
          <w:szCs w:val="30"/>
        </w:rPr>
        <w:lastRenderedPageBreak/>
        <w:t>Answer Key Summary</w:t>
      </w:r>
      <w:bookmarkEnd w:id="5"/>
    </w:p>
    <w:p w14:paraId="29F611C5" w14:textId="77777777" w:rsidR="00DA42E1" w:rsidRPr="00364D6C" w:rsidRDefault="00000000">
      <w:pPr>
        <w:spacing w:after="160" w:line="276" w:lineRule="auto"/>
        <w:rPr>
          <w:rFonts w:asciiTheme="minorHAnsi" w:hAnsiTheme="minorHAnsi"/>
        </w:rPr>
      </w:pPr>
      <w:r w:rsidRPr="00364D6C">
        <w:rPr>
          <w:rFonts w:asciiTheme="minorHAnsi" w:hAnsiTheme="minorHAnsi"/>
          <w:sz w:val="22"/>
          <w:szCs w:val="22"/>
        </w:rPr>
        <w:t>This table summarizes the correct answer for all 41 questions for quick self-checking.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559"/>
        <w:gridCol w:w="1558"/>
        <w:gridCol w:w="1558"/>
        <w:gridCol w:w="1558"/>
        <w:gridCol w:w="1558"/>
      </w:tblGrid>
      <w:tr w:rsidR="00DA42E1" w:rsidRPr="00364D6C" w14:paraId="38F8B11F" w14:textId="77777777">
        <w:tblPrEx>
          <w:tblCellMar>
            <w:top w:w="0" w:type="dxa"/>
            <w:bottom w:w="0" w:type="dxa"/>
          </w:tblCellMar>
        </w:tblPrEx>
        <w:trPr>
          <w:tblHeader/>
        </w:trPr>
        <w:tc>
          <w:tcPr>
            <w:tcW w:w="1558" w:type="dxa"/>
            <w:shd w:val="clear" w:color="auto" w:fill="1F3864"/>
            <w:tcMar>
              <w:top w:w="60" w:type="dxa"/>
              <w:left w:w="80" w:type="dxa"/>
              <w:bottom w:w="60" w:type="dxa"/>
              <w:right w:w="80" w:type="dxa"/>
            </w:tcMar>
            <w:vAlign w:val="center"/>
          </w:tcPr>
          <w:p w14:paraId="601485F6" w14:textId="77777777" w:rsidR="00DA42E1" w:rsidRPr="00364D6C" w:rsidRDefault="00000000">
            <w:pPr>
              <w:jc w:val="center"/>
              <w:rPr>
                <w:rFonts w:asciiTheme="minorHAnsi" w:hAnsiTheme="minorHAnsi"/>
              </w:rPr>
            </w:pPr>
            <w:r w:rsidRPr="00364D6C">
              <w:rPr>
                <w:rFonts w:asciiTheme="minorHAnsi" w:hAnsiTheme="minorHAnsi"/>
                <w:b/>
                <w:bCs/>
                <w:color w:val="FFFFFF"/>
                <w:sz w:val="19"/>
                <w:szCs w:val="19"/>
              </w:rPr>
              <w:t>Q / Ans</w:t>
            </w:r>
          </w:p>
        </w:tc>
        <w:tc>
          <w:tcPr>
            <w:tcW w:w="1558" w:type="dxa"/>
            <w:shd w:val="clear" w:color="auto" w:fill="1F3864"/>
            <w:tcMar>
              <w:top w:w="60" w:type="dxa"/>
              <w:left w:w="80" w:type="dxa"/>
              <w:bottom w:w="60" w:type="dxa"/>
              <w:right w:w="80" w:type="dxa"/>
            </w:tcMar>
            <w:vAlign w:val="center"/>
          </w:tcPr>
          <w:p w14:paraId="0E640E94" w14:textId="77777777" w:rsidR="00DA42E1" w:rsidRPr="00364D6C" w:rsidRDefault="00000000">
            <w:pPr>
              <w:jc w:val="center"/>
              <w:rPr>
                <w:rFonts w:asciiTheme="minorHAnsi" w:hAnsiTheme="minorHAnsi"/>
              </w:rPr>
            </w:pPr>
            <w:r w:rsidRPr="00364D6C">
              <w:rPr>
                <w:rFonts w:asciiTheme="minorHAnsi" w:hAnsiTheme="minorHAnsi"/>
                <w:b/>
                <w:bCs/>
                <w:color w:val="FFFFFF"/>
                <w:sz w:val="19"/>
                <w:szCs w:val="19"/>
              </w:rPr>
              <w:t>Q / Ans</w:t>
            </w:r>
          </w:p>
        </w:tc>
        <w:tc>
          <w:tcPr>
            <w:tcW w:w="1558" w:type="dxa"/>
            <w:shd w:val="clear" w:color="auto" w:fill="1F3864"/>
            <w:tcMar>
              <w:top w:w="60" w:type="dxa"/>
              <w:left w:w="80" w:type="dxa"/>
              <w:bottom w:w="60" w:type="dxa"/>
              <w:right w:w="80" w:type="dxa"/>
            </w:tcMar>
            <w:vAlign w:val="center"/>
          </w:tcPr>
          <w:p w14:paraId="2F8FFFEF" w14:textId="77777777" w:rsidR="00DA42E1" w:rsidRPr="00364D6C" w:rsidRDefault="00000000">
            <w:pPr>
              <w:jc w:val="center"/>
              <w:rPr>
                <w:rFonts w:asciiTheme="minorHAnsi" w:hAnsiTheme="minorHAnsi"/>
              </w:rPr>
            </w:pPr>
            <w:r w:rsidRPr="00364D6C">
              <w:rPr>
                <w:rFonts w:asciiTheme="minorHAnsi" w:hAnsiTheme="minorHAnsi"/>
                <w:b/>
                <w:bCs/>
                <w:color w:val="FFFFFF"/>
                <w:sz w:val="19"/>
                <w:szCs w:val="19"/>
              </w:rPr>
              <w:t>Q / Ans</w:t>
            </w:r>
          </w:p>
        </w:tc>
        <w:tc>
          <w:tcPr>
            <w:tcW w:w="1558" w:type="dxa"/>
            <w:shd w:val="clear" w:color="auto" w:fill="1F3864"/>
            <w:tcMar>
              <w:top w:w="60" w:type="dxa"/>
              <w:left w:w="80" w:type="dxa"/>
              <w:bottom w:w="60" w:type="dxa"/>
              <w:right w:w="80" w:type="dxa"/>
            </w:tcMar>
            <w:vAlign w:val="center"/>
          </w:tcPr>
          <w:p w14:paraId="425A4832" w14:textId="77777777" w:rsidR="00DA42E1" w:rsidRPr="00364D6C" w:rsidRDefault="00000000">
            <w:pPr>
              <w:jc w:val="center"/>
              <w:rPr>
                <w:rFonts w:asciiTheme="minorHAnsi" w:hAnsiTheme="minorHAnsi"/>
              </w:rPr>
            </w:pPr>
            <w:r w:rsidRPr="00364D6C">
              <w:rPr>
                <w:rFonts w:asciiTheme="minorHAnsi" w:hAnsiTheme="minorHAnsi"/>
                <w:b/>
                <w:bCs/>
                <w:color w:val="FFFFFF"/>
                <w:sz w:val="19"/>
                <w:szCs w:val="19"/>
              </w:rPr>
              <w:t>Q / Ans</w:t>
            </w:r>
          </w:p>
        </w:tc>
        <w:tc>
          <w:tcPr>
            <w:tcW w:w="1558" w:type="dxa"/>
            <w:shd w:val="clear" w:color="auto" w:fill="1F3864"/>
            <w:tcMar>
              <w:top w:w="60" w:type="dxa"/>
              <w:left w:w="80" w:type="dxa"/>
              <w:bottom w:w="60" w:type="dxa"/>
              <w:right w:w="80" w:type="dxa"/>
            </w:tcMar>
            <w:vAlign w:val="center"/>
          </w:tcPr>
          <w:p w14:paraId="1C906DDF" w14:textId="77777777" w:rsidR="00DA42E1" w:rsidRPr="00364D6C" w:rsidRDefault="00000000">
            <w:pPr>
              <w:jc w:val="center"/>
              <w:rPr>
                <w:rFonts w:asciiTheme="minorHAnsi" w:hAnsiTheme="minorHAnsi"/>
              </w:rPr>
            </w:pPr>
            <w:r w:rsidRPr="00364D6C">
              <w:rPr>
                <w:rFonts w:asciiTheme="minorHAnsi" w:hAnsiTheme="minorHAnsi"/>
                <w:b/>
                <w:bCs/>
                <w:color w:val="FFFFFF"/>
                <w:sz w:val="19"/>
                <w:szCs w:val="19"/>
              </w:rPr>
              <w:t>Q / Ans</w:t>
            </w:r>
          </w:p>
        </w:tc>
        <w:tc>
          <w:tcPr>
            <w:tcW w:w="1558" w:type="dxa"/>
            <w:shd w:val="clear" w:color="auto" w:fill="1F3864"/>
            <w:tcMar>
              <w:top w:w="60" w:type="dxa"/>
              <w:left w:w="80" w:type="dxa"/>
              <w:bottom w:w="60" w:type="dxa"/>
              <w:right w:w="80" w:type="dxa"/>
            </w:tcMar>
            <w:vAlign w:val="center"/>
          </w:tcPr>
          <w:p w14:paraId="6BD3D754" w14:textId="77777777" w:rsidR="00DA42E1" w:rsidRPr="00364D6C" w:rsidRDefault="00000000">
            <w:pPr>
              <w:jc w:val="center"/>
              <w:rPr>
                <w:rFonts w:asciiTheme="minorHAnsi" w:hAnsiTheme="minorHAnsi"/>
              </w:rPr>
            </w:pPr>
            <w:r w:rsidRPr="00364D6C">
              <w:rPr>
                <w:rFonts w:asciiTheme="minorHAnsi" w:hAnsiTheme="minorHAnsi"/>
                <w:b/>
                <w:bCs/>
                <w:color w:val="FFFFFF"/>
                <w:sz w:val="19"/>
                <w:szCs w:val="19"/>
              </w:rPr>
              <w:t>Q / Ans</w:t>
            </w:r>
          </w:p>
        </w:tc>
      </w:tr>
      <w:tr w:rsidR="00DA42E1" w:rsidRPr="00364D6C" w14:paraId="3BC5E245"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37AFB2A0" w14:textId="77777777" w:rsidR="00DA42E1" w:rsidRPr="00364D6C" w:rsidRDefault="00000000">
            <w:pPr>
              <w:jc w:val="center"/>
              <w:rPr>
                <w:rFonts w:asciiTheme="minorHAnsi" w:hAnsiTheme="minorHAnsi"/>
              </w:rPr>
            </w:pPr>
            <w:r w:rsidRPr="00364D6C">
              <w:rPr>
                <w:rFonts w:asciiTheme="minorHAnsi" w:hAnsiTheme="minorHAnsi"/>
                <w:sz w:val="19"/>
                <w:szCs w:val="19"/>
              </w:rPr>
              <w:t>Q1: C</w:t>
            </w:r>
          </w:p>
        </w:tc>
        <w:tc>
          <w:tcPr>
            <w:tcW w:w="1558" w:type="dxa"/>
            <w:shd w:val="clear" w:color="auto" w:fill="FFFFFF"/>
            <w:tcMar>
              <w:top w:w="50" w:type="dxa"/>
              <w:left w:w="80" w:type="dxa"/>
              <w:bottom w:w="50" w:type="dxa"/>
              <w:right w:w="80" w:type="dxa"/>
            </w:tcMar>
            <w:vAlign w:val="center"/>
          </w:tcPr>
          <w:p w14:paraId="6A647F16" w14:textId="77777777" w:rsidR="00DA42E1" w:rsidRPr="00364D6C" w:rsidRDefault="00000000">
            <w:pPr>
              <w:jc w:val="center"/>
              <w:rPr>
                <w:rFonts w:asciiTheme="minorHAnsi" w:hAnsiTheme="minorHAnsi"/>
              </w:rPr>
            </w:pPr>
            <w:r w:rsidRPr="00364D6C">
              <w:rPr>
                <w:rFonts w:asciiTheme="minorHAnsi" w:hAnsiTheme="minorHAnsi"/>
                <w:sz w:val="19"/>
                <w:szCs w:val="19"/>
              </w:rPr>
              <w:t>Q2: B</w:t>
            </w:r>
          </w:p>
        </w:tc>
        <w:tc>
          <w:tcPr>
            <w:tcW w:w="1558" w:type="dxa"/>
            <w:shd w:val="clear" w:color="auto" w:fill="FFFFFF"/>
            <w:tcMar>
              <w:top w:w="50" w:type="dxa"/>
              <w:left w:w="80" w:type="dxa"/>
              <w:bottom w:w="50" w:type="dxa"/>
              <w:right w:w="80" w:type="dxa"/>
            </w:tcMar>
            <w:vAlign w:val="center"/>
          </w:tcPr>
          <w:p w14:paraId="2C6C5C77" w14:textId="77777777" w:rsidR="00DA42E1" w:rsidRPr="00364D6C" w:rsidRDefault="00000000">
            <w:pPr>
              <w:jc w:val="center"/>
              <w:rPr>
                <w:rFonts w:asciiTheme="minorHAnsi" w:hAnsiTheme="minorHAnsi"/>
              </w:rPr>
            </w:pPr>
            <w:r w:rsidRPr="00364D6C">
              <w:rPr>
                <w:rFonts w:asciiTheme="minorHAnsi" w:hAnsiTheme="minorHAnsi"/>
                <w:sz w:val="19"/>
                <w:szCs w:val="19"/>
              </w:rPr>
              <w:t>Q3: B</w:t>
            </w:r>
          </w:p>
        </w:tc>
        <w:tc>
          <w:tcPr>
            <w:tcW w:w="1558" w:type="dxa"/>
            <w:shd w:val="clear" w:color="auto" w:fill="FFFFFF"/>
            <w:tcMar>
              <w:top w:w="50" w:type="dxa"/>
              <w:left w:w="80" w:type="dxa"/>
              <w:bottom w:w="50" w:type="dxa"/>
              <w:right w:w="80" w:type="dxa"/>
            </w:tcMar>
            <w:vAlign w:val="center"/>
          </w:tcPr>
          <w:p w14:paraId="5424032B" w14:textId="77777777" w:rsidR="00DA42E1" w:rsidRPr="00364D6C" w:rsidRDefault="00000000">
            <w:pPr>
              <w:jc w:val="center"/>
              <w:rPr>
                <w:rFonts w:asciiTheme="minorHAnsi" w:hAnsiTheme="minorHAnsi"/>
              </w:rPr>
            </w:pPr>
            <w:r w:rsidRPr="00364D6C">
              <w:rPr>
                <w:rFonts w:asciiTheme="minorHAnsi" w:hAnsiTheme="minorHAnsi"/>
                <w:sz w:val="19"/>
                <w:szCs w:val="19"/>
              </w:rPr>
              <w:t>Q4: C</w:t>
            </w:r>
          </w:p>
        </w:tc>
        <w:tc>
          <w:tcPr>
            <w:tcW w:w="1558" w:type="dxa"/>
            <w:shd w:val="clear" w:color="auto" w:fill="FFFFFF"/>
            <w:tcMar>
              <w:top w:w="50" w:type="dxa"/>
              <w:left w:w="80" w:type="dxa"/>
              <w:bottom w:w="50" w:type="dxa"/>
              <w:right w:w="80" w:type="dxa"/>
            </w:tcMar>
            <w:vAlign w:val="center"/>
          </w:tcPr>
          <w:p w14:paraId="049A5C78" w14:textId="77777777" w:rsidR="00DA42E1" w:rsidRPr="00364D6C" w:rsidRDefault="00000000">
            <w:pPr>
              <w:jc w:val="center"/>
              <w:rPr>
                <w:rFonts w:asciiTheme="minorHAnsi" w:hAnsiTheme="minorHAnsi"/>
              </w:rPr>
            </w:pPr>
            <w:r w:rsidRPr="00364D6C">
              <w:rPr>
                <w:rFonts w:asciiTheme="minorHAnsi" w:hAnsiTheme="minorHAnsi"/>
                <w:sz w:val="19"/>
                <w:szCs w:val="19"/>
              </w:rPr>
              <w:t>Q5: C</w:t>
            </w:r>
          </w:p>
        </w:tc>
        <w:tc>
          <w:tcPr>
            <w:tcW w:w="1558" w:type="dxa"/>
            <w:shd w:val="clear" w:color="auto" w:fill="FFFFFF"/>
            <w:tcMar>
              <w:top w:w="50" w:type="dxa"/>
              <w:left w:w="80" w:type="dxa"/>
              <w:bottom w:w="50" w:type="dxa"/>
              <w:right w:w="80" w:type="dxa"/>
            </w:tcMar>
            <w:vAlign w:val="center"/>
          </w:tcPr>
          <w:p w14:paraId="30DA24E3" w14:textId="77777777" w:rsidR="00DA42E1" w:rsidRPr="00364D6C" w:rsidRDefault="00000000">
            <w:pPr>
              <w:jc w:val="center"/>
              <w:rPr>
                <w:rFonts w:asciiTheme="minorHAnsi" w:hAnsiTheme="minorHAnsi"/>
              </w:rPr>
            </w:pPr>
            <w:r w:rsidRPr="00364D6C">
              <w:rPr>
                <w:rFonts w:asciiTheme="minorHAnsi" w:hAnsiTheme="minorHAnsi"/>
                <w:sz w:val="19"/>
                <w:szCs w:val="19"/>
              </w:rPr>
              <w:t>Q6: B</w:t>
            </w:r>
          </w:p>
        </w:tc>
      </w:tr>
      <w:tr w:rsidR="00DA42E1" w:rsidRPr="00364D6C" w14:paraId="3CD89243"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318647AF" w14:textId="77777777" w:rsidR="00DA42E1" w:rsidRPr="00364D6C" w:rsidRDefault="00000000">
            <w:pPr>
              <w:jc w:val="center"/>
              <w:rPr>
                <w:rFonts w:asciiTheme="minorHAnsi" w:hAnsiTheme="minorHAnsi"/>
              </w:rPr>
            </w:pPr>
            <w:r w:rsidRPr="00364D6C">
              <w:rPr>
                <w:rFonts w:asciiTheme="minorHAnsi" w:hAnsiTheme="minorHAnsi"/>
                <w:sz w:val="19"/>
                <w:szCs w:val="19"/>
              </w:rPr>
              <w:t>Q7: A</w:t>
            </w:r>
          </w:p>
        </w:tc>
        <w:tc>
          <w:tcPr>
            <w:tcW w:w="1558" w:type="dxa"/>
            <w:shd w:val="clear" w:color="auto" w:fill="F2F6FA"/>
            <w:tcMar>
              <w:top w:w="50" w:type="dxa"/>
              <w:left w:w="80" w:type="dxa"/>
              <w:bottom w:w="50" w:type="dxa"/>
              <w:right w:w="80" w:type="dxa"/>
            </w:tcMar>
            <w:vAlign w:val="center"/>
          </w:tcPr>
          <w:p w14:paraId="0778DD85" w14:textId="77777777" w:rsidR="00DA42E1" w:rsidRPr="00364D6C" w:rsidRDefault="00000000">
            <w:pPr>
              <w:jc w:val="center"/>
              <w:rPr>
                <w:rFonts w:asciiTheme="minorHAnsi" w:hAnsiTheme="minorHAnsi"/>
              </w:rPr>
            </w:pPr>
            <w:r w:rsidRPr="00364D6C">
              <w:rPr>
                <w:rFonts w:asciiTheme="minorHAnsi" w:hAnsiTheme="minorHAnsi"/>
                <w:sz w:val="19"/>
                <w:szCs w:val="19"/>
              </w:rPr>
              <w:t>Q8: C</w:t>
            </w:r>
          </w:p>
        </w:tc>
        <w:tc>
          <w:tcPr>
            <w:tcW w:w="1558" w:type="dxa"/>
            <w:shd w:val="clear" w:color="auto" w:fill="F2F6FA"/>
            <w:tcMar>
              <w:top w:w="50" w:type="dxa"/>
              <w:left w:w="80" w:type="dxa"/>
              <w:bottom w:w="50" w:type="dxa"/>
              <w:right w:w="80" w:type="dxa"/>
            </w:tcMar>
            <w:vAlign w:val="center"/>
          </w:tcPr>
          <w:p w14:paraId="42D6DBBB" w14:textId="77777777" w:rsidR="00DA42E1" w:rsidRPr="00364D6C" w:rsidRDefault="00000000">
            <w:pPr>
              <w:jc w:val="center"/>
              <w:rPr>
                <w:rFonts w:asciiTheme="minorHAnsi" w:hAnsiTheme="minorHAnsi"/>
              </w:rPr>
            </w:pPr>
            <w:r w:rsidRPr="00364D6C">
              <w:rPr>
                <w:rFonts w:asciiTheme="minorHAnsi" w:hAnsiTheme="minorHAnsi"/>
                <w:sz w:val="19"/>
                <w:szCs w:val="19"/>
              </w:rPr>
              <w:t>Q9: B</w:t>
            </w:r>
          </w:p>
        </w:tc>
        <w:tc>
          <w:tcPr>
            <w:tcW w:w="1558" w:type="dxa"/>
            <w:shd w:val="clear" w:color="auto" w:fill="F2F6FA"/>
            <w:tcMar>
              <w:top w:w="50" w:type="dxa"/>
              <w:left w:w="80" w:type="dxa"/>
              <w:bottom w:w="50" w:type="dxa"/>
              <w:right w:w="80" w:type="dxa"/>
            </w:tcMar>
            <w:vAlign w:val="center"/>
          </w:tcPr>
          <w:p w14:paraId="47B8796A" w14:textId="77777777" w:rsidR="00DA42E1" w:rsidRPr="00364D6C" w:rsidRDefault="00000000">
            <w:pPr>
              <w:jc w:val="center"/>
              <w:rPr>
                <w:rFonts w:asciiTheme="minorHAnsi" w:hAnsiTheme="minorHAnsi"/>
              </w:rPr>
            </w:pPr>
            <w:r w:rsidRPr="00364D6C">
              <w:rPr>
                <w:rFonts w:asciiTheme="minorHAnsi" w:hAnsiTheme="minorHAnsi"/>
                <w:sz w:val="19"/>
                <w:szCs w:val="19"/>
              </w:rPr>
              <w:t>Q10: B</w:t>
            </w:r>
          </w:p>
        </w:tc>
        <w:tc>
          <w:tcPr>
            <w:tcW w:w="1558" w:type="dxa"/>
            <w:shd w:val="clear" w:color="auto" w:fill="F2F6FA"/>
            <w:tcMar>
              <w:top w:w="50" w:type="dxa"/>
              <w:left w:w="80" w:type="dxa"/>
              <w:bottom w:w="50" w:type="dxa"/>
              <w:right w:w="80" w:type="dxa"/>
            </w:tcMar>
            <w:vAlign w:val="center"/>
          </w:tcPr>
          <w:p w14:paraId="0B16A13E" w14:textId="77777777" w:rsidR="00DA42E1" w:rsidRPr="00364D6C" w:rsidRDefault="00000000">
            <w:pPr>
              <w:jc w:val="center"/>
              <w:rPr>
                <w:rFonts w:asciiTheme="minorHAnsi" w:hAnsiTheme="minorHAnsi"/>
              </w:rPr>
            </w:pPr>
            <w:r w:rsidRPr="00364D6C">
              <w:rPr>
                <w:rFonts w:asciiTheme="minorHAnsi" w:hAnsiTheme="minorHAnsi"/>
                <w:sz w:val="19"/>
                <w:szCs w:val="19"/>
              </w:rPr>
              <w:t>Q11: B</w:t>
            </w:r>
          </w:p>
        </w:tc>
        <w:tc>
          <w:tcPr>
            <w:tcW w:w="1558" w:type="dxa"/>
            <w:shd w:val="clear" w:color="auto" w:fill="F2F6FA"/>
            <w:tcMar>
              <w:top w:w="50" w:type="dxa"/>
              <w:left w:w="80" w:type="dxa"/>
              <w:bottom w:w="50" w:type="dxa"/>
              <w:right w:w="80" w:type="dxa"/>
            </w:tcMar>
            <w:vAlign w:val="center"/>
          </w:tcPr>
          <w:p w14:paraId="7E3470CE" w14:textId="77777777" w:rsidR="00DA42E1" w:rsidRPr="00364D6C" w:rsidRDefault="00000000">
            <w:pPr>
              <w:jc w:val="center"/>
              <w:rPr>
                <w:rFonts w:asciiTheme="minorHAnsi" w:hAnsiTheme="minorHAnsi"/>
              </w:rPr>
            </w:pPr>
            <w:r w:rsidRPr="00364D6C">
              <w:rPr>
                <w:rFonts w:asciiTheme="minorHAnsi" w:hAnsiTheme="minorHAnsi"/>
                <w:sz w:val="19"/>
                <w:szCs w:val="19"/>
              </w:rPr>
              <w:t>Q12: B</w:t>
            </w:r>
          </w:p>
        </w:tc>
      </w:tr>
      <w:tr w:rsidR="00DA42E1" w:rsidRPr="00364D6C" w14:paraId="4E364552"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5B6FDEE4" w14:textId="77777777" w:rsidR="00DA42E1" w:rsidRPr="00364D6C" w:rsidRDefault="00000000">
            <w:pPr>
              <w:jc w:val="center"/>
              <w:rPr>
                <w:rFonts w:asciiTheme="minorHAnsi" w:hAnsiTheme="minorHAnsi"/>
              </w:rPr>
            </w:pPr>
            <w:r w:rsidRPr="00364D6C">
              <w:rPr>
                <w:rFonts w:asciiTheme="minorHAnsi" w:hAnsiTheme="minorHAnsi"/>
                <w:sz w:val="19"/>
                <w:szCs w:val="19"/>
              </w:rPr>
              <w:t>Q13: B</w:t>
            </w:r>
          </w:p>
        </w:tc>
        <w:tc>
          <w:tcPr>
            <w:tcW w:w="1558" w:type="dxa"/>
            <w:shd w:val="clear" w:color="auto" w:fill="FFFFFF"/>
            <w:tcMar>
              <w:top w:w="50" w:type="dxa"/>
              <w:left w:w="80" w:type="dxa"/>
              <w:bottom w:w="50" w:type="dxa"/>
              <w:right w:w="80" w:type="dxa"/>
            </w:tcMar>
            <w:vAlign w:val="center"/>
          </w:tcPr>
          <w:p w14:paraId="6DC6C6C3" w14:textId="77777777" w:rsidR="00DA42E1" w:rsidRPr="00364D6C" w:rsidRDefault="00000000">
            <w:pPr>
              <w:jc w:val="center"/>
              <w:rPr>
                <w:rFonts w:asciiTheme="minorHAnsi" w:hAnsiTheme="minorHAnsi"/>
              </w:rPr>
            </w:pPr>
            <w:r w:rsidRPr="00364D6C">
              <w:rPr>
                <w:rFonts w:asciiTheme="minorHAnsi" w:hAnsiTheme="minorHAnsi"/>
                <w:sz w:val="19"/>
                <w:szCs w:val="19"/>
              </w:rPr>
              <w:t>Q14: B</w:t>
            </w:r>
          </w:p>
        </w:tc>
        <w:tc>
          <w:tcPr>
            <w:tcW w:w="1558" w:type="dxa"/>
            <w:shd w:val="clear" w:color="auto" w:fill="FFFFFF"/>
            <w:tcMar>
              <w:top w:w="50" w:type="dxa"/>
              <w:left w:w="80" w:type="dxa"/>
              <w:bottom w:w="50" w:type="dxa"/>
              <w:right w:w="80" w:type="dxa"/>
            </w:tcMar>
            <w:vAlign w:val="center"/>
          </w:tcPr>
          <w:p w14:paraId="7DC4234B" w14:textId="77777777" w:rsidR="00DA42E1" w:rsidRPr="00364D6C" w:rsidRDefault="00000000">
            <w:pPr>
              <w:jc w:val="center"/>
              <w:rPr>
                <w:rFonts w:asciiTheme="minorHAnsi" w:hAnsiTheme="minorHAnsi"/>
              </w:rPr>
            </w:pPr>
            <w:r w:rsidRPr="00364D6C">
              <w:rPr>
                <w:rFonts w:asciiTheme="minorHAnsi" w:hAnsiTheme="minorHAnsi"/>
                <w:sz w:val="19"/>
                <w:szCs w:val="19"/>
              </w:rPr>
              <w:t>Q15: B</w:t>
            </w:r>
          </w:p>
        </w:tc>
        <w:tc>
          <w:tcPr>
            <w:tcW w:w="1558" w:type="dxa"/>
            <w:shd w:val="clear" w:color="auto" w:fill="FFFFFF"/>
            <w:tcMar>
              <w:top w:w="50" w:type="dxa"/>
              <w:left w:w="80" w:type="dxa"/>
              <w:bottom w:w="50" w:type="dxa"/>
              <w:right w:w="80" w:type="dxa"/>
            </w:tcMar>
            <w:vAlign w:val="center"/>
          </w:tcPr>
          <w:p w14:paraId="688AE935" w14:textId="77777777" w:rsidR="00DA42E1" w:rsidRPr="00364D6C" w:rsidRDefault="00000000">
            <w:pPr>
              <w:jc w:val="center"/>
              <w:rPr>
                <w:rFonts w:asciiTheme="minorHAnsi" w:hAnsiTheme="minorHAnsi"/>
              </w:rPr>
            </w:pPr>
            <w:r w:rsidRPr="00364D6C">
              <w:rPr>
                <w:rFonts w:asciiTheme="minorHAnsi" w:hAnsiTheme="minorHAnsi"/>
                <w:sz w:val="19"/>
                <w:szCs w:val="19"/>
              </w:rPr>
              <w:t>Q16: D</w:t>
            </w:r>
          </w:p>
        </w:tc>
        <w:tc>
          <w:tcPr>
            <w:tcW w:w="1558" w:type="dxa"/>
            <w:shd w:val="clear" w:color="auto" w:fill="FFFFFF"/>
            <w:tcMar>
              <w:top w:w="50" w:type="dxa"/>
              <w:left w:w="80" w:type="dxa"/>
              <w:bottom w:w="50" w:type="dxa"/>
              <w:right w:w="80" w:type="dxa"/>
            </w:tcMar>
            <w:vAlign w:val="center"/>
          </w:tcPr>
          <w:p w14:paraId="342184ED" w14:textId="77777777" w:rsidR="00DA42E1" w:rsidRPr="00364D6C" w:rsidRDefault="00000000">
            <w:pPr>
              <w:jc w:val="center"/>
              <w:rPr>
                <w:rFonts w:asciiTheme="minorHAnsi" w:hAnsiTheme="minorHAnsi"/>
              </w:rPr>
            </w:pPr>
            <w:r w:rsidRPr="00364D6C">
              <w:rPr>
                <w:rFonts w:asciiTheme="minorHAnsi" w:hAnsiTheme="minorHAnsi"/>
                <w:sz w:val="19"/>
                <w:szCs w:val="19"/>
              </w:rPr>
              <w:t>Q17: B</w:t>
            </w:r>
          </w:p>
        </w:tc>
        <w:tc>
          <w:tcPr>
            <w:tcW w:w="1558" w:type="dxa"/>
            <w:shd w:val="clear" w:color="auto" w:fill="FFFFFF"/>
            <w:tcMar>
              <w:top w:w="50" w:type="dxa"/>
              <w:left w:w="80" w:type="dxa"/>
              <w:bottom w:w="50" w:type="dxa"/>
              <w:right w:w="80" w:type="dxa"/>
            </w:tcMar>
            <w:vAlign w:val="center"/>
          </w:tcPr>
          <w:p w14:paraId="04F53671" w14:textId="77777777" w:rsidR="00DA42E1" w:rsidRPr="00364D6C" w:rsidRDefault="00000000">
            <w:pPr>
              <w:jc w:val="center"/>
              <w:rPr>
                <w:rFonts w:asciiTheme="minorHAnsi" w:hAnsiTheme="minorHAnsi"/>
              </w:rPr>
            </w:pPr>
            <w:r w:rsidRPr="00364D6C">
              <w:rPr>
                <w:rFonts w:asciiTheme="minorHAnsi" w:hAnsiTheme="minorHAnsi"/>
                <w:sz w:val="19"/>
                <w:szCs w:val="19"/>
              </w:rPr>
              <w:t>Q18: B</w:t>
            </w:r>
          </w:p>
        </w:tc>
      </w:tr>
      <w:tr w:rsidR="00DA42E1" w:rsidRPr="00364D6C" w14:paraId="28BE1C4D"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130E4471" w14:textId="77777777" w:rsidR="00DA42E1" w:rsidRPr="00364D6C" w:rsidRDefault="00000000">
            <w:pPr>
              <w:jc w:val="center"/>
              <w:rPr>
                <w:rFonts w:asciiTheme="minorHAnsi" w:hAnsiTheme="minorHAnsi"/>
              </w:rPr>
            </w:pPr>
            <w:r w:rsidRPr="00364D6C">
              <w:rPr>
                <w:rFonts w:asciiTheme="minorHAnsi" w:hAnsiTheme="minorHAnsi"/>
                <w:sz w:val="19"/>
                <w:szCs w:val="19"/>
              </w:rPr>
              <w:t>Q19: C</w:t>
            </w:r>
          </w:p>
        </w:tc>
        <w:tc>
          <w:tcPr>
            <w:tcW w:w="1558" w:type="dxa"/>
            <w:shd w:val="clear" w:color="auto" w:fill="F2F6FA"/>
            <w:tcMar>
              <w:top w:w="50" w:type="dxa"/>
              <w:left w:w="80" w:type="dxa"/>
              <w:bottom w:w="50" w:type="dxa"/>
              <w:right w:w="80" w:type="dxa"/>
            </w:tcMar>
            <w:vAlign w:val="center"/>
          </w:tcPr>
          <w:p w14:paraId="25645AE0" w14:textId="77777777" w:rsidR="00DA42E1" w:rsidRPr="00364D6C" w:rsidRDefault="00000000">
            <w:pPr>
              <w:jc w:val="center"/>
              <w:rPr>
                <w:rFonts w:asciiTheme="minorHAnsi" w:hAnsiTheme="minorHAnsi"/>
              </w:rPr>
            </w:pPr>
            <w:r w:rsidRPr="00364D6C">
              <w:rPr>
                <w:rFonts w:asciiTheme="minorHAnsi" w:hAnsiTheme="minorHAnsi"/>
                <w:sz w:val="19"/>
                <w:szCs w:val="19"/>
              </w:rPr>
              <w:t>Q20: A</w:t>
            </w:r>
          </w:p>
        </w:tc>
        <w:tc>
          <w:tcPr>
            <w:tcW w:w="1558" w:type="dxa"/>
            <w:shd w:val="clear" w:color="auto" w:fill="F2F6FA"/>
            <w:tcMar>
              <w:top w:w="50" w:type="dxa"/>
              <w:left w:w="80" w:type="dxa"/>
              <w:bottom w:w="50" w:type="dxa"/>
              <w:right w:w="80" w:type="dxa"/>
            </w:tcMar>
            <w:vAlign w:val="center"/>
          </w:tcPr>
          <w:p w14:paraId="15FF0338" w14:textId="77777777" w:rsidR="00DA42E1" w:rsidRPr="00364D6C" w:rsidRDefault="00000000">
            <w:pPr>
              <w:jc w:val="center"/>
              <w:rPr>
                <w:rFonts w:asciiTheme="minorHAnsi" w:hAnsiTheme="minorHAnsi"/>
              </w:rPr>
            </w:pPr>
            <w:r w:rsidRPr="00364D6C">
              <w:rPr>
                <w:rFonts w:asciiTheme="minorHAnsi" w:hAnsiTheme="minorHAnsi"/>
                <w:sz w:val="19"/>
                <w:szCs w:val="19"/>
              </w:rPr>
              <w:t>Q21: A</w:t>
            </w:r>
          </w:p>
        </w:tc>
        <w:tc>
          <w:tcPr>
            <w:tcW w:w="1558" w:type="dxa"/>
            <w:shd w:val="clear" w:color="auto" w:fill="F2F6FA"/>
            <w:tcMar>
              <w:top w:w="50" w:type="dxa"/>
              <w:left w:w="80" w:type="dxa"/>
              <w:bottom w:w="50" w:type="dxa"/>
              <w:right w:w="80" w:type="dxa"/>
            </w:tcMar>
            <w:vAlign w:val="center"/>
          </w:tcPr>
          <w:p w14:paraId="732B2587" w14:textId="77777777" w:rsidR="00DA42E1" w:rsidRPr="00364D6C" w:rsidRDefault="00000000">
            <w:pPr>
              <w:jc w:val="center"/>
              <w:rPr>
                <w:rFonts w:asciiTheme="minorHAnsi" w:hAnsiTheme="minorHAnsi"/>
              </w:rPr>
            </w:pPr>
            <w:r w:rsidRPr="00364D6C">
              <w:rPr>
                <w:rFonts w:asciiTheme="minorHAnsi" w:hAnsiTheme="minorHAnsi"/>
                <w:sz w:val="19"/>
                <w:szCs w:val="19"/>
              </w:rPr>
              <w:t>Q22: B</w:t>
            </w:r>
          </w:p>
        </w:tc>
        <w:tc>
          <w:tcPr>
            <w:tcW w:w="1558" w:type="dxa"/>
            <w:shd w:val="clear" w:color="auto" w:fill="F2F6FA"/>
            <w:tcMar>
              <w:top w:w="50" w:type="dxa"/>
              <w:left w:w="80" w:type="dxa"/>
              <w:bottom w:w="50" w:type="dxa"/>
              <w:right w:w="80" w:type="dxa"/>
            </w:tcMar>
            <w:vAlign w:val="center"/>
          </w:tcPr>
          <w:p w14:paraId="594B8FFF" w14:textId="77777777" w:rsidR="00DA42E1" w:rsidRPr="00364D6C" w:rsidRDefault="00000000">
            <w:pPr>
              <w:jc w:val="center"/>
              <w:rPr>
                <w:rFonts w:asciiTheme="minorHAnsi" w:hAnsiTheme="minorHAnsi"/>
              </w:rPr>
            </w:pPr>
            <w:r w:rsidRPr="00364D6C">
              <w:rPr>
                <w:rFonts w:asciiTheme="minorHAnsi" w:hAnsiTheme="minorHAnsi"/>
                <w:sz w:val="19"/>
                <w:szCs w:val="19"/>
              </w:rPr>
              <w:t>Q23: B</w:t>
            </w:r>
          </w:p>
        </w:tc>
        <w:tc>
          <w:tcPr>
            <w:tcW w:w="1558" w:type="dxa"/>
            <w:shd w:val="clear" w:color="auto" w:fill="F2F6FA"/>
            <w:tcMar>
              <w:top w:w="50" w:type="dxa"/>
              <w:left w:w="80" w:type="dxa"/>
              <w:bottom w:w="50" w:type="dxa"/>
              <w:right w:w="80" w:type="dxa"/>
            </w:tcMar>
            <w:vAlign w:val="center"/>
          </w:tcPr>
          <w:p w14:paraId="42E00F77" w14:textId="77777777" w:rsidR="00DA42E1" w:rsidRPr="00364D6C" w:rsidRDefault="00000000">
            <w:pPr>
              <w:jc w:val="center"/>
              <w:rPr>
                <w:rFonts w:asciiTheme="minorHAnsi" w:hAnsiTheme="minorHAnsi"/>
              </w:rPr>
            </w:pPr>
            <w:r w:rsidRPr="00364D6C">
              <w:rPr>
                <w:rFonts w:asciiTheme="minorHAnsi" w:hAnsiTheme="minorHAnsi"/>
                <w:sz w:val="19"/>
                <w:szCs w:val="19"/>
              </w:rPr>
              <w:t>Q24: B</w:t>
            </w:r>
          </w:p>
        </w:tc>
      </w:tr>
      <w:tr w:rsidR="00DA42E1" w:rsidRPr="00364D6C" w14:paraId="355583CE"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2050882C" w14:textId="77777777" w:rsidR="00DA42E1" w:rsidRPr="00364D6C" w:rsidRDefault="00000000">
            <w:pPr>
              <w:jc w:val="center"/>
              <w:rPr>
                <w:rFonts w:asciiTheme="minorHAnsi" w:hAnsiTheme="minorHAnsi"/>
              </w:rPr>
            </w:pPr>
            <w:r w:rsidRPr="00364D6C">
              <w:rPr>
                <w:rFonts w:asciiTheme="minorHAnsi" w:hAnsiTheme="minorHAnsi"/>
                <w:sz w:val="19"/>
                <w:szCs w:val="19"/>
              </w:rPr>
              <w:t>Q25: A</w:t>
            </w:r>
          </w:p>
        </w:tc>
        <w:tc>
          <w:tcPr>
            <w:tcW w:w="1558" w:type="dxa"/>
            <w:shd w:val="clear" w:color="auto" w:fill="FFFFFF"/>
            <w:tcMar>
              <w:top w:w="50" w:type="dxa"/>
              <w:left w:w="80" w:type="dxa"/>
              <w:bottom w:w="50" w:type="dxa"/>
              <w:right w:w="80" w:type="dxa"/>
            </w:tcMar>
            <w:vAlign w:val="center"/>
          </w:tcPr>
          <w:p w14:paraId="4C84BD6D" w14:textId="77777777" w:rsidR="00DA42E1" w:rsidRPr="00364D6C" w:rsidRDefault="00000000">
            <w:pPr>
              <w:jc w:val="center"/>
              <w:rPr>
                <w:rFonts w:asciiTheme="minorHAnsi" w:hAnsiTheme="minorHAnsi"/>
              </w:rPr>
            </w:pPr>
            <w:r w:rsidRPr="00364D6C">
              <w:rPr>
                <w:rFonts w:asciiTheme="minorHAnsi" w:hAnsiTheme="minorHAnsi"/>
                <w:sz w:val="19"/>
                <w:szCs w:val="19"/>
              </w:rPr>
              <w:t>Q26: A</w:t>
            </w:r>
          </w:p>
        </w:tc>
        <w:tc>
          <w:tcPr>
            <w:tcW w:w="1558" w:type="dxa"/>
            <w:shd w:val="clear" w:color="auto" w:fill="FFFFFF"/>
            <w:tcMar>
              <w:top w:w="50" w:type="dxa"/>
              <w:left w:w="80" w:type="dxa"/>
              <w:bottom w:w="50" w:type="dxa"/>
              <w:right w:w="80" w:type="dxa"/>
            </w:tcMar>
            <w:vAlign w:val="center"/>
          </w:tcPr>
          <w:p w14:paraId="1B63D657" w14:textId="77777777" w:rsidR="00DA42E1" w:rsidRPr="00364D6C" w:rsidRDefault="00000000">
            <w:pPr>
              <w:jc w:val="center"/>
              <w:rPr>
                <w:rFonts w:asciiTheme="minorHAnsi" w:hAnsiTheme="minorHAnsi"/>
              </w:rPr>
            </w:pPr>
            <w:r w:rsidRPr="00364D6C">
              <w:rPr>
                <w:rFonts w:asciiTheme="minorHAnsi" w:hAnsiTheme="minorHAnsi"/>
                <w:sz w:val="19"/>
                <w:szCs w:val="19"/>
              </w:rPr>
              <w:t>Q27: B</w:t>
            </w:r>
          </w:p>
        </w:tc>
        <w:tc>
          <w:tcPr>
            <w:tcW w:w="1558" w:type="dxa"/>
            <w:shd w:val="clear" w:color="auto" w:fill="FFFFFF"/>
            <w:tcMar>
              <w:top w:w="50" w:type="dxa"/>
              <w:left w:w="80" w:type="dxa"/>
              <w:bottom w:w="50" w:type="dxa"/>
              <w:right w:w="80" w:type="dxa"/>
            </w:tcMar>
            <w:vAlign w:val="center"/>
          </w:tcPr>
          <w:p w14:paraId="602295FB" w14:textId="77777777" w:rsidR="00DA42E1" w:rsidRPr="00364D6C" w:rsidRDefault="00000000">
            <w:pPr>
              <w:jc w:val="center"/>
              <w:rPr>
                <w:rFonts w:asciiTheme="minorHAnsi" w:hAnsiTheme="minorHAnsi"/>
              </w:rPr>
            </w:pPr>
            <w:r w:rsidRPr="00364D6C">
              <w:rPr>
                <w:rFonts w:asciiTheme="minorHAnsi" w:hAnsiTheme="minorHAnsi"/>
                <w:sz w:val="19"/>
                <w:szCs w:val="19"/>
              </w:rPr>
              <w:t>Q28: B</w:t>
            </w:r>
          </w:p>
        </w:tc>
        <w:tc>
          <w:tcPr>
            <w:tcW w:w="1558" w:type="dxa"/>
            <w:shd w:val="clear" w:color="auto" w:fill="FFFFFF"/>
            <w:tcMar>
              <w:top w:w="50" w:type="dxa"/>
              <w:left w:w="80" w:type="dxa"/>
              <w:bottom w:w="50" w:type="dxa"/>
              <w:right w:w="80" w:type="dxa"/>
            </w:tcMar>
            <w:vAlign w:val="center"/>
          </w:tcPr>
          <w:p w14:paraId="29E097E0" w14:textId="77777777" w:rsidR="00DA42E1" w:rsidRPr="00364D6C" w:rsidRDefault="00000000">
            <w:pPr>
              <w:jc w:val="center"/>
              <w:rPr>
                <w:rFonts w:asciiTheme="minorHAnsi" w:hAnsiTheme="minorHAnsi"/>
              </w:rPr>
            </w:pPr>
            <w:r w:rsidRPr="00364D6C">
              <w:rPr>
                <w:rFonts w:asciiTheme="minorHAnsi" w:hAnsiTheme="minorHAnsi"/>
                <w:sz w:val="19"/>
                <w:szCs w:val="19"/>
              </w:rPr>
              <w:t>Q29: A</w:t>
            </w:r>
          </w:p>
        </w:tc>
        <w:tc>
          <w:tcPr>
            <w:tcW w:w="1558" w:type="dxa"/>
            <w:shd w:val="clear" w:color="auto" w:fill="FFFFFF"/>
            <w:tcMar>
              <w:top w:w="50" w:type="dxa"/>
              <w:left w:w="80" w:type="dxa"/>
              <w:bottom w:w="50" w:type="dxa"/>
              <w:right w:w="80" w:type="dxa"/>
            </w:tcMar>
            <w:vAlign w:val="center"/>
          </w:tcPr>
          <w:p w14:paraId="282F301D" w14:textId="77777777" w:rsidR="00DA42E1" w:rsidRPr="00364D6C" w:rsidRDefault="00000000">
            <w:pPr>
              <w:jc w:val="center"/>
              <w:rPr>
                <w:rFonts w:asciiTheme="minorHAnsi" w:hAnsiTheme="minorHAnsi"/>
              </w:rPr>
            </w:pPr>
            <w:r w:rsidRPr="00364D6C">
              <w:rPr>
                <w:rFonts w:asciiTheme="minorHAnsi" w:hAnsiTheme="minorHAnsi"/>
                <w:sz w:val="19"/>
                <w:szCs w:val="19"/>
              </w:rPr>
              <w:t>Q30: A</w:t>
            </w:r>
          </w:p>
        </w:tc>
      </w:tr>
      <w:tr w:rsidR="00DA42E1" w:rsidRPr="00364D6C" w14:paraId="161686BC" w14:textId="77777777">
        <w:tblPrEx>
          <w:tblCellMar>
            <w:top w:w="0" w:type="dxa"/>
            <w:bottom w:w="0" w:type="dxa"/>
          </w:tblCellMar>
        </w:tblPrEx>
        <w:tc>
          <w:tcPr>
            <w:tcW w:w="1558" w:type="dxa"/>
            <w:shd w:val="clear" w:color="auto" w:fill="F2F6FA"/>
            <w:tcMar>
              <w:top w:w="50" w:type="dxa"/>
              <w:left w:w="80" w:type="dxa"/>
              <w:bottom w:w="50" w:type="dxa"/>
              <w:right w:w="80" w:type="dxa"/>
            </w:tcMar>
            <w:vAlign w:val="center"/>
          </w:tcPr>
          <w:p w14:paraId="2CAE4350" w14:textId="77777777" w:rsidR="00DA42E1" w:rsidRPr="00364D6C" w:rsidRDefault="00000000">
            <w:pPr>
              <w:jc w:val="center"/>
              <w:rPr>
                <w:rFonts w:asciiTheme="minorHAnsi" w:hAnsiTheme="minorHAnsi"/>
              </w:rPr>
            </w:pPr>
            <w:r w:rsidRPr="00364D6C">
              <w:rPr>
                <w:rFonts w:asciiTheme="minorHAnsi" w:hAnsiTheme="minorHAnsi"/>
                <w:sz w:val="19"/>
                <w:szCs w:val="19"/>
              </w:rPr>
              <w:t>Q31: B</w:t>
            </w:r>
          </w:p>
        </w:tc>
        <w:tc>
          <w:tcPr>
            <w:tcW w:w="1558" w:type="dxa"/>
            <w:shd w:val="clear" w:color="auto" w:fill="F2F6FA"/>
            <w:tcMar>
              <w:top w:w="50" w:type="dxa"/>
              <w:left w:w="80" w:type="dxa"/>
              <w:bottom w:w="50" w:type="dxa"/>
              <w:right w:w="80" w:type="dxa"/>
            </w:tcMar>
            <w:vAlign w:val="center"/>
          </w:tcPr>
          <w:p w14:paraId="345926DC" w14:textId="77777777" w:rsidR="00DA42E1" w:rsidRPr="00364D6C" w:rsidRDefault="00000000">
            <w:pPr>
              <w:jc w:val="center"/>
              <w:rPr>
                <w:rFonts w:asciiTheme="minorHAnsi" w:hAnsiTheme="minorHAnsi"/>
              </w:rPr>
            </w:pPr>
            <w:r w:rsidRPr="00364D6C">
              <w:rPr>
                <w:rFonts w:asciiTheme="minorHAnsi" w:hAnsiTheme="minorHAnsi"/>
                <w:sz w:val="19"/>
                <w:szCs w:val="19"/>
              </w:rPr>
              <w:t>Q32: B</w:t>
            </w:r>
          </w:p>
        </w:tc>
        <w:tc>
          <w:tcPr>
            <w:tcW w:w="1558" w:type="dxa"/>
            <w:shd w:val="clear" w:color="auto" w:fill="F2F6FA"/>
            <w:tcMar>
              <w:top w:w="50" w:type="dxa"/>
              <w:left w:w="80" w:type="dxa"/>
              <w:bottom w:w="50" w:type="dxa"/>
              <w:right w:w="80" w:type="dxa"/>
            </w:tcMar>
            <w:vAlign w:val="center"/>
          </w:tcPr>
          <w:p w14:paraId="5B3494BF" w14:textId="77777777" w:rsidR="00DA42E1" w:rsidRPr="00364D6C" w:rsidRDefault="00000000">
            <w:pPr>
              <w:jc w:val="center"/>
              <w:rPr>
                <w:rFonts w:asciiTheme="minorHAnsi" w:hAnsiTheme="minorHAnsi"/>
              </w:rPr>
            </w:pPr>
            <w:r w:rsidRPr="00364D6C">
              <w:rPr>
                <w:rFonts w:asciiTheme="minorHAnsi" w:hAnsiTheme="minorHAnsi"/>
                <w:sz w:val="19"/>
                <w:szCs w:val="19"/>
              </w:rPr>
              <w:t>Q33: A</w:t>
            </w:r>
          </w:p>
        </w:tc>
        <w:tc>
          <w:tcPr>
            <w:tcW w:w="1558" w:type="dxa"/>
            <w:shd w:val="clear" w:color="auto" w:fill="F2F6FA"/>
            <w:tcMar>
              <w:top w:w="50" w:type="dxa"/>
              <w:left w:w="80" w:type="dxa"/>
              <w:bottom w:w="50" w:type="dxa"/>
              <w:right w:w="80" w:type="dxa"/>
            </w:tcMar>
            <w:vAlign w:val="center"/>
          </w:tcPr>
          <w:p w14:paraId="0B3B4087" w14:textId="77777777" w:rsidR="00DA42E1" w:rsidRPr="00364D6C" w:rsidRDefault="00000000">
            <w:pPr>
              <w:jc w:val="center"/>
              <w:rPr>
                <w:rFonts w:asciiTheme="minorHAnsi" w:hAnsiTheme="minorHAnsi"/>
              </w:rPr>
            </w:pPr>
            <w:r w:rsidRPr="00364D6C">
              <w:rPr>
                <w:rFonts w:asciiTheme="minorHAnsi" w:hAnsiTheme="minorHAnsi"/>
                <w:sz w:val="19"/>
                <w:szCs w:val="19"/>
              </w:rPr>
              <w:t>Q34: B</w:t>
            </w:r>
          </w:p>
        </w:tc>
        <w:tc>
          <w:tcPr>
            <w:tcW w:w="1558" w:type="dxa"/>
            <w:shd w:val="clear" w:color="auto" w:fill="F2F6FA"/>
            <w:tcMar>
              <w:top w:w="50" w:type="dxa"/>
              <w:left w:w="80" w:type="dxa"/>
              <w:bottom w:w="50" w:type="dxa"/>
              <w:right w:w="80" w:type="dxa"/>
            </w:tcMar>
            <w:vAlign w:val="center"/>
          </w:tcPr>
          <w:p w14:paraId="7B27260C" w14:textId="77777777" w:rsidR="00DA42E1" w:rsidRPr="00364D6C" w:rsidRDefault="00000000">
            <w:pPr>
              <w:jc w:val="center"/>
              <w:rPr>
                <w:rFonts w:asciiTheme="minorHAnsi" w:hAnsiTheme="minorHAnsi"/>
              </w:rPr>
            </w:pPr>
            <w:r w:rsidRPr="00364D6C">
              <w:rPr>
                <w:rFonts w:asciiTheme="minorHAnsi" w:hAnsiTheme="minorHAnsi"/>
                <w:sz w:val="19"/>
                <w:szCs w:val="19"/>
              </w:rPr>
              <w:t>Q35: A</w:t>
            </w:r>
          </w:p>
        </w:tc>
        <w:tc>
          <w:tcPr>
            <w:tcW w:w="1558" w:type="dxa"/>
            <w:shd w:val="clear" w:color="auto" w:fill="F2F6FA"/>
            <w:tcMar>
              <w:top w:w="50" w:type="dxa"/>
              <w:left w:w="80" w:type="dxa"/>
              <w:bottom w:w="50" w:type="dxa"/>
              <w:right w:w="80" w:type="dxa"/>
            </w:tcMar>
            <w:vAlign w:val="center"/>
          </w:tcPr>
          <w:p w14:paraId="27EBA49B" w14:textId="77777777" w:rsidR="00DA42E1" w:rsidRPr="00364D6C" w:rsidRDefault="00000000">
            <w:pPr>
              <w:jc w:val="center"/>
              <w:rPr>
                <w:rFonts w:asciiTheme="minorHAnsi" w:hAnsiTheme="minorHAnsi"/>
              </w:rPr>
            </w:pPr>
            <w:r w:rsidRPr="00364D6C">
              <w:rPr>
                <w:rFonts w:asciiTheme="minorHAnsi" w:hAnsiTheme="minorHAnsi"/>
                <w:sz w:val="19"/>
                <w:szCs w:val="19"/>
              </w:rPr>
              <w:t>Q36: B</w:t>
            </w:r>
          </w:p>
        </w:tc>
      </w:tr>
      <w:tr w:rsidR="00DA42E1" w:rsidRPr="00364D6C" w14:paraId="154D9665" w14:textId="77777777">
        <w:tblPrEx>
          <w:tblCellMar>
            <w:top w:w="0" w:type="dxa"/>
            <w:bottom w:w="0" w:type="dxa"/>
          </w:tblCellMar>
        </w:tblPrEx>
        <w:tc>
          <w:tcPr>
            <w:tcW w:w="1558" w:type="dxa"/>
            <w:shd w:val="clear" w:color="auto" w:fill="FFFFFF"/>
            <w:tcMar>
              <w:top w:w="50" w:type="dxa"/>
              <w:left w:w="80" w:type="dxa"/>
              <w:bottom w:w="50" w:type="dxa"/>
              <w:right w:w="80" w:type="dxa"/>
            </w:tcMar>
            <w:vAlign w:val="center"/>
          </w:tcPr>
          <w:p w14:paraId="793B8527" w14:textId="77777777" w:rsidR="00DA42E1" w:rsidRPr="00364D6C" w:rsidRDefault="00000000">
            <w:pPr>
              <w:jc w:val="center"/>
              <w:rPr>
                <w:rFonts w:asciiTheme="minorHAnsi" w:hAnsiTheme="minorHAnsi"/>
              </w:rPr>
            </w:pPr>
            <w:r w:rsidRPr="00364D6C">
              <w:rPr>
                <w:rFonts w:asciiTheme="minorHAnsi" w:hAnsiTheme="minorHAnsi"/>
                <w:sz w:val="19"/>
                <w:szCs w:val="19"/>
              </w:rPr>
              <w:t>Q37: B</w:t>
            </w:r>
          </w:p>
        </w:tc>
        <w:tc>
          <w:tcPr>
            <w:tcW w:w="1558" w:type="dxa"/>
            <w:shd w:val="clear" w:color="auto" w:fill="FFFFFF"/>
            <w:tcMar>
              <w:top w:w="50" w:type="dxa"/>
              <w:left w:w="80" w:type="dxa"/>
              <w:bottom w:w="50" w:type="dxa"/>
              <w:right w:w="80" w:type="dxa"/>
            </w:tcMar>
            <w:vAlign w:val="center"/>
          </w:tcPr>
          <w:p w14:paraId="7B702579" w14:textId="77777777" w:rsidR="00DA42E1" w:rsidRPr="00364D6C" w:rsidRDefault="00000000">
            <w:pPr>
              <w:jc w:val="center"/>
              <w:rPr>
                <w:rFonts w:asciiTheme="minorHAnsi" w:hAnsiTheme="minorHAnsi"/>
              </w:rPr>
            </w:pPr>
            <w:r w:rsidRPr="00364D6C">
              <w:rPr>
                <w:rFonts w:asciiTheme="minorHAnsi" w:hAnsiTheme="minorHAnsi"/>
                <w:sz w:val="19"/>
                <w:szCs w:val="19"/>
              </w:rPr>
              <w:t>Q38: A</w:t>
            </w:r>
          </w:p>
        </w:tc>
        <w:tc>
          <w:tcPr>
            <w:tcW w:w="1558" w:type="dxa"/>
            <w:shd w:val="clear" w:color="auto" w:fill="FFFFFF"/>
            <w:tcMar>
              <w:top w:w="50" w:type="dxa"/>
              <w:left w:w="80" w:type="dxa"/>
              <w:bottom w:w="50" w:type="dxa"/>
              <w:right w:w="80" w:type="dxa"/>
            </w:tcMar>
            <w:vAlign w:val="center"/>
          </w:tcPr>
          <w:p w14:paraId="185A79FC" w14:textId="77777777" w:rsidR="00DA42E1" w:rsidRPr="00364D6C" w:rsidRDefault="00000000">
            <w:pPr>
              <w:jc w:val="center"/>
              <w:rPr>
                <w:rFonts w:asciiTheme="minorHAnsi" w:hAnsiTheme="minorHAnsi"/>
              </w:rPr>
            </w:pPr>
            <w:r w:rsidRPr="00364D6C">
              <w:rPr>
                <w:rFonts w:asciiTheme="minorHAnsi" w:hAnsiTheme="minorHAnsi"/>
                <w:sz w:val="19"/>
                <w:szCs w:val="19"/>
              </w:rPr>
              <w:t>Q39: A</w:t>
            </w:r>
          </w:p>
        </w:tc>
        <w:tc>
          <w:tcPr>
            <w:tcW w:w="1558" w:type="dxa"/>
            <w:shd w:val="clear" w:color="auto" w:fill="FFFFFF"/>
            <w:tcMar>
              <w:top w:w="50" w:type="dxa"/>
              <w:left w:w="80" w:type="dxa"/>
              <w:bottom w:w="50" w:type="dxa"/>
              <w:right w:w="80" w:type="dxa"/>
            </w:tcMar>
            <w:vAlign w:val="center"/>
          </w:tcPr>
          <w:p w14:paraId="62068918" w14:textId="77777777" w:rsidR="00DA42E1" w:rsidRPr="00364D6C" w:rsidRDefault="00000000">
            <w:pPr>
              <w:jc w:val="center"/>
              <w:rPr>
                <w:rFonts w:asciiTheme="minorHAnsi" w:hAnsiTheme="minorHAnsi"/>
              </w:rPr>
            </w:pPr>
            <w:r w:rsidRPr="00364D6C">
              <w:rPr>
                <w:rFonts w:asciiTheme="minorHAnsi" w:hAnsiTheme="minorHAnsi"/>
                <w:sz w:val="19"/>
                <w:szCs w:val="19"/>
              </w:rPr>
              <w:t>Q40: B</w:t>
            </w:r>
          </w:p>
        </w:tc>
        <w:tc>
          <w:tcPr>
            <w:tcW w:w="1558" w:type="dxa"/>
            <w:shd w:val="clear" w:color="auto" w:fill="FFFFFF"/>
            <w:tcMar>
              <w:top w:w="50" w:type="dxa"/>
              <w:left w:w="80" w:type="dxa"/>
              <w:bottom w:w="50" w:type="dxa"/>
              <w:right w:w="80" w:type="dxa"/>
            </w:tcMar>
            <w:vAlign w:val="center"/>
          </w:tcPr>
          <w:p w14:paraId="2FC641AD" w14:textId="77777777" w:rsidR="00DA42E1" w:rsidRPr="00364D6C" w:rsidRDefault="00000000">
            <w:pPr>
              <w:jc w:val="center"/>
              <w:rPr>
                <w:rFonts w:asciiTheme="minorHAnsi" w:hAnsiTheme="minorHAnsi"/>
              </w:rPr>
            </w:pPr>
            <w:r w:rsidRPr="00364D6C">
              <w:rPr>
                <w:rFonts w:asciiTheme="minorHAnsi" w:hAnsiTheme="minorHAnsi"/>
                <w:sz w:val="19"/>
                <w:szCs w:val="19"/>
              </w:rPr>
              <w:t>Q41: A</w:t>
            </w:r>
          </w:p>
        </w:tc>
        <w:tc>
          <w:tcPr>
            <w:tcW w:w="1558" w:type="dxa"/>
            <w:shd w:val="clear" w:color="auto" w:fill="FFFFFF"/>
            <w:tcMar>
              <w:top w:w="50" w:type="dxa"/>
              <w:left w:w="80" w:type="dxa"/>
              <w:bottom w:w="50" w:type="dxa"/>
              <w:right w:w="80" w:type="dxa"/>
            </w:tcMar>
            <w:vAlign w:val="center"/>
          </w:tcPr>
          <w:p w14:paraId="63D24929" w14:textId="77777777" w:rsidR="00DA42E1" w:rsidRPr="00364D6C" w:rsidRDefault="00DA42E1">
            <w:pPr>
              <w:jc w:val="center"/>
              <w:rPr>
                <w:rFonts w:asciiTheme="minorHAnsi" w:hAnsiTheme="minorHAnsi"/>
              </w:rPr>
            </w:pPr>
          </w:p>
        </w:tc>
      </w:tr>
    </w:tbl>
    <w:p w14:paraId="5C8F54C4" w14:textId="77777777" w:rsidR="00806E9F" w:rsidRPr="00364D6C" w:rsidRDefault="00806E9F">
      <w:pPr>
        <w:rPr>
          <w:rFonts w:asciiTheme="minorHAnsi" w:hAnsiTheme="minorHAnsi"/>
        </w:rPr>
      </w:pPr>
    </w:p>
    <w:sectPr w:rsidR="00806E9F" w:rsidRPr="00364D6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FCE2A" w14:textId="77777777" w:rsidR="00806E9F" w:rsidRDefault="00806E9F">
      <w:r>
        <w:separator/>
      </w:r>
    </w:p>
  </w:endnote>
  <w:endnote w:type="continuationSeparator" w:id="0">
    <w:p w14:paraId="66585725" w14:textId="77777777" w:rsidR="00806E9F" w:rsidRDefault="00806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4D4F" w14:textId="77777777" w:rsidR="00DA42E1"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64D6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64D6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C868" w14:textId="77777777" w:rsidR="00806E9F" w:rsidRDefault="00806E9F">
      <w:r>
        <w:separator/>
      </w:r>
    </w:p>
  </w:footnote>
  <w:footnote w:type="continuationSeparator" w:id="0">
    <w:p w14:paraId="13E83D97" w14:textId="77777777" w:rsidR="00806E9F" w:rsidRDefault="00806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98AE" w14:textId="77777777" w:rsidR="00DA42E1" w:rsidRDefault="00000000">
    <w:pPr>
      <w:jc w:val="right"/>
    </w:pPr>
    <w:r>
      <w:rPr>
        <w:color w:val="595959"/>
        <w:sz w:val="16"/>
        <w:szCs w:val="16"/>
      </w:rPr>
      <w:t>DP-203 Original Practice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45682"/>
    <w:multiLevelType w:val="hybridMultilevel"/>
    <w:tmpl w:val="06648E02"/>
    <w:lvl w:ilvl="0" w:tplc="5E787B54">
      <w:start w:val="1"/>
      <w:numFmt w:val="bullet"/>
      <w:lvlText w:val="●"/>
      <w:lvlJc w:val="left"/>
      <w:pPr>
        <w:ind w:left="720" w:hanging="360"/>
      </w:pPr>
    </w:lvl>
    <w:lvl w:ilvl="1" w:tplc="E564C0EC">
      <w:start w:val="1"/>
      <w:numFmt w:val="bullet"/>
      <w:lvlText w:val="○"/>
      <w:lvlJc w:val="left"/>
      <w:pPr>
        <w:ind w:left="1440" w:hanging="360"/>
      </w:pPr>
    </w:lvl>
    <w:lvl w:ilvl="2" w:tplc="AAD63D40">
      <w:start w:val="1"/>
      <w:numFmt w:val="bullet"/>
      <w:lvlText w:val="■"/>
      <w:lvlJc w:val="left"/>
      <w:pPr>
        <w:ind w:left="2160" w:hanging="360"/>
      </w:pPr>
    </w:lvl>
    <w:lvl w:ilvl="3" w:tplc="0B44768A">
      <w:start w:val="1"/>
      <w:numFmt w:val="bullet"/>
      <w:lvlText w:val="●"/>
      <w:lvlJc w:val="left"/>
      <w:pPr>
        <w:ind w:left="2880" w:hanging="360"/>
      </w:pPr>
    </w:lvl>
    <w:lvl w:ilvl="4" w:tplc="0EB6C6CC">
      <w:start w:val="1"/>
      <w:numFmt w:val="bullet"/>
      <w:lvlText w:val="○"/>
      <w:lvlJc w:val="left"/>
      <w:pPr>
        <w:ind w:left="3600" w:hanging="360"/>
      </w:pPr>
    </w:lvl>
    <w:lvl w:ilvl="5" w:tplc="35B490D0">
      <w:start w:val="1"/>
      <w:numFmt w:val="bullet"/>
      <w:lvlText w:val="■"/>
      <w:lvlJc w:val="left"/>
      <w:pPr>
        <w:ind w:left="4320" w:hanging="360"/>
      </w:pPr>
    </w:lvl>
    <w:lvl w:ilvl="6" w:tplc="077205BC">
      <w:start w:val="1"/>
      <w:numFmt w:val="bullet"/>
      <w:lvlText w:val="●"/>
      <w:lvlJc w:val="left"/>
      <w:pPr>
        <w:ind w:left="5040" w:hanging="360"/>
      </w:pPr>
    </w:lvl>
    <w:lvl w:ilvl="7" w:tplc="631EE56E">
      <w:start w:val="1"/>
      <w:numFmt w:val="bullet"/>
      <w:lvlText w:val="●"/>
      <w:lvlJc w:val="left"/>
      <w:pPr>
        <w:ind w:left="5760" w:hanging="360"/>
      </w:pPr>
    </w:lvl>
    <w:lvl w:ilvl="8" w:tplc="3E78EFAE">
      <w:start w:val="1"/>
      <w:numFmt w:val="bullet"/>
      <w:lvlText w:val="●"/>
      <w:lvlJc w:val="left"/>
      <w:pPr>
        <w:ind w:left="6480" w:hanging="360"/>
      </w:pPr>
    </w:lvl>
  </w:abstractNum>
  <w:num w:numId="1" w16cid:durableId="1723284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2E1"/>
    <w:rsid w:val="00364D6C"/>
    <w:rsid w:val="00806E9F"/>
    <w:rsid w:val="00DA42E1"/>
    <w:rsid w:val="00EF3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D309"/>
  <w15:docId w15:val="{433447E5-4F3D-4EEC-BC32-90EEF74C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4D6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5222</Words>
  <Characters>29770</Characters>
  <Application>Microsoft Office Word</Application>
  <DocSecurity>0</DocSecurity>
  <Lines>248</Lines>
  <Paragraphs>69</Paragraphs>
  <ScaleCrop>false</ScaleCrop>
  <Company/>
  <LinksUpToDate>false</LinksUpToDate>
  <CharactersWithSpaces>34923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Vasanth Kumar</cp:lastModifiedBy>
  <cp:revision>2</cp:revision>
  <dcterms:created xsi:type="dcterms:W3CDTF">2026-07-14T09:00:00Z</dcterms:created>
  <dcterms:modified xsi:type="dcterms:W3CDTF">2026-07-14T09:02:00Z</dcterms:modified>
</cp:coreProperties>
</file>