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B40000"/>
          <w:sz w:val="40"/>
        </w:rPr>
        <w:t>Emergency Shutdown Approval Note</w:t>
      </w:r>
    </w:p>
    <w:p>
      <w:pPr>
        <w:jc w:val="center"/>
      </w:pPr>
      <w:r>
        <w:rPr>
          <w:i/>
          <w:sz w:val="20"/>
        </w:rPr>
        <w:t>Refinery Unit 4B — Confidential Engineering Governance Note</w:t>
        <w:br/>
        <w:t>Date: 2026-08-28 08:31:35 UTC</w:t>
      </w:r>
    </w:p>
    <w:p>
      <w:pPr>
        <w:spacing w:after="240"/>
      </w:pPr>
    </w:p>
    <w:p>
      <w:r>
        <w:rPr>
          <w:b/>
          <w:color w:val="C80000"/>
        </w:rPr>
        <w:t>CRITICAL GOVERNANCE ALERT: DISCHARGE PRESSURE EXCEEDANCE</w:t>
        <w:br/>
      </w:r>
      <w:r>
        <w:t>During routine inspection, target equipment 'Pump P-102A' registered an operational discharge pressure of 48.5 BAR, exceeding the mandatory Safety SOP threshold limit of 45.0 BAR by +7.78%.</w:t>
      </w:r>
    </w:p>
    <w:p>
      <w:pPr>
        <w:pStyle w:val="Heading2"/>
      </w:pPr>
      <w:r>
        <w:t>1. Operational Parameters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 Target</w:t>
            </w:r>
          </w:p>
        </w:tc>
        <w:tc>
          <w:tcPr>
            <w:tcW w:type="dxa" w:w="4320"/>
          </w:tcPr>
          <w:p>
            <w:r>
              <w:t>Pump P-102A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Measured Pressure</w:t>
            </w:r>
          </w:p>
        </w:tc>
        <w:tc>
          <w:tcPr>
            <w:tcW w:type="dxa" w:w="4320"/>
          </w:tcPr>
          <w:p>
            <w:r>
              <w:t>48.5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Safety SOP Limit</w:t>
            </w:r>
          </w:p>
        </w:tc>
        <w:tc>
          <w:tcPr>
            <w:tcW w:type="dxa" w:w="4320"/>
          </w:tcPr>
          <w:p>
            <w:r>
              <w:t>45.0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Exceedance Delta</w:t>
            </w:r>
          </w:p>
        </w:tc>
        <w:tc>
          <w:tcPr>
            <w:tcW w:type="dxa" w:w="4320"/>
          </w:tcPr>
          <w:p>
            <w:r>
              <w:t>+3.5 BAR (+7.78%)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Required Action</w:t>
            </w:r>
          </w:p>
        </w:tc>
        <w:tc>
          <w:tcPr>
            <w:tcW w:type="dxa" w:w="4320"/>
          </w:tcPr>
          <w:p>
            <w:r>
              <w:t>Immediate Load Transfer &amp; Isolation</w:t>
            </w:r>
          </w:p>
        </w:tc>
      </w:tr>
    </w:tbl>
    <w:p>
      <w:pPr>
        <w:spacing w:after="240"/>
      </w:pPr>
    </w:p>
    <w:p>
      <w:pPr>
        <w:pStyle w:val="Heading2"/>
      </w:pPr>
      <w:r>
        <w:t>2. Mandatory Corrective Action Plan</w:t>
      </w:r>
    </w:p>
    <w:p>
      <w:pPr>
        <w:pStyle w:val="ListBullet"/>
      </w:pPr>
      <w:r>
        <w:t>1. Initiate immediate electrical and hydraulic isolation of Pump P-102A.</w:t>
      </w:r>
    </w:p>
    <w:p>
      <w:pPr>
        <w:pStyle w:val="ListBullet"/>
      </w:pPr>
      <w:r>
        <w:t>2. Transfer operational load to secondary backup pump P-102B.</w:t>
      </w:r>
    </w:p>
    <w:p>
      <w:pPr>
        <w:pStyle w:val="ListBullet"/>
      </w:pPr>
      <w:r>
        <w:t>3. Conduct full non-destructive testing (NDT) inspection of discharge valve assembly.</w:t>
      </w:r>
    </w:p>
    <w:p>
      <w:pPr>
        <w:pStyle w:val="Heading2"/>
      </w:pPr>
      <w:r>
        <w:t>3. Human-in-the-Loop Sign-Off</w:t>
      </w:r>
    </w:p>
    <w:p>
      <w:r>
        <w:rPr>
          <w:b/>
        </w:rPr>
        <w:t>Approved by: _________________________</w:t>
        <w:br/>
        <w:t>Rajesh Verma — Senior Operations Engineer</w:t>
        <w:br/>
        <w:t>Status: VERIFIED &amp; APPROVED FOR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