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44"/>
          <w:szCs w:val="44"/>
        </w:rPr>
        <w:t xml:space="preserve">MANDATORY KYC DOCUMENTATION</w:t>
      </w:r>
    </w:p>
    <w:p>
      <w:pPr>
        <w:spacing w:after="100"/>
        <w:jc w:val="center"/>
      </w:pPr>
      <w:r>
        <w:rPr>
          <w:b/>
          <w:bCs/>
          <w:color w:val="1F3864"/>
          <w:sz w:val="44"/>
          <w:szCs w:val="44"/>
        </w:rPr>
        <w:t xml:space="preserve">FOR INDIAN BUSINESS STRUCTURES</w:t>
      </w:r>
    </w:p>
    <w:p>
      <w:pPr>
        <w:spacing w:after="400"/>
        <w:jc w:val="center"/>
      </w:pPr>
      <w:r>
        <w:rPr>
          <w:i/>
          <w:iCs/>
          <w:color w:val="2E5395"/>
          <w:sz w:val="26"/>
          <w:szCs w:val="26"/>
        </w:rPr>
        <w:t xml:space="preserve">A Regulatory Research Compendium (Position as of July 2026)</w:t>
      </w:r>
    </w:p>
    <w:p>
      <w:pPr>
        <w:pBdr>
          <w:bottom w:val="single" w:color="AAAAAA" w:sz="6" w:space="1"/>
        </w:pBdr>
        <w:spacing w:after="200"/>
      </w:pPr>
    </w:p>
    <w:p>
      <w:pPr>
        <w:spacing w:after="150"/>
      </w:pPr>
      <w:r>
        <w:rPr>
          <w:sz w:val="21"/>
          <w:szCs w:val="21"/>
        </w:rPr>
        <w:t xml:space="preserve">Scope: Sole Proprietorship · Partnership Firm · Private Limited Company · Limited Liability Partnership (LLP) · One Person Company (OPC) · Trusts, Societies, HUFs, and Section 8 Companies</w:t>
      </w:r>
    </w:p>
    <w:p>
      <w:pPr>
        <w:spacing w:after="150"/>
      </w:pPr>
      <w:r>
        <w:rPr>
          <w:sz w:val="21"/>
          <w:szCs w:val="21"/>
        </w:rPr>
        <w:t xml:space="preserve">Frameworks covered: RBI Master Direction on KYC (2016, as amended up to August 2025) · Prevention of Money-Laundering Act, 2002 &amp; PML (Maintenance of Records) Rules, 2005 · Companies Act, 2013 (MCA/SPICe+/SBO Rules) · GST Registration Rules · UIDAI/PAN norms · RBI Payment Aggregator Directions, 2025 · RBI PPI Master Directions</w:t>
      </w:r>
    </w:p>
    <w:p>
      <w:pPr>
        <w:pageBreakBefore/>
      </w:pPr>
    </w:p>
    <w:p>
      <w:pPr>
        <w:pStyle w:val="Heading1"/>
        <w:spacing w:after="200" w:before="400"/>
      </w:pPr>
      <w:r>
        <w:t xml:space="preserve">1. Executive Summary</w:t>
      </w:r>
    </w:p>
    <w:p>
      <w:pPr>
        <w:spacing w:after="150"/>
      </w:pPr>
      <w:r>
        <w:t xml:space="preserve">Know-Your-Customer (KYC) documentation for an Indian business is not a single, uniform checklist. It is layered across at least four overlapping regulatory regimes — banking/RBI KYC, the Ministry of Corporate Affairs (MCA) incorporation regime, GST registration, and (where applicable) payment-system-specific onboarding under RBI's Payment Aggregator and Prepaid Payment Instrument Directions. The core legal foundation for financial-sector KYC is the Reserve Bank of India (Know Your Customer) Directions, 2016, issued under the Prevention of Money-Laundering Act, 2002 (PMLA) and the PML (Maintenance of Records) Rules, 2005. This Master Direction has been amended repeatedly through 2023–2025, most recently on 14 August 2025, and further amendments extending low-risk customer KYC-update timelines apply until 30 June 2026 or later.</w:t>
      </w:r>
    </w:p>
    <w:p>
      <w:pPr>
        <w:spacing w:after="150"/>
      </w:pPr>
      <w:r>
        <w:t xml:space="preserve">The single most important structural fact is this: banking/RBI KYC requirements do not vary by 'business type' in isolation — they vary by legal-person category. The RBI Master Direction recognises exactly four legal-person categories for entity KYC: (i) individuals/sole proprietors, (ii) companies, (iii) partnership firms, and (iv) 'unincorporated associations or bodies of individuals' (which includes trusts, societies, and other juridical persons, each with its own document list). A Private Limited Company, OPC, and Section 8 Company are all 'companies' for RBI KYC purposes and face an identical document list under Paragraph 30 of the Master Direction, even though their MCA incorporation paperwork differs substantially. An LLP is legally a body corporate but is documented, in practice, using a hybrid of the partnership-firm and company document sets, since it has both a partnership-style agreement and a certificate of incorporation.</w:t>
      </w:r>
    </w:p>
    <w:p>
      <w:pPr>
        <w:spacing w:after="150"/>
      </w:pPr>
      <w:r>
        <w:t xml:space="preserve">This report separates requirements along the ten dimensions requested: KYC by business structure, mandatory vs conditional documents, verification categories (identity, address, owner/director, authorised signatory, beneficial owner), differences between RBI/banking KYC and payment-gateway/fintech onboarding, document validity rules, mandatory/recommended/conditional/alternative classification, a cross-structure comparison matrix, common vs structure-specific documents, and a fully cited reference list.</w:t>
      </w:r>
    </w:p>
    <w:p>
      <w:pPr>
        <w:spacing w:after="150"/>
      </w:pPr>
      <w:r>
        <w:t xml:space="preserve">Key 2025–2026 regulatory developments incorporated in this research:</w:t>
      </w:r>
    </w:p>
    <w:p>
      <w:pPr>
        <w:pStyle w:val="ListParagraph"/>
        <w:numPr>
          <w:ilvl w:val="0"/>
          <w:numId w:val="1"/>
        </w:numPr>
        <w:spacing w:after="80"/>
      </w:pPr>
      <w:r>
        <w:t xml:space="preserve">RBI (KYC) (Amendment) Directions, 2025 (12 June 2025) and RBI (KYC) (2nd Amendment) Directions, 2025 (14 August 2025) — extending periodic KYC-updation timelines for low-risk individual customers to the later of one year past due date or 30 June 2026, and formalising Business-Correspondent-assisted self-declaration for KYC updation.</w:t>
      </w:r>
    </w:p>
    <w:p>
      <w:pPr>
        <w:pStyle w:val="ListParagraph"/>
        <w:numPr>
          <w:ilvl w:val="0"/>
          <w:numId w:val="1"/>
        </w:numPr>
        <w:spacing w:after="80"/>
      </w:pPr>
      <w:r>
        <w:t xml:space="preserve">Reserve Bank of India (Regulation of Payment Aggregators) Directions, 2025 (15 September 2025) — consolidating online, physical (PA-P) and cross-border (PA-CB) payment aggregator regulation into one framework, mandating use of the Central KYC Records Registry (CKYCR) for merchant KYC, and introducing a simplified due-diligence route for merchants with turnover below ₹40 lakh (or export turnover below ₹5 lakh).</w:t>
      </w:r>
    </w:p>
    <w:p>
      <w:pPr>
        <w:pStyle w:val="ListParagraph"/>
        <w:numPr>
          <w:ilvl w:val="0"/>
          <w:numId w:val="1"/>
        </w:numPr>
        <w:spacing w:after="80"/>
      </w:pPr>
      <w:r>
        <w:t xml:space="preserve">Draft RBI Master Direction on Prepaid Payment Instruments (PPIs), 2026 (released 22 April 2026, comments closed 22 May 2026) — proposed revision of the 2021 PPI Master Direction; not yet finalised as of the current knowledge position, so the 2021 PPI MD (Full-KYC PPI / Small PPI framework) remains operative law.</w:t>
      </w:r>
    </w:p>
    <w:p>
      <w:pPr>
        <w:pStyle w:val="ListParagraph"/>
        <w:numPr>
          <w:ilvl w:val="0"/>
          <w:numId w:val="1"/>
        </w:numPr>
        <w:spacing w:after="80"/>
      </w:pPr>
      <w:r>
        <w:t xml:space="preserve">Companies (Significant Beneficial Owners) Amendment Rules, 2024 — revised Form BEN-2 for reporting individuals holding ≥10% direct/indirect beneficial interest, voting rights, or control in a reporting company.</w:t>
      </w:r>
    </w:p>
    <w:p>
      <w:pPr>
        <w:pStyle w:val="ListParagraph"/>
        <w:numPr>
          <w:ilvl w:val="0"/>
          <w:numId w:val="1"/>
        </w:numPr>
        <w:spacing w:after="80"/>
      </w:pPr>
      <w:r>
        <w:t xml:space="preserve">SPICe+ / AGILE-PRO-S remains the single-window MCA portal for name reservation, incorporation, DIN, PAN, TAN, GST, EPFO, ESIC and bank-account facilitation for all company types (Pvt Ltd, OPC, Public Ltd, Section 8).</w:t>
      </w:r>
    </w:p>
    <w:p>
      <w:pPr>
        <w:pageBreakBefore/>
      </w:pPr>
    </w:p>
    <w:p>
      <w:pPr>
        <w:pStyle w:val="Heading1"/>
        <w:spacing w:after="200" w:before="400"/>
      </w:pPr>
      <w:r>
        <w:t xml:space="preserve">2. Source Credibility Rating</w:t>
      </w:r>
    </w:p>
    <w:p>
      <w:pPr>
        <w:spacing w:after="150"/>
      </w:pPr>
      <w:r>
        <w:t xml:space="preserve">Every factual claim in this report is traceable to one of the sources below. Government/regulator primary sources are weighted highest; professional-services and legal-commentary sources are used only to explain, cross-verify, or summarise the primary regulation, and are flagged accordingly.</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400"/>
        <w:gridCol w:w="4800"/>
      </w:tblGrid>
      <w:tr>
        <w:trPr>
          <w:tblHeader/>
        </w:trPr>
        <w:tc>
          <w:tcPr>
            <w:tcW w:type="dxa" w:w="3200"/>
            <w:shd w:fill="1F3864"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Type</w:t>
            </w:r>
          </w:p>
        </w:tc>
        <w:tc>
          <w:tcPr>
            <w:tcW w:type="dxa" w:w="1400"/>
            <w:shd w:fill="1F3864" w:val="clear"/>
            <w:tcMar>
              <w:top w:type="dxa" w:w="60"/>
              <w:left w:type="dxa" w:w="100"/>
              <w:bottom w:type="dxa" w:w="60"/>
              <w:right w:type="dxa" w:w="100"/>
            </w:tcMar>
            <w:vAlign w:val="center"/>
          </w:tcPr>
          <w:p>
            <w:pPr>
              <w:jc w:val="center"/>
            </w:pPr>
            <w:r>
              <w:rPr>
                <w:b/>
                <w:bCs/>
                <w:color w:val="FFFFFF"/>
                <w:sz w:val="19"/>
                <w:szCs w:val="19"/>
              </w:rPr>
              <w:t xml:space="preserve">Credibility</w:t>
            </w:r>
          </w:p>
        </w:tc>
        <w:tc>
          <w:tcPr>
            <w:tcW w:type="dxa" w:w="4800"/>
            <w:shd w:fill="1F3864" w:val="clear"/>
            <w:tcMar>
              <w:top w:type="dxa" w:w="60"/>
              <w:left w:type="dxa" w:w="100"/>
              <w:bottom w:type="dxa" w:w="60"/>
              <w:right w:type="dxa" w:w="100"/>
            </w:tcMar>
            <w:vAlign w:val="center"/>
          </w:tcPr>
          <w:p>
            <w:pPr>
              <w:jc w:val="center"/>
            </w:pPr>
            <w:r>
              <w:rPr>
                <w:b/>
                <w:bCs/>
                <w:color w:val="FFFFFF"/>
                <w:sz w:val="19"/>
                <w:szCs w:val="19"/>
              </w:rPr>
              <w:t xml:space="preserve">Basis for Rating</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RBI Master Direction – KYC, 2016 (updated to 14 Aug 2025), rbi.org.in</w:t>
            </w:r>
          </w:p>
        </w:tc>
        <w:tc>
          <w:tcPr>
            <w:tcW w:type="dxa" w:w="2600"/>
            <w:tcMar>
              <w:top w:type="dxa" w:w="60"/>
              <w:left w:type="dxa" w:w="100"/>
              <w:bottom w:type="dxa" w:w="60"/>
              <w:right w:type="dxa" w:w="100"/>
            </w:tcMar>
            <w:vAlign w:val="center"/>
          </w:tcPr>
          <w:p>
            <w:pPr>
              <w:jc w:val="left"/>
            </w:pPr>
            <w:r>
              <w:rPr>
                <w:b w:val="false"/>
                <w:bCs w:val="false"/>
                <w:sz w:val="19"/>
                <w:szCs w:val="19"/>
              </w:rPr>
              <w:t xml:space="preserve">Primary regulator (RBI)</w:t>
            </w:r>
          </w:p>
        </w:tc>
        <w:tc>
          <w:tcPr>
            <w:tcW w:type="dxa" w:w="1400"/>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tcMar>
              <w:top w:type="dxa" w:w="60"/>
              <w:left w:type="dxa" w:w="100"/>
              <w:bottom w:type="dxa" w:w="60"/>
              <w:right w:type="dxa" w:w="100"/>
            </w:tcMar>
            <w:vAlign w:val="center"/>
          </w:tcPr>
          <w:p>
            <w:pPr>
              <w:jc w:val="left"/>
            </w:pPr>
            <w:r>
              <w:rPr>
                <w:b w:val="false"/>
                <w:bCs w:val="false"/>
                <w:sz w:val="19"/>
                <w:szCs w:val="19"/>
              </w:rPr>
              <w:t xml:space="preserve">Binding legal instrument issued under PMLA/PML Rules, Banking Regulation Act and PSS Act; directly quoted/cited throughout Sections 3–6.</w:t>
            </w:r>
          </w:p>
        </w:tc>
      </w:tr>
      <w:tr>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RBI (KYC) Amendment Directions, 2025 (12 Jun &amp; 14 Aug 2025), FIDC/PDICAI mirrors of RBI notification</w:t>
            </w:r>
          </w:p>
        </w:tc>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Primary regulator (RBI)</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shd w:fill="F2F2F2" w:val="clear"/>
            <w:tcMar>
              <w:top w:type="dxa" w:w="60"/>
              <w:left w:type="dxa" w:w="100"/>
              <w:bottom w:type="dxa" w:w="60"/>
              <w:right w:type="dxa" w:w="100"/>
            </w:tcMar>
            <w:vAlign w:val="center"/>
          </w:tcPr>
          <w:p>
            <w:pPr>
              <w:jc w:val="left"/>
            </w:pPr>
            <w:r>
              <w:rPr>
                <w:b w:val="false"/>
                <w:bCs w:val="false"/>
                <w:sz w:val="19"/>
                <w:szCs w:val="19"/>
              </w:rPr>
              <w:t xml:space="preserve">Official notification numbers (DOR.AML.REC.30 &amp; 46/14.01.001/2025-26) reproduced by professional bodies hosting the RBI PDF verbatim.</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RBI (Regulation of Payment Aggregators) Directions, 2025</w:t>
            </w:r>
          </w:p>
        </w:tc>
        <w:tc>
          <w:tcPr>
            <w:tcW w:type="dxa" w:w="2600"/>
            <w:tcMar>
              <w:top w:type="dxa" w:w="60"/>
              <w:left w:type="dxa" w:w="100"/>
              <w:bottom w:type="dxa" w:w="60"/>
              <w:right w:type="dxa" w:w="100"/>
            </w:tcMar>
            <w:vAlign w:val="center"/>
          </w:tcPr>
          <w:p>
            <w:pPr>
              <w:jc w:val="left"/>
            </w:pPr>
            <w:r>
              <w:rPr>
                <w:b w:val="false"/>
                <w:bCs w:val="false"/>
                <w:sz w:val="19"/>
                <w:szCs w:val="19"/>
              </w:rPr>
              <w:t xml:space="preserve">Primary regulator (RBI)</w:t>
            </w:r>
          </w:p>
        </w:tc>
        <w:tc>
          <w:tcPr>
            <w:tcW w:type="dxa" w:w="1400"/>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tcMar>
              <w:top w:type="dxa" w:w="60"/>
              <w:left w:type="dxa" w:w="100"/>
              <w:bottom w:type="dxa" w:w="60"/>
              <w:right w:type="dxa" w:w="100"/>
            </w:tcMar>
            <w:vAlign w:val="center"/>
          </w:tcPr>
          <w:p>
            <w:pPr>
              <w:jc w:val="left"/>
            </w:pPr>
            <w:r>
              <w:rPr>
                <w:b w:val="false"/>
                <w:bCs w:val="false"/>
                <w:sz w:val="19"/>
                <w:szCs w:val="19"/>
              </w:rPr>
              <w:t xml:space="preserve">Consolidated PA framework superseding 2020 Guidelines; sourced via law-firm mirrors of the official RBI circular text.</w:t>
            </w:r>
          </w:p>
        </w:tc>
      </w:tr>
      <w:tr>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MCA — SPICe+ / AGILE-PRO-S FAQs (mca.gov.in)</w:t>
            </w:r>
          </w:p>
        </w:tc>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Primary regulator (MCA)</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shd w:fill="F2F2F2" w:val="clear"/>
            <w:tcMar>
              <w:top w:type="dxa" w:w="60"/>
              <w:left w:type="dxa" w:w="100"/>
              <w:bottom w:type="dxa" w:w="60"/>
              <w:right w:type="dxa" w:w="100"/>
            </w:tcMar>
            <w:vAlign w:val="center"/>
          </w:tcPr>
          <w:p>
            <w:pPr>
              <w:jc w:val="left"/>
            </w:pPr>
            <w:r>
              <w:rPr>
                <w:b w:val="false"/>
                <w:bCs w:val="false"/>
                <w:sz w:val="19"/>
                <w:szCs w:val="19"/>
              </w:rPr>
              <w:t xml:space="preserve">Official Ministry of Corporate Affairs FAQ document on incorporation forms and attachments.</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Companies Act, 2013 §90 &amp; Companies (Significant Beneficial Owners) Rules, 2018 (as amended 2019, 2024)</w:t>
            </w:r>
          </w:p>
        </w:tc>
        <w:tc>
          <w:tcPr>
            <w:tcW w:type="dxa" w:w="2600"/>
            <w:tcMar>
              <w:top w:type="dxa" w:w="60"/>
              <w:left w:type="dxa" w:w="100"/>
              <w:bottom w:type="dxa" w:w="60"/>
              <w:right w:type="dxa" w:w="100"/>
            </w:tcMar>
            <w:vAlign w:val="center"/>
          </w:tcPr>
          <w:p>
            <w:pPr>
              <w:jc w:val="left"/>
            </w:pPr>
            <w:r>
              <w:rPr>
                <w:b w:val="false"/>
                <w:bCs w:val="false"/>
                <w:sz w:val="19"/>
                <w:szCs w:val="19"/>
              </w:rPr>
              <w:t xml:space="preserve">Primary legislation/rules (MCA)</w:t>
            </w:r>
          </w:p>
        </w:tc>
        <w:tc>
          <w:tcPr>
            <w:tcW w:type="dxa" w:w="1400"/>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tcMar>
              <w:top w:type="dxa" w:w="60"/>
              <w:left w:type="dxa" w:w="100"/>
              <w:bottom w:type="dxa" w:w="60"/>
              <w:right w:type="dxa" w:w="100"/>
            </w:tcMar>
            <w:vAlign w:val="center"/>
          </w:tcPr>
          <w:p>
            <w:pPr>
              <w:jc w:val="left"/>
            </w:pPr>
            <w:r>
              <w:rPr>
                <w:b w:val="false"/>
                <w:bCs w:val="false"/>
                <w:sz w:val="19"/>
                <w:szCs w:val="19"/>
              </w:rPr>
              <w:t xml:space="preserve">Statutory text and rule provisions reproduced in Ready Reckoner/ICSI commentary with section-numbered citations.</w:t>
            </w:r>
          </w:p>
        </w:tc>
      </w:tr>
      <w:tr>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GST Portal — Official Document Checklist for GST Registration (tutorial.gst.gov.in, GSTN)</w:t>
            </w:r>
          </w:p>
        </w:tc>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Primary regulator (GSTN/CBIC)</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shd w:fill="F2F2F2" w:val="clear"/>
            <w:tcMar>
              <w:top w:type="dxa" w:w="60"/>
              <w:left w:type="dxa" w:w="100"/>
              <w:bottom w:type="dxa" w:w="60"/>
              <w:right w:type="dxa" w:w="100"/>
            </w:tcMar>
            <w:vAlign w:val="center"/>
          </w:tcPr>
          <w:p>
            <w:pPr>
              <w:jc w:val="left"/>
            </w:pPr>
            <w:r>
              <w:rPr>
                <w:b w:val="false"/>
                <w:bCs w:val="false"/>
                <w:sz w:val="19"/>
                <w:szCs w:val="19"/>
              </w:rPr>
              <w:t xml:space="preserve">Official GSTN training-portal PDF listing document types, formats and size limits for REG-01 filings.</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PMLA, 2002 &amp; PML (Maintenance of Records) Rules, 2005</w:t>
            </w:r>
          </w:p>
        </w:tc>
        <w:tc>
          <w:tcPr>
            <w:tcW w:type="dxa" w:w="2600"/>
            <w:tcMar>
              <w:top w:type="dxa" w:w="60"/>
              <w:left w:type="dxa" w:w="100"/>
              <w:bottom w:type="dxa" w:w="60"/>
              <w:right w:type="dxa" w:w="100"/>
            </w:tcMar>
            <w:vAlign w:val="center"/>
          </w:tcPr>
          <w:p>
            <w:pPr>
              <w:jc w:val="left"/>
            </w:pPr>
            <w:r>
              <w:rPr>
                <w:b w:val="false"/>
                <w:bCs w:val="false"/>
                <w:sz w:val="19"/>
                <w:szCs w:val="19"/>
              </w:rPr>
              <w:t xml:space="preserve">Primary legislation</w:t>
            </w:r>
          </w:p>
        </w:tc>
        <w:tc>
          <w:tcPr>
            <w:tcW w:type="dxa" w:w="1400"/>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tcMar>
              <w:top w:type="dxa" w:w="60"/>
              <w:left w:type="dxa" w:w="100"/>
              <w:bottom w:type="dxa" w:w="60"/>
              <w:right w:type="dxa" w:w="100"/>
            </w:tcMar>
            <w:vAlign w:val="center"/>
          </w:tcPr>
          <w:p>
            <w:pPr>
              <w:jc w:val="left"/>
            </w:pPr>
            <w:r>
              <w:rPr>
                <w:b w:val="false"/>
                <w:bCs w:val="false"/>
                <w:sz w:val="19"/>
                <w:szCs w:val="19"/>
              </w:rPr>
              <w:t xml:space="preserve">Statutory basis for all RE KYC obligations; referenced via RBI MD text which quotes the Act/Rules directly.</w:t>
            </w:r>
          </w:p>
        </w:tc>
      </w:tr>
      <w:tr>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Aadhaar (Targeted Delivery of Financial and Other Subsidies, Benefits and Services) Act, 2016 / UIDAI framework</w:t>
            </w:r>
          </w:p>
        </w:tc>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Primary legislation/regulator (UIDAI)</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High</w:t>
            </w:r>
          </w:p>
        </w:tc>
        <w:tc>
          <w:tcPr>
            <w:tcW w:type="dxa" w:w="4800"/>
            <w:shd w:fill="F2F2F2" w:val="clear"/>
            <w:tcMar>
              <w:top w:type="dxa" w:w="60"/>
              <w:left w:type="dxa" w:w="100"/>
              <w:bottom w:type="dxa" w:w="60"/>
              <w:right w:type="dxa" w:w="100"/>
            </w:tcMar>
            <w:vAlign w:val="center"/>
          </w:tcPr>
          <w:p>
            <w:pPr>
              <w:jc w:val="left"/>
            </w:pPr>
            <w:r>
              <w:rPr>
                <w:b w:val="false"/>
                <w:bCs w:val="false"/>
                <w:sz w:val="19"/>
                <w:szCs w:val="19"/>
              </w:rPr>
              <w:t xml:space="preserve">Statutory definitions of Aadhaar, offline verification and e-KYC referenced within the RBI KYC MD itself.</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Law-firm/Big-4 client alerts (AZB, Trilegal, Khaitan, Juris Corp, S.S. Rana, AKA &amp; Partners, Lexology summaries)</w:t>
            </w:r>
          </w:p>
        </w:tc>
        <w:tc>
          <w:tcPr>
            <w:tcW w:type="dxa" w:w="2600"/>
            <w:tcMar>
              <w:top w:type="dxa" w:w="60"/>
              <w:left w:type="dxa" w:w="100"/>
              <w:bottom w:type="dxa" w:w="60"/>
              <w:right w:type="dxa" w:w="100"/>
            </w:tcMar>
            <w:vAlign w:val="center"/>
          </w:tcPr>
          <w:p>
            <w:pPr>
              <w:jc w:val="left"/>
            </w:pPr>
            <w:r>
              <w:rPr>
                <w:b w:val="false"/>
                <w:bCs w:val="false"/>
                <w:sz w:val="19"/>
                <w:szCs w:val="19"/>
              </w:rPr>
              <w:t xml:space="preserve">Secondary — legal commentary</w:t>
            </w:r>
          </w:p>
        </w:tc>
        <w:tc>
          <w:tcPr>
            <w:tcW w:type="dxa" w:w="1400"/>
            <w:tcMar>
              <w:top w:type="dxa" w:w="60"/>
              <w:left w:type="dxa" w:w="100"/>
              <w:bottom w:type="dxa" w:w="60"/>
              <w:right w:type="dxa" w:w="100"/>
            </w:tcMar>
            <w:vAlign w:val="center"/>
          </w:tcPr>
          <w:p>
            <w:pPr>
              <w:jc w:val="left"/>
            </w:pPr>
            <w:r>
              <w:rPr>
                <w:b w:val="false"/>
                <w:bCs w:val="false"/>
                <w:sz w:val="19"/>
                <w:szCs w:val="19"/>
              </w:rPr>
              <w:t xml:space="preserve">Medium-High</w:t>
            </w:r>
          </w:p>
        </w:tc>
        <w:tc>
          <w:tcPr>
            <w:tcW w:type="dxa" w:w="4800"/>
            <w:tcMar>
              <w:top w:type="dxa" w:w="60"/>
              <w:left w:type="dxa" w:w="100"/>
              <w:bottom w:type="dxa" w:w="60"/>
              <w:right w:type="dxa" w:w="100"/>
            </w:tcMar>
            <w:vAlign w:val="center"/>
          </w:tcPr>
          <w:p>
            <w:pPr>
              <w:jc w:val="left"/>
            </w:pPr>
            <w:r>
              <w:rPr>
                <w:b w:val="false"/>
                <w:bCs w:val="false"/>
                <w:sz w:val="19"/>
                <w:szCs w:val="19"/>
              </w:rPr>
              <w:t xml:space="preserve">Reputable Indian law firms summarising primary RBI/MCA instruments; used only to corroborate or explain, never as sole authority; cross-checked against primary text where fetched directly.</w:t>
            </w:r>
          </w:p>
        </w:tc>
      </w:tr>
      <w:tr>
        <w:tc>
          <w:tcPr>
            <w:tcW w:type="dxa" w:w="3200"/>
            <w:shd w:fill="F2F2F2" w:val="clear"/>
            <w:tcMar>
              <w:top w:type="dxa" w:w="60"/>
              <w:left w:type="dxa" w:w="100"/>
              <w:bottom w:type="dxa" w:w="60"/>
              <w:right w:type="dxa" w:w="100"/>
            </w:tcMar>
            <w:vAlign w:val="center"/>
          </w:tcPr>
          <w:p>
            <w:pPr>
              <w:jc w:val="left"/>
            </w:pPr>
            <w:r>
              <w:rPr>
                <w:b w:val="false"/>
                <w:bCs w:val="false"/>
                <w:sz w:val="19"/>
                <w:szCs w:val="19"/>
              </w:rPr>
              <w:t xml:space="preserve">Company-registration service providers (LegalWiz, Vakilsearch, ClearTax, IndiaFilings, EbizFiling, TaxGuru, Enkash, DisyTax, TaxAj, Aditya Birla Capital, Patron Accounting, Legal Suvidha, K M Gatecha &amp; Co)</w:t>
            </w:r>
          </w:p>
        </w:tc>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Secondary — industry/compliance blogs</w:t>
            </w:r>
          </w:p>
        </w:tc>
        <w:tc>
          <w:tcPr>
            <w:tcW w:type="dxa" w:w="1400"/>
            <w:shd w:fill="F2F2F2" w:val="clear"/>
            <w:tcMar>
              <w:top w:type="dxa" w:w="60"/>
              <w:left w:type="dxa" w:w="100"/>
              <w:bottom w:type="dxa" w:w="60"/>
              <w:right w:type="dxa" w:w="100"/>
            </w:tcMar>
            <w:vAlign w:val="center"/>
          </w:tcPr>
          <w:p>
            <w:pPr>
              <w:jc w:val="left"/>
            </w:pPr>
            <w:r>
              <w:rPr>
                <w:b w:val="false"/>
                <w:bCs w:val="false"/>
                <w:sz w:val="19"/>
                <w:szCs w:val="19"/>
              </w:rPr>
              <w:t xml:space="preserve">Medium</w:t>
            </w:r>
          </w:p>
        </w:tc>
        <w:tc>
          <w:tcPr>
            <w:tcW w:type="dxa" w:w="4800"/>
            <w:shd w:fill="F2F2F2" w:val="clear"/>
            <w:tcMar>
              <w:top w:type="dxa" w:w="60"/>
              <w:left w:type="dxa" w:w="100"/>
              <w:bottom w:type="dxa" w:w="60"/>
              <w:right w:type="dxa" w:w="100"/>
            </w:tcMar>
            <w:vAlign w:val="center"/>
          </w:tcPr>
          <w:p>
            <w:pPr>
              <w:jc w:val="left"/>
            </w:pPr>
            <w:r>
              <w:rPr>
                <w:b w:val="false"/>
                <w:bCs w:val="false"/>
                <w:sz w:val="19"/>
                <w:szCs w:val="19"/>
              </w:rPr>
              <w:t xml:space="preserve">Non-official but domain-specialist sources used to fill practical/operational detail (e.g., file-size limits, day-to-day document checklists) not spelt out verbatim in primary text; treated as illustrative, not authoritative, and cross-checked against MCA/GST primary sources wherever they overlapped.</w:t>
            </w:r>
          </w:p>
        </w:tc>
      </w:tr>
    </w:tbl>
    <w:p>
      <w:pPr>
        <w:spacing w:after="200"/>
      </w:pPr>
      <w:r>
        <w:rPr>
          <w:i/>
          <w:iCs/>
          <w:color w:val="555555"/>
          <w:sz w:val="18"/>
          <w:szCs w:val="18"/>
        </w:rPr>
        <w:t xml:space="preserve">Note on rating methodology: 'High' = government/regulator-issued primary legal instrument. 'Medium-High' = professional legal advisory summarising a named, dated primary instrument, independently corroborated. 'Medium' = commercial/compliance-service content used only for operational granularity (e.g., file formats), never for a legal threshold, definition, or obligation.</w:t>
      </w:r>
    </w:p>
    <w:p>
      <w:pPr>
        <w:pageBreakBefore/>
      </w:pPr>
    </w:p>
    <w:p>
      <w:pPr>
        <w:pStyle w:val="Heading1"/>
        <w:spacing w:after="200" w:before="400"/>
      </w:pPr>
      <w:r>
        <w:t xml:space="preserve">3. Regulatory Framework Overview</w:t>
      </w:r>
    </w:p>
    <w:p>
      <w:pPr>
        <w:pStyle w:val="Heading2"/>
        <w:spacing w:after="150" w:before="300"/>
      </w:pPr>
      <w:r>
        <w:t xml:space="preserve">3.1 Why there is no single 'KYC list' in India</w:t>
      </w:r>
    </w:p>
    <w:p>
      <w:pPr>
        <w:spacing w:after="150"/>
      </w:pPr>
      <w:r>
        <w:t xml:space="preserve">Four regulators/statutes independently prescribe document requirements that a business will encounter, usually at different points in its lifecycle:</w:t>
      </w:r>
    </w:p>
    <w:p>
      <w:pPr>
        <w:pStyle w:val="ListParagraph"/>
        <w:numPr>
          <w:ilvl w:val="0"/>
          <w:numId w:val="1"/>
        </w:numPr>
        <w:spacing w:after="80"/>
      </w:pPr>
      <w:r>
        <w:t xml:space="preserve">MCA (Companies Act, 2013 / LLP Act, 2008) — governs entity formation documents (Certificate of Incorporation, MOA/AOA, LLP Agreement, DIN/DPIN, SBO declarations).</w:t>
      </w:r>
    </w:p>
    <w:p>
      <w:pPr>
        <w:pStyle w:val="ListParagraph"/>
        <w:numPr>
          <w:ilvl w:val="0"/>
          <w:numId w:val="1"/>
        </w:numPr>
        <w:spacing w:after="80"/>
      </w:pPr>
      <w:r>
        <w:t xml:space="preserve">RBI (PMLA-linked KYC Master Direction, PPI Directions, Payment Aggregator Directions) — governs identity/address/beneficial-owner verification for opening bank accounts, PPIs, and payment-system merchant relationships.</w:t>
      </w:r>
    </w:p>
    <w:p>
      <w:pPr>
        <w:pStyle w:val="ListParagraph"/>
        <w:numPr>
          <w:ilvl w:val="0"/>
          <w:numId w:val="1"/>
        </w:numPr>
        <w:spacing w:after="80"/>
      </w:pPr>
      <w:r>
        <w:t xml:space="preserve">GSTN/CBIC (CGST Act &amp; Rules, REG-01 process) — governs tax-registration documentation, generally overlapping with but not identical to bank KYC.</w:t>
      </w:r>
    </w:p>
    <w:p>
      <w:pPr>
        <w:pStyle w:val="ListParagraph"/>
        <w:numPr>
          <w:ilvl w:val="0"/>
          <w:numId w:val="1"/>
        </w:numPr>
        <w:spacing w:after="80"/>
      </w:pPr>
      <w:r>
        <w:t xml:space="preserve">UIDAI (Aadhaar Act, 2016) — governs the technical/legal validity of Aadhaar-based identity/address verification (Aadhaar, offline XML/QR verification, Aadhaar OTP e-KYC, Digital KYC, V-CIP).</w:t>
      </w:r>
    </w:p>
    <w:p>
      <w:pPr>
        <w:pStyle w:val="Heading2"/>
        <w:spacing w:after="150" w:before="300"/>
      </w:pPr>
      <w:r>
        <w:t xml:space="preserve">3.2 The RBI KYC Master Direction — structure relevant to businesses</w:t>
      </w:r>
    </w:p>
    <w:p>
      <w:pPr>
        <w:spacing w:after="150"/>
      </w:pPr>
      <w:r>
        <w:t xml:space="preserve">The Reserve Bank of India (Know Your Customer) Directions, 2016 (RBI/DBR/2015-16/18, updated as on 14 August 2025) is the controlling instrument for all banks, NBFCs, Payment System Providers/Participants and Prepaid Payment Instrument issuers ('Regulated Entities' or REs). Its Customer Due Diligence chapter (Chapter VI) is organised exactly along legal-person lines:</w:t>
      </w:r>
    </w:p>
    <w:p>
      <w:pPr>
        <w:pStyle w:val="ListParagraph"/>
        <w:numPr>
          <w:ilvl w:val="0"/>
          <w:numId w:val="1"/>
        </w:numPr>
        <w:spacing w:after="80"/>
      </w:pPr>
      <w:r>
        <w:t xml:space="preserve">Part I — Individuals (Aadhaar/OVD + PAN + live photo/Digital KYC/V-CIP).</w:t>
      </w:r>
    </w:p>
    <w:p>
      <w:pPr>
        <w:pStyle w:val="ListParagraph"/>
        <w:numPr>
          <w:ilvl w:val="0"/>
          <w:numId w:val="1"/>
        </w:numPr>
        <w:spacing w:after="80"/>
      </w:pPr>
      <w:r>
        <w:t xml:space="preserve">Part II — Sole Proprietary firms (Para 27–29): CDD of the proprietor as an individual, plus any two of eight listed business-activity proofs.</w:t>
      </w:r>
    </w:p>
    <w:p>
      <w:pPr>
        <w:pStyle w:val="ListParagraph"/>
        <w:numPr>
          <w:ilvl w:val="0"/>
          <w:numId w:val="1"/>
        </w:numPr>
        <w:spacing w:after="80"/>
      </w:pPr>
      <w:r>
        <w:t xml:space="preserve">Part III — Legal Entities (Para 30–33B): separate, explicit document lists for companies, partnership firms, trusts, and unincorporated associations/bodies of individuals (societies, universities, local bodies) respectively.</w:t>
      </w:r>
    </w:p>
    <w:p>
      <w:pPr>
        <w:pStyle w:val="ListParagraph"/>
        <w:numPr>
          <w:ilvl w:val="0"/>
          <w:numId w:val="1"/>
        </w:numPr>
        <w:spacing w:after="80"/>
      </w:pPr>
      <w:r>
        <w:t xml:space="preserve">Part IV — Identification of Beneficial Owner (Para 34), read with the definitions in Para 3(a)(iv): &gt;10% controlling interest for companies and partnerships, &gt;15% for unincorporated associations/societies, and the trust-specific author/trustee/beneficiary test.</w:t>
      </w:r>
    </w:p>
    <w:p>
      <w:pPr>
        <w:pStyle w:val="Heading2"/>
        <w:spacing w:after="150" w:before="300"/>
      </w:pPr>
      <w:r>
        <w:t xml:space="preserve">3.3 Officially Valid Documents (OVDs) — the common identity currency</w:t>
      </w:r>
    </w:p>
    <w:p>
      <w:pPr>
        <w:spacing w:after="150"/>
      </w:pPr>
      <w:r>
        <w:t xml:space="preserve">Under Para 3(a)(xiv) of the RBI KYC Master Direction, an 'Officially Valid Document' (OVD) is defined as: passport, driving licence, proof of possession of Aadhaar number, Voter's Identity Card issued by the Election Commission of India, NREGA job card duly signed by a State Government officer, or a National Population Register letter containing name and address. Where the OVD produced does not show an updated address, a deeming provision allows a utility bill (not more than two months old), property/municipal tax receipt, PPO for retired employees, or an employer-issued accommodation-allotment letter to serve as address proof for a limited period, with the customer required to submit a current-address OVD within three months.</w:t>
      </w:r>
    </w:p>
    <w:p>
      <w:pPr>
        <w:pageBreakBefore/>
      </w:pPr>
    </w:p>
    <w:p>
      <w:pPr>
        <w:pStyle w:val="Heading1"/>
        <w:spacing w:after="200" w:before="400"/>
      </w:pPr>
      <w:r>
        <w:t xml:space="preserve">4. Business Structure-wise KYC Requirements</w:t>
      </w:r>
    </w:p>
    <w:p>
      <w:pPr>
        <w:spacing w:after="150"/>
      </w:pPr>
      <w:r>
        <w:t xml:space="preserve">Each subsection below is organised by verification category — Business Identity, Business Address, Owner/Partner/Director KYC, Authorised Signatory, and Beneficial Owner — with every document tagged Mandatory (M), Recommended (R), Conditional (C), or Alternative (A).</w:t>
      </w:r>
    </w:p>
    <w:p>
      <w:pPr>
        <w:pStyle w:val="Heading2"/>
        <w:spacing w:after="150" w:before="300"/>
      </w:pPr>
      <w:r>
        <w:t xml:space="preserve">4.1 Sole Proprietorship</w:t>
      </w:r>
    </w:p>
    <w:p>
      <w:pPr>
        <w:spacing w:after="150"/>
      </w:pPr>
      <w:r>
        <w:t xml:space="preserve">A sole proprietorship has no separate legal identity from its owner. Under RBI KYC MD Para 27, banks conduct CDD of the individual proprietor exactly as they would for a personal account; the 'business' documents merely evidence that a business activity exists in that person's name.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Identity (Proprietor)</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card of proprietor</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Mandatory per RBI KYC MD Para 16(b); also mandatory basis of GST/GSTIN and Udyam.</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Identity (Proprietor)</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Aadhaar / OVD (passport, driving licence, Voter ID, NREGA card, NPR letter)</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One OVD or Aadhaar (offline verification / e-KYC / Digital KYC) mandatory under Para 16(a)–(ab).</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Address</w:t>
            </w:r>
          </w:p>
        </w:tc>
        <w:tc>
          <w:tcPr>
            <w:tcW w:type="dxa" w:w="5200"/>
            <w:tcMar>
              <w:top w:type="dxa" w:w="60"/>
              <w:left w:type="dxa" w:w="100"/>
              <w:bottom w:type="dxa" w:w="60"/>
              <w:right w:type="dxa" w:w="100"/>
            </w:tcMar>
            <w:vAlign w:val="center"/>
          </w:tcPr>
          <w:p>
            <w:pPr>
              <w:jc w:val="left"/>
            </w:pPr>
            <w:r>
              <w:rPr>
                <w:b w:val="false"/>
                <w:bCs w:val="false"/>
                <w:sz w:val="19"/>
                <w:szCs w:val="19"/>
              </w:rPr>
              <w:t xml:space="preserve">Aadhaar or OVD showing current address; else utility bill ≤2 months old / property tax receipt as deemed OVD</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Utility-bill validity capped at 2 months from RBI MD Para 3(a)(xiv)(b); current-address OVD due within 3 months if a deemed OVD was used.</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identity/activity proof (any TWO of the following eight, per Para 28)</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Udyam Registration Certificate (URC)</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RBI accepts any two of the eight listed proofs; if genuinely only one is obtainable, RE may accept one with Contact Point Verification (Para 29).</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
            </w:r>
          </w:p>
        </w:tc>
        <w:tc>
          <w:tcPr>
            <w:tcW w:type="dxa" w:w="5200"/>
            <w:tcMar>
              <w:top w:type="dxa" w:w="60"/>
              <w:left w:type="dxa" w:w="100"/>
              <w:bottom w:type="dxa" w:w="60"/>
              <w:right w:type="dxa" w:w="100"/>
            </w:tcMar>
            <w:vAlign w:val="center"/>
          </w:tcPr>
          <w:p>
            <w:pPr>
              <w:jc w:val="left"/>
            </w:pPr>
            <w:r>
              <w:rPr>
                <w:b w:val="false"/>
                <w:bCs w:val="false"/>
                <w:sz w:val="19"/>
                <w:szCs w:val="19"/>
              </w:rPr>
              <w:t xml:space="preserve">Shop &amp; Establishment licence/certificate</w:t>
            </w:r>
          </w:p>
        </w:tc>
        <w:tc>
          <w:tcPr>
            <w:tcW w:type="dxa" w:w="1500"/>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Sales/Income-tax returns</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
            </w:r>
          </w:p>
        </w:tc>
        <w:tc>
          <w:tcPr>
            <w:tcW w:type="dxa" w:w="5200"/>
            <w:tcMar>
              <w:top w:type="dxa" w:w="60"/>
              <w:left w:type="dxa" w:w="100"/>
              <w:bottom w:type="dxa" w:w="60"/>
              <w:right w:type="dxa" w:w="100"/>
            </w:tcMar>
            <w:vAlign w:val="center"/>
          </w:tcPr>
          <w:p>
            <w:pPr>
              <w:jc w:val="left"/>
            </w:pPr>
            <w:r>
              <w:rPr>
                <w:b w:val="false"/>
                <w:bCs w:val="false"/>
                <w:sz w:val="19"/>
                <w:szCs w:val="19"/>
              </w:rPr>
              <w:t xml:space="preserve">GST / CST / VAT registration certificate</w:t>
            </w:r>
          </w:p>
        </w:tc>
        <w:tc>
          <w:tcPr>
            <w:tcW w:type="dxa" w:w="1500"/>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Sales/Service/Professional Tax registration certificate</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
            </w:r>
          </w:p>
        </w:tc>
        <w:tc>
          <w:tcPr>
            <w:tcW w:type="dxa" w:w="5200"/>
            <w:tcMar>
              <w:top w:type="dxa" w:w="60"/>
              <w:left w:type="dxa" w:w="100"/>
              <w:bottom w:type="dxa" w:w="60"/>
              <w:right w:type="dxa" w:w="100"/>
            </w:tcMar>
            <w:vAlign w:val="center"/>
          </w:tcPr>
          <w:p>
            <w:pPr>
              <w:jc w:val="left"/>
            </w:pPr>
            <w:r>
              <w:rPr>
                <w:b w:val="false"/>
                <w:bCs w:val="false"/>
                <w:sz w:val="19"/>
                <w:szCs w:val="19"/>
              </w:rPr>
              <w:t xml:space="preserve">IEC (Importer-Exporter Code) or professional-body practice licence</w:t>
            </w:r>
          </w:p>
        </w:tc>
        <w:tc>
          <w:tcPr>
            <w:tcW w:type="dxa" w:w="1500"/>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Complete ITR (not just acknowledgement) reflecting firm income</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
            </w:r>
          </w:p>
        </w:tc>
        <w:tc>
          <w:tcPr>
            <w:tcW w:type="dxa" w:w="5200"/>
            <w:tcMar>
              <w:top w:type="dxa" w:w="60"/>
              <w:left w:type="dxa" w:w="100"/>
              <w:bottom w:type="dxa" w:w="60"/>
              <w:right w:type="dxa" w:w="100"/>
            </w:tcMar>
            <w:vAlign w:val="center"/>
          </w:tcPr>
          <w:p>
            <w:pPr>
              <w:jc w:val="left"/>
            </w:pPr>
            <w:r>
              <w:rPr>
                <w:b w:val="false"/>
                <w:bCs w:val="false"/>
                <w:sz w:val="19"/>
                <w:szCs w:val="19"/>
              </w:rPr>
              <w:t xml:space="preserve">Utility bills (electricity/water/landline) in firm's name</w:t>
            </w:r>
          </w:p>
        </w:tc>
        <w:tc>
          <w:tcPr>
            <w:tcW w:type="dxa" w:w="1500"/>
            <w:tcMar>
              <w:top w:type="dxa" w:w="60"/>
              <w:left w:type="dxa" w:w="100"/>
              <w:bottom w:type="dxa" w:w="60"/>
              <w:right w:type="dxa" w:w="100"/>
            </w:tcMar>
            <w:vAlign w:val="center"/>
          </w:tcPr>
          <w:p>
            <w:pPr>
              <w:jc w:val="left"/>
            </w:pPr>
            <w:r>
              <w:rPr>
                <w:b w:val="false"/>
                <w:bCs w:val="false"/>
                <w:sz w:val="19"/>
                <w:szCs w:val="19"/>
              </w:rPr>
              <w:t xml:space="preserve">M (2 of 8)</w:t>
            </w:r>
          </w:p>
        </w:tc>
        <w:tc>
          <w:tcPr>
            <w:tcW w:type="dxa" w:w="27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Authorised Signatory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Not separately applicable — proprietor is the signatory</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No separate signatory KYC; POA holder (if any) must undergo full individual CDD.</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Beneficial Owner</w:t>
            </w:r>
          </w:p>
        </w:tc>
        <w:tc>
          <w:tcPr>
            <w:tcW w:type="dxa" w:w="5200"/>
            <w:tcMar>
              <w:top w:type="dxa" w:w="60"/>
              <w:left w:type="dxa" w:w="100"/>
              <w:bottom w:type="dxa" w:w="60"/>
              <w:right w:type="dxa" w:w="100"/>
            </w:tcMar>
            <w:vAlign w:val="center"/>
          </w:tcPr>
          <w:p>
            <w:pPr>
              <w:jc w:val="left"/>
            </w:pPr>
            <w:r>
              <w:rPr>
                <w:b w:val="false"/>
                <w:bCs w:val="false"/>
                <w:sz w:val="19"/>
                <w:szCs w:val="19"/>
              </w:rPr>
              <w:t xml:space="preserve">Not applicable — proprietor is deemed sole beneficial owner</w:t>
            </w:r>
          </w:p>
        </w:tc>
        <w:tc>
          <w:tcPr>
            <w:tcW w:type="dxa" w:w="1500"/>
            <w:tcMar>
              <w:top w:type="dxa" w:w="60"/>
              <w:left w:type="dxa" w:w="100"/>
              <w:bottom w:type="dxa" w:w="60"/>
              <w:right w:type="dxa" w:w="100"/>
            </w:tcMar>
            <w:vAlign w:val="center"/>
          </w:tcPr>
          <w:p>
            <w:pPr>
              <w:jc w:val="left"/>
            </w:pPr>
            <w:r>
              <w:rPr>
                <w:b w:val="false"/>
                <w:bCs w:val="false"/>
                <w:sz w:val="19"/>
                <w:szCs w:val="19"/>
              </w:rPr>
              <w:t xml:space="preserve">—</w:t>
            </w:r>
          </w:p>
        </w:tc>
        <w:tc>
          <w:tcPr>
            <w:tcW w:type="dxa" w:w="2700"/>
            <w:tcMar>
              <w:top w:type="dxa" w:w="60"/>
              <w:left w:type="dxa" w:w="100"/>
              <w:bottom w:type="dxa" w:w="60"/>
              <w:right w:type="dxa" w:w="100"/>
            </w:tcMar>
            <w:vAlign w:val="center"/>
          </w:tcPr>
          <w:p>
            <w:pPr>
              <w:jc w:val="left"/>
            </w:pPr>
            <w:r>
              <w:rPr>
                <w:b w:val="false"/>
                <w:bCs w:val="false"/>
                <w:sz w:val="19"/>
                <w:szCs w:val="19"/>
              </w:rPr>
              <w:t xml:space="preserve">No separate BO declaration required for proprietorships under RBI MD.</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GST registration (if applicable)</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PAN, Aadhaar, photograph, business address proof, bank account proof (cancelled cheque/passbook)</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Mandatory only once turnover crosses ₹40 lakh (goods)/₹20 lakh (services), or on compulsory-registration triggers (inter-state supply, e-commerce, etc.).</w:t>
            </w:r>
          </w:p>
        </w:tc>
      </w:tr>
    </w:tbl>
    <w:p>
      <w:pPr>
        <w:pStyle w:val="Heading2"/>
        <w:spacing w:after="150" w:before="300"/>
      </w:pPr>
      <w:r>
        <w:t xml:space="preserve">4.2 Partnership Firm</w:t>
      </w:r>
    </w:p>
    <w:p>
      <w:pPr>
        <w:spacing w:after="150"/>
      </w:pPr>
      <w:r>
        <w:t xml:space="preserve">Governed for banking KYC by RBI KYC MD Para 31 (Legal Entities – Part III). A partnership firm need not be registered under the Indian Partnership Act, 1932 to open a bank account, but an unregistered firm is treated as an 'unincorporated association' under Para 33A if it lacks a registration certificate.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Registration certificate (if registered with Registrar of Firms)</w:t>
            </w:r>
          </w:p>
        </w:tc>
        <w:tc>
          <w:tcPr>
            <w:tcW w:type="dxa" w:w="1500"/>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tcMar>
              <w:top w:type="dxa" w:w="60"/>
              <w:left w:type="dxa" w:w="100"/>
              <w:bottom w:type="dxa" w:w="60"/>
              <w:right w:type="dxa" w:w="100"/>
            </w:tcMar>
            <w:vAlign w:val="center"/>
          </w:tcPr>
          <w:p>
            <w:pPr>
              <w:jc w:val="left"/>
            </w:pPr>
            <w:r>
              <w:rPr>
                <w:b w:val="false"/>
                <w:bCs w:val="false"/>
                <w:sz w:val="19"/>
                <w:szCs w:val="19"/>
              </w:rPr>
              <w:t xml:space="preserve">Mandatory only for registered firms; unregistered firms are handled under the 'unincorporated association' route (Para 33A).</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Partnership Deed (original/certified copy)</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Must state profit-sharing ratio, partner names, and firm details; required both for RBI KYC (Para 31) and GST registration.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of the partnership firm</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Firm-level PAN, distinct from partners' individual PANs.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address</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Registered office / principal place of business address proof (utility bill ≤2 months, property tax receipt, or rent agreement + owner NOC)</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Must match GST and bank records; rented premises require both rent agreement and NOC.</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Partner KYC (each partner)</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 Aadhaar/OVD of every partner</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Full individual CDD (Para 16) required for every partner, not only the managing partner.</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Authorised Signatory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Names of all partners (Para 31) + document evidencing POA/authority to transact on firm's behalf for whichever partner(s) will operate the account</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Bank additionally requires board/partner resolution or mandate letter identifying authorised signatories.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Beneficial Owner</w:t>
            </w:r>
          </w:p>
        </w:tc>
        <w:tc>
          <w:tcPr>
            <w:tcW w:type="dxa" w:w="5200"/>
            <w:tcMar>
              <w:top w:type="dxa" w:w="60"/>
              <w:left w:type="dxa" w:w="100"/>
              <w:bottom w:type="dxa" w:w="60"/>
              <w:right w:type="dxa" w:w="100"/>
            </w:tcMar>
            <w:vAlign w:val="center"/>
          </w:tcPr>
          <w:p>
            <w:pPr>
              <w:jc w:val="left"/>
            </w:pPr>
            <w:r>
              <w:rPr>
                <w:b w:val="false"/>
                <w:bCs w:val="false"/>
                <w:sz w:val="19"/>
                <w:szCs w:val="19"/>
              </w:rPr>
              <w:t xml:space="preserve">Identification of any partner with &gt;10% capital/profit entitlement or who exercises control (Para 3(a)(iv)(b))</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10% threshold — lower than the company/LLP threshold context in SBO Rules but consistent with RBI's own BO definition for partnerships.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GST registration</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PAN &amp; Aadhaar of all partners, partnership deed, photographs, address proof of partners, firm bank account proof</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Same turnover-based trigger as proprietorship; authorised signatory's Aadhaar and appointment proof also required.</w:t>
            </w:r>
          </w:p>
        </w:tc>
      </w:tr>
    </w:tbl>
    <w:p>
      <w:pPr>
        <w:pStyle w:val="Heading2"/>
        <w:spacing w:after="150" w:before="300"/>
      </w:pPr>
      <w:r>
        <w:t xml:space="preserve">4.3 Private Limited Company</w:t>
      </w:r>
    </w:p>
    <w:p>
      <w:pPr>
        <w:spacing w:after="150"/>
      </w:pPr>
      <w:r>
        <w:t xml:space="preserve">Two distinct document sets apply at two different lifecycle stages: (a) MCA incorporation via SPICe+, and (b) RBI bank-account KYC under Para 30 of the Master Direction (Legal Entities — Companies). SPICe+ is a single web-form on the MCA V3 portal covering name reservation (Part A), incorporation (Part B), and AGILE-PRO-S linked registrations for GSTIN, EPFO, ESIC, Profession Tax (in Maharashtra/Karnataka/West Bengal) and bank-account opening in partnership with select banks.</w:t>
      </w:r>
    </w:p>
    <w:p>
      <w:pPr>
        <w:pStyle w:val="Heading3"/>
        <w:spacing w:after="100" w:before="200"/>
      </w:pPr>
      <w:r>
        <w:t xml:space="preserve">4.3.1 MCA Incorporation Stage (SPICe+)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Director/Subscriber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card (Indian nationals)</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Mandatory — primary identity document; must match name spelling on all other documents.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Director/Subscriber identity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Aadhaar card</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Required for identity verification and DIN linkage.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Director/Subscriber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Passport / Voter ID / Driving Licence (any one, as supplementary ID)</w:t>
            </w:r>
          </w:p>
        </w:tc>
        <w:tc>
          <w:tcPr>
            <w:tcW w:type="dxa" w:w="1500"/>
            <w:tcMar>
              <w:top w:type="dxa" w:w="60"/>
              <w:left w:type="dxa" w:w="100"/>
              <w:bottom w:type="dxa" w:w="60"/>
              <w:right w:type="dxa" w:w="100"/>
            </w:tcMar>
            <w:vAlign w:val="center"/>
          </w:tcPr>
          <w:p>
            <w:pPr>
              <w:jc w:val="left"/>
            </w:pPr>
            <w:r>
              <w:rPr>
                <w:b w:val="false"/>
                <w:bCs w:val="false"/>
                <w:sz w:val="19"/>
                <w:szCs w:val="19"/>
              </w:rPr>
              <w:t xml:space="preserve">A</w:t>
            </w:r>
          </w:p>
        </w:tc>
        <w:tc>
          <w:tcPr>
            <w:tcW w:type="dxa" w:w="2700"/>
            <w:tcMar>
              <w:top w:type="dxa" w:w="60"/>
              <w:left w:type="dxa" w:w="100"/>
              <w:bottom w:type="dxa" w:w="60"/>
              <w:right w:type="dxa" w:w="100"/>
            </w:tcMar>
            <w:vAlign w:val="center"/>
          </w:tcPr>
          <w:p>
            <w:pPr>
              <w:jc w:val="left"/>
            </w:pPr>
            <w:r>
              <w:rPr>
                <w:b w:val="false"/>
                <w:bCs w:val="false"/>
                <w:sz w:val="19"/>
                <w:szCs w:val="19"/>
              </w:rPr>
              <w:t xml:space="preserve">Alternative/additional ID; passport is mandatory (not alternative) for foreign nationals/NRIs.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Director/Subscriber address</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Utility bill / bank statement not older than 2 months</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Must match address declared in SPICe+ Part B exactly.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Director credential</w:t>
            </w:r>
          </w:p>
        </w:tc>
        <w:tc>
          <w:tcPr>
            <w:tcW w:type="dxa" w:w="5200"/>
            <w:tcMar>
              <w:top w:type="dxa" w:w="60"/>
              <w:left w:type="dxa" w:w="100"/>
              <w:bottom w:type="dxa" w:w="60"/>
              <w:right w:type="dxa" w:w="100"/>
            </w:tcMar>
            <w:vAlign w:val="center"/>
          </w:tcPr>
          <w:p>
            <w:pPr>
              <w:jc w:val="left"/>
            </w:pPr>
            <w:r>
              <w:rPr>
                <w:b w:val="false"/>
                <w:bCs w:val="false"/>
                <w:sz w:val="19"/>
                <w:szCs w:val="19"/>
              </w:rPr>
              <w:t xml:space="preserve">Digital Signature Certificate (Class 3) for every director/subscriber</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Issued by an MCA-empanelled Certifying Authority (e.g., eMudhra, Sify, NSDL); SPICe+ cannot be filed without it.</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Director credential</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Director Identification Number (DIN)</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Up to 3 new DINs allotted directly within SPICe+ Part B; existing DIN holders must have current DIR-3 KYC (annual, due 30 September) or the DIN is deactivated and blocks incorporation.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Registered office proof</w:t>
            </w:r>
          </w:p>
        </w:tc>
        <w:tc>
          <w:tcPr>
            <w:tcW w:type="dxa" w:w="5200"/>
            <w:tcMar>
              <w:top w:type="dxa" w:w="60"/>
              <w:left w:type="dxa" w:w="100"/>
              <w:bottom w:type="dxa" w:w="60"/>
              <w:right w:type="dxa" w:w="100"/>
            </w:tcMar>
            <w:vAlign w:val="center"/>
          </w:tcPr>
          <w:p>
            <w:pPr>
              <w:jc w:val="left"/>
            </w:pPr>
            <w:r>
              <w:rPr>
                <w:b w:val="false"/>
                <w:bCs w:val="false"/>
                <w:sz w:val="19"/>
                <w:szCs w:val="19"/>
              </w:rPr>
              <w:t xml:space="preserve">Utility bill (electricity/gas/water/broadband), ≤2 months old, in owner's name</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Non-negotiable for registered-office establishment.</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Registered office proof</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NOC from property owner (if premises are not company-owned)</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Most frequently missed document per multiple filing guides; required even for promoter-owned premises used by the company.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Registered office proof</w:t>
            </w:r>
          </w:p>
        </w:tc>
        <w:tc>
          <w:tcPr>
            <w:tcW w:type="dxa" w:w="5200"/>
            <w:tcMar>
              <w:top w:type="dxa" w:w="60"/>
              <w:left w:type="dxa" w:w="100"/>
              <w:bottom w:type="dxa" w:w="60"/>
              <w:right w:type="dxa" w:w="100"/>
            </w:tcMar>
            <w:vAlign w:val="center"/>
          </w:tcPr>
          <w:p>
            <w:pPr>
              <w:jc w:val="left"/>
            </w:pPr>
            <w:r>
              <w:rPr>
                <w:b w:val="false"/>
                <w:bCs w:val="false"/>
                <w:sz w:val="19"/>
                <w:szCs w:val="19"/>
              </w:rPr>
              <w:t xml:space="preserve">Rent/Lease agreement (if rented) or Sale Deed/property tax receipt (if owned)</w:t>
            </w:r>
          </w:p>
        </w:tc>
        <w:tc>
          <w:tcPr>
            <w:tcW w:type="dxa" w:w="1500"/>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tcMar>
              <w:top w:type="dxa" w:w="60"/>
              <w:left w:type="dxa" w:w="100"/>
              <w:bottom w:type="dxa" w:w="60"/>
              <w:right w:type="dxa" w:w="100"/>
            </w:tcMar>
            <w:vAlign w:val="center"/>
          </w:tcPr>
          <w:p>
            <w:pPr>
              <w:jc w:val="left"/>
            </w:pPr>
            <w:r>
              <w:rPr>
                <w:b w:val="false"/>
                <w:bCs w:val="false"/>
                <w:sz w:val="19"/>
                <w:szCs w:val="19"/>
              </w:rPr>
              <w:t xml:space="preserve">Rented → agreement + NOC; owned → ownership proof.</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Constitutional documents</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e-Memorandum of Association (INC-33) and e-Articles of Association (INC-34)</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Filed digitally via SPICe+; adoption of Table F articles unmodified removes the need for a separate INC-34 filing.</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Statutory declarations</w:t>
            </w:r>
          </w:p>
        </w:tc>
        <w:tc>
          <w:tcPr>
            <w:tcW w:type="dxa" w:w="5200"/>
            <w:tcMar>
              <w:top w:type="dxa" w:w="60"/>
              <w:left w:type="dxa" w:w="100"/>
              <w:bottom w:type="dxa" w:w="60"/>
              <w:right w:type="dxa" w:w="100"/>
            </w:tcMar>
            <w:vAlign w:val="center"/>
          </w:tcPr>
          <w:p>
            <w:pPr>
              <w:jc w:val="left"/>
            </w:pPr>
            <w:r>
              <w:rPr>
                <w:b w:val="false"/>
                <w:bCs w:val="false"/>
                <w:sz w:val="19"/>
                <w:szCs w:val="19"/>
              </w:rPr>
              <w:t xml:space="preserve">DIR-2 (director consent), INC-9 (subscriber/director declaration under §7(1)(b))</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INC-9 auto-generated where subscribers/directors ≤20 and all hold DIN/PAN.</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Statutory declarations</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Professional certification (by practising CA/CS/CMA)</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Final compliance certification before RoC submission.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Post-incorporation</w:t>
            </w:r>
          </w:p>
        </w:tc>
        <w:tc>
          <w:tcPr>
            <w:tcW w:type="dxa" w:w="5200"/>
            <w:tcMar>
              <w:top w:type="dxa" w:w="60"/>
              <w:left w:type="dxa" w:w="100"/>
              <w:bottom w:type="dxa" w:w="60"/>
              <w:right w:type="dxa" w:w="100"/>
            </w:tcMar>
            <w:vAlign w:val="center"/>
          </w:tcPr>
          <w:p>
            <w:pPr>
              <w:jc w:val="left"/>
            </w:pPr>
            <w:r>
              <w:rPr>
                <w:b w:val="false"/>
                <w:bCs w:val="false"/>
                <w:sz w:val="19"/>
                <w:szCs w:val="19"/>
              </w:rPr>
              <w:t xml:space="preserve">Certificate of Incorporation (CIN, PAN, TAN)</w:t>
            </w:r>
          </w:p>
        </w:tc>
        <w:tc>
          <w:tcPr>
            <w:tcW w:type="dxa" w:w="1500"/>
            <w:tcMar>
              <w:top w:type="dxa" w:w="60"/>
              <w:left w:type="dxa" w:w="100"/>
              <w:bottom w:type="dxa" w:w="60"/>
              <w:right w:type="dxa" w:w="100"/>
            </w:tcMar>
            <w:vAlign w:val="center"/>
          </w:tcPr>
          <w:p>
            <w:pPr>
              <w:jc w:val="left"/>
            </w:pPr>
            <w:r>
              <w:rPr>
                <w:b w:val="false"/>
                <w:bCs w:val="false"/>
                <w:sz w:val="19"/>
                <w:szCs w:val="19"/>
              </w:rPr>
              <w:t xml:space="preserve">M (output)</w:t>
            </w:r>
          </w:p>
        </w:tc>
        <w:tc>
          <w:tcPr>
            <w:tcW w:type="dxa" w:w="2700"/>
            <w:tcMar>
              <w:top w:type="dxa" w:w="60"/>
              <w:left w:type="dxa" w:w="100"/>
              <w:bottom w:type="dxa" w:w="60"/>
              <w:right w:type="dxa" w:w="100"/>
            </w:tcMar>
            <w:vAlign w:val="center"/>
          </w:tcPr>
          <w:p>
            <w:pPr>
              <w:jc w:val="left"/>
            </w:pPr>
            <w:r>
              <w:rPr>
                <w:b w:val="false"/>
                <w:bCs w:val="false"/>
                <w:sz w:val="19"/>
                <w:szCs w:val="19"/>
              </w:rPr>
              <w:t xml:space="preserve">Issued by RoC on approval; typically 5–10 working days.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Post-incorporation</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Declaration of Commencement of Business (Form INC-20A)</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Must be filed within 180 days of incorporation, confirming subscribed capital has been deposited.</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Foreign director/NRI</w:t>
            </w:r>
          </w:p>
        </w:tc>
        <w:tc>
          <w:tcPr>
            <w:tcW w:type="dxa" w:w="5200"/>
            <w:tcMar>
              <w:top w:type="dxa" w:w="60"/>
              <w:left w:type="dxa" w:w="100"/>
              <w:bottom w:type="dxa" w:w="60"/>
              <w:right w:type="dxa" w:w="100"/>
            </w:tcMar>
            <w:vAlign w:val="center"/>
          </w:tcPr>
          <w:p>
            <w:pPr>
              <w:jc w:val="left"/>
            </w:pPr>
            <w:r>
              <w:rPr>
                <w:b w:val="false"/>
                <w:bCs w:val="false"/>
                <w:sz w:val="19"/>
                <w:szCs w:val="19"/>
              </w:rPr>
              <w:t xml:space="preserve">Notarised &amp; apostilled (or Indian-Embassy-attested) passport, address proof</w:t>
            </w:r>
          </w:p>
        </w:tc>
        <w:tc>
          <w:tcPr>
            <w:tcW w:type="dxa" w:w="1500"/>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tcMar>
              <w:top w:type="dxa" w:w="60"/>
              <w:left w:type="dxa" w:w="100"/>
              <w:bottom w:type="dxa" w:w="60"/>
              <w:right w:type="dxa" w:w="100"/>
            </w:tcMar>
            <w:vAlign w:val="center"/>
          </w:tcPr>
          <w:p>
            <w:pPr>
              <w:jc w:val="left"/>
            </w:pPr>
            <w:r>
              <w:rPr>
                <w:b w:val="false"/>
                <w:bCs w:val="false"/>
                <w:sz w:val="19"/>
                <w:szCs w:val="19"/>
              </w:rPr>
              <w:t xml:space="preserve">Applies only where directors/subscribers are foreign nationals, NRIs, or OCI holders; process typically adds 5–10 working days.</w:t>
            </w:r>
          </w:p>
        </w:tc>
      </w:tr>
    </w:tbl>
    <w:p>
      <w:pPr>
        <w:pStyle w:val="Heading3"/>
        <w:spacing w:after="100" w:before="200"/>
      </w:pPr>
      <w:r>
        <w:t xml:space="preserve">4.3.2 Bank-Account KYC Stage (RBI KYC MD, Para 30)</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Certificate of Incorporation</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Certified copy or equivalent e-document, per Para 30(1).</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Memorandum &amp; Articles of Association</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Para 30(2).</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of the company</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Para 30(3); verified against issuing-authority database (Para 10).</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Authorised Signatory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Board Resolution + Power of Attorney authorising managers/officers/employees to transact on the company's behalf</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Para 30(4).</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Beneficial Owner</w:t>
            </w:r>
          </w:p>
        </w:tc>
        <w:tc>
          <w:tcPr>
            <w:tcW w:type="dxa" w:w="5200"/>
            <w:tcMar>
              <w:top w:type="dxa" w:w="60"/>
              <w:left w:type="dxa" w:w="100"/>
              <w:bottom w:type="dxa" w:w="60"/>
              <w:right w:type="dxa" w:w="100"/>
            </w:tcMar>
            <w:vAlign w:val="center"/>
          </w:tcPr>
          <w:p>
            <w:pPr>
              <w:jc w:val="left"/>
            </w:pPr>
            <w:r>
              <w:rPr>
                <w:b w:val="false"/>
                <w:bCs w:val="false"/>
                <w:sz w:val="19"/>
                <w:szCs w:val="19"/>
              </w:rPr>
              <w:t xml:space="preserve">Full individual CDD (Para 16 documents) of the beneficial owner(s) and of any manager/officer/POA-holder authorised to transact</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Para 30(5); &gt;10% controlling ownership interest or 'control' per Para 3(a)(iv)(a).</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Senior Management</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Names of relevant senior management personnel</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Para 30(6).</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address</w:t>
            </w:r>
          </w:p>
        </w:tc>
        <w:tc>
          <w:tcPr>
            <w:tcW w:type="dxa" w:w="5200"/>
            <w:tcMar>
              <w:top w:type="dxa" w:w="60"/>
              <w:left w:type="dxa" w:w="100"/>
              <w:bottom w:type="dxa" w:w="60"/>
              <w:right w:type="dxa" w:w="100"/>
            </w:tcMar>
            <w:vAlign w:val="center"/>
          </w:tcPr>
          <w:p>
            <w:pPr>
              <w:jc w:val="left"/>
            </w:pPr>
            <w:r>
              <w:rPr>
                <w:b w:val="false"/>
                <w:bCs w:val="false"/>
                <w:sz w:val="19"/>
                <w:szCs w:val="19"/>
              </w:rPr>
              <w:t xml:space="preserve">Registered office and principal place of business (if different)</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Para 30(7).</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SBO reporting (separate from bank KYC)</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Form BEN-1 (by the SBO) and Form BEN-2 (by the company) filed with RoC</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Triggered whenever an individual holds ≥10% shares/voting rights/dividend entitlement or exercises significant influence/control (Companies (SBO) Rules, 2018, as amended 2019 &amp; 2024); listed-entity subsidiaries are exempt from further look-through (RBI MD Para 34(1)).</w:t>
            </w:r>
          </w:p>
        </w:tc>
      </w:tr>
    </w:tbl>
    <w:p>
      <w:pPr>
        <w:pStyle w:val="Heading2"/>
        <w:spacing w:after="150" w:before="300"/>
      </w:pPr>
      <w:r>
        <w:t xml:space="preserve">4.4 Limited Liability Partnership (LLP)</w:t>
      </w:r>
    </w:p>
    <w:p>
      <w:pPr>
        <w:spacing w:after="150"/>
      </w:pPr>
      <w:r>
        <w:t xml:space="preserve">An LLP is incorporated via the FiLLiP form (Form for Incorporation of LLP) rather than SPICe+, under the LLP Act, 2008, but shares the SPICe+ ecosystem's identity/address-proof standards for its Designated Partners. For RBI banking KYC, an LLP is treated under the 'partnership firm' documentary logic (Para 31) in most bank implementations, supplemented by its Certificate of Incorporation, since it is a body corporate with features of both.</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Certificate of Incorporation (LLP)</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Issued after FiLLiP approval; contains LLPIN.</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LLP Agreement (Form 3)</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Must be filed within 30 days of incorporation; functions like the Partnership Deed/MOA — states profit-sharing, partner rights, capital contribution.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of the LLP</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Firm-level PAN distinct from designated partners' PAN.</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address</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Registered office proof (utility bill ≤2 months, NOC, rent/lease or ownership proof)</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Identical standard to Pvt Ltd registered-office proof.</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Designated Partner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 Aadhaar/OVD of every Designated Partner</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Same individual-CDD standard as company directors (Para 16).</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Designated Partner credential</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DPIN (Designated Partner Identification Number) / DIN</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Obtained via FiLLiP; existing DIN holders must maintain current DIR-3 KYC.</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Designated Partner credential</w:t>
            </w:r>
          </w:p>
        </w:tc>
        <w:tc>
          <w:tcPr>
            <w:tcW w:type="dxa" w:w="5200"/>
            <w:tcMar>
              <w:top w:type="dxa" w:w="60"/>
              <w:left w:type="dxa" w:w="100"/>
              <w:bottom w:type="dxa" w:w="60"/>
              <w:right w:type="dxa" w:w="100"/>
            </w:tcMar>
            <w:vAlign w:val="center"/>
          </w:tcPr>
          <w:p>
            <w:pPr>
              <w:jc w:val="left"/>
            </w:pPr>
            <w:r>
              <w:rPr>
                <w:b w:val="false"/>
                <w:bCs w:val="false"/>
                <w:sz w:val="19"/>
                <w:szCs w:val="19"/>
              </w:rPr>
              <w:t xml:space="preserve">Digital Signature Certificate (Class 3)</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Required to sign FiLLiP, LLP Agreement filing, and all subsequent MCA e-forms.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Authorised Signatory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Board/Partner resolution + POA authorising a designated partner or manager to operate bank accounts</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Equivalent of company Board Resolution.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Beneficial Owner</w:t>
            </w:r>
          </w:p>
        </w:tc>
        <w:tc>
          <w:tcPr>
            <w:tcW w:type="dxa" w:w="5200"/>
            <w:tcMar>
              <w:top w:type="dxa" w:w="60"/>
              <w:left w:type="dxa" w:w="100"/>
              <w:bottom w:type="dxa" w:w="60"/>
              <w:right w:type="dxa" w:w="100"/>
            </w:tcMar>
            <w:vAlign w:val="center"/>
          </w:tcPr>
          <w:p>
            <w:pPr>
              <w:jc w:val="left"/>
            </w:pPr>
            <w:r>
              <w:rPr>
                <w:b w:val="false"/>
                <w:bCs w:val="false"/>
                <w:sz w:val="19"/>
                <w:szCs w:val="19"/>
              </w:rPr>
              <w:t xml:space="preserve">Individual CDD of any partner with &gt;10% capital/profit entitlement or control (Para 3(a)(iv)(b) — partnership definition applied by banks to LLPs)</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LLPs currently fall outside the strict Companies Act SBO (BEN-1/BEN-2) regime, which applies to companies; banks nonetheless apply the RBI BO definition at account-opening.</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GST (if applicable)</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Certificate of Incorporation, Board Resolution, DSC of a designated partner, partners' PAN/Aadhaar</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Turnover-based trigger identical to other structures.</w:t>
            </w:r>
          </w:p>
        </w:tc>
      </w:tr>
    </w:tbl>
    <w:p>
      <w:pPr>
        <w:pStyle w:val="Heading2"/>
        <w:spacing w:after="150" w:before="300"/>
      </w:pPr>
      <w:r>
        <w:t xml:space="preserve">4.5 One Person Company (OPC)</w:t>
      </w:r>
    </w:p>
    <w:p>
      <w:pPr>
        <w:spacing w:after="150"/>
      </w:pPr>
      <w:r>
        <w:t xml:space="preserve">An OPC is incorporated through SPICe+ exactly like a Private Limited Company (only one director and one shareholder — who may be the same natural person — plus a mandatory nominee), and is treated identically to any other company under RBI KYC MD Para 30 for banking purposes. The distinguishing document is the nominee's consent.</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Certificate of Incorporation, MOA/AOA, PAN of the OPC</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Identical to Pvt Ltd company documents — SPICe+ is the mandatory incorporation route for OPCs too.</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Sole Member/Director identity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PAN, Aadhaar/OVD, DIN, DSC of the sole director/member</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Same individual-CDD and DIN/DSC standard as any company director.</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Nominee</w:t>
            </w:r>
          </w:p>
        </w:tc>
        <w:tc>
          <w:tcPr>
            <w:tcW w:type="dxa" w:w="5200"/>
            <w:tcMar>
              <w:top w:type="dxa" w:w="60"/>
              <w:left w:type="dxa" w:w="100"/>
              <w:bottom w:type="dxa" w:w="60"/>
              <w:right w:type="dxa" w:w="100"/>
            </w:tcMar>
            <w:vAlign w:val="center"/>
          </w:tcPr>
          <w:p>
            <w:pPr>
              <w:jc w:val="left"/>
            </w:pPr>
            <w:r>
              <w:rPr>
                <w:b w:val="false"/>
                <w:bCs w:val="false"/>
                <w:sz w:val="19"/>
                <w:szCs w:val="19"/>
              </w:rPr>
              <w:t xml:space="preserve">Nominee's PAN, Aadhaar/OVD, and written consent (Form INC-3)</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Unique to OPC — a nominee must be named at incorporation to take over membership on the sole member's death/incapacity; nominee's identity and address proof are mandatory MCA filing requirements.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address</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Same registered-office proof standard as Pvt Ltd (utility bill ≤2 months, NOC, rent/ownership proof)</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Authorised Signatory / Beneficial Owner</w:t>
            </w:r>
          </w:p>
        </w:tc>
        <w:tc>
          <w:tcPr>
            <w:tcW w:type="dxa" w:w="5200"/>
            <w:tcMar>
              <w:top w:type="dxa" w:w="60"/>
              <w:left w:type="dxa" w:w="100"/>
              <w:bottom w:type="dxa" w:w="60"/>
              <w:right w:type="dxa" w:w="100"/>
            </w:tcMar>
            <w:vAlign w:val="center"/>
          </w:tcPr>
          <w:p>
            <w:pPr>
              <w:jc w:val="left"/>
            </w:pPr>
            <w:r>
              <w:rPr>
                <w:b w:val="false"/>
                <w:bCs w:val="false"/>
                <w:sz w:val="19"/>
                <w:szCs w:val="19"/>
              </w:rPr>
              <w:t xml:space="preserve">Same as Pvt Ltd — Board Resolution/POA; BO is normally the sole member (holding 100%)</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Because the sole member typically owns 100%, they are, by default, the beneficial owner and SBO for RBI/MCA purposes.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GST (if applicable)</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Same company-type document set as Pvt Ltd</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Turnover-based trigger.</w:t>
            </w:r>
          </w:p>
        </w:tc>
      </w:tr>
    </w:tbl>
    <w:p>
      <w:pPr>
        <w:pStyle w:val="Heading2"/>
        <w:spacing w:after="150" w:before="300"/>
      </w:pPr>
      <w:r>
        <w:t xml:space="preserve">4.6 Other Structures: Trust, Society, HUF, Section 8 Company</w:t>
      </w:r>
    </w:p>
    <w:p>
      <w:pPr>
        <w:spacing w:after="150"/>
      </w:pPr>
      <w:r>
        <w:t xml:space="preserve">These are the most document-heterogeneous category because RBI KYC MD treats each sub-type differently: trusts fall under Para 32, societies/other juridical persons under Para 33B, and HUFs are treated by banks as a distinct 'Person' category under Para 3(a)(xvi)(b) with its own Karta-based documentation convention (not separately codified with a dedicated paragraph in the Master Direction, but handled as a juridical person akin to Para 33B in practice).</w:t>
      </w:r>
    </w:p>
    <w:p>
      <w:pPr>
        <w:pStyle w:val="Heading3"/>
        <w:spacing w:after="100" w:before="200"/>
      </w:pPr>
      <w:r>
        <w:t xml:space="preserve">4.6.1 Trust</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Registration certificate (under Indian Trusts Act, 1882 / State Public Trusts Act, if applicable)</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Para 32(1).</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Trust Deed</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Para 32(2) — states objects, trustees, beneficiaries.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PAN or Form No. 60 of the trust</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Para 32(3).</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address</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Registered office address of the trust</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Para 32(6).</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Trustee/Author/Beneficiary KYC</w:t>
            </w:r>
          </w:p>
        </w:tc>
        <w:tc>
          <w:tcPr>
            <w:tcW w:type="dxa" w:w="5200"/>
            <w:tcMar>
              <w:top w:type="dxa" w:w="60"/>
              <w:left w:type="dxa" w:w="100"/>
              <w:bottom w:type="dxa" w:w="60"/>
              <w:right w:type="dxa" w:w="100"/>
            </w:tcMar>
            <w:vAlign w:val="center"/>
          </w:tcPr>
          <w:p>
            <w:pPr>
              <w:jc w:val="left"/>
            </w:pPr>
            <w:r>
              <w:rPr>
                <w:b w:val="false"/>
                <w:bCs w:val="false"/>
                <w:sz w:val="19"/>
                <w:szCs w:val="19"/>
              </w:rPr>
              <w:t xml:space="preserve">List of trustees + individual CDD documents (Para 16) for every trustee authorised to transact; names of beneficiaries, settlor/author, protector (if any)</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Para 32(4), (5) &amp; (7); Beneficial Owner definition for trusts (Para 3(a)(iv)(d)) uniquely covers the author, the trustee(s), beneficiaries with ≥10% interest, and any person exercising ultimate effective control — broader than the company/partnership tests.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Non-profit registration</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DARPAN Portal (NITI Aayog) registration</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Mandatory specifically for customers that are Non-Profit Organisations (NPOs, incl. charitable/religious trusts) per Para 46A; banks must register the customer on DARPAN if not already done, and retain records for 5 years post relationship.</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GST (if applicable)</w:t>
            </w:r>
          </w:p>
        </w:tc>
        <w:tc>
          <w:tcPr>
            <w:tcW w:type="dxa" w:w="5200"/>
            <w:tcMar>
              <w:top w:type="dxa" w:w="60"/>
              <w:left w:type="dxa" w:w="100"/>
              <w:bottom w:type="dxa" w:w="60"/>
              <w:right w:type="dxa" w:w="100"/>
            </w:tcMar>
            <w:vAlign w:val="center"/>
          </w:tcPr>
          <w:p>
            <w:pPr>
              <w:jc w:val="left"/>
            </w:pPr>
            <w:r>
              <w:rPr>
                <w:b w:val="false"/>
                <w:bCs w:val="false"/>
                <w:sz w:val="19"/>
                <w:szCs w:val="19"/>
              </w:rPr>
              <w:t xml:space="preserve">Trust deed, PAN, registration certificate, address proof, authorised-signatory documents</w:t>
            </w:r>
          </w:p>
        </w:tc>
        <w:tc>
          <w:tcPr>
            <w:tcW w:type="dxa" w:w="1500"/>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tcMar>
              <w:top w:type="dxa" w:w="60"/>
              <w:left w:type="dxa" w:w="100"/>
              <w:bottom w:type="dxa" w:w="60"/>
              <w:right w:type="dxa" w:w="100"/>
            </w:tcMar>
            <w:vAlign w:val="center"/>
          </w:tcPr>
          <w:p>
            <w:pPr>
              <w:jc w:val="left"/>
            </w:pPr>
            <w:r>
              <w:rPr>
                <w:b w:val="false"/>
                <w:bCs w:val="false"/>
                <w:sz w:val="19"/>
                <w:szCs w:val="19"/>
              </w:rPr>
              <w:t xml:space="preserve">Applicable if the trust undertakes taxable supply of goods/services above threshold.</w:t>
            </w:r>
          </w:p>
        </w:tc>
      </w:tr>
    </w:tbl>
    <w:p>
      <w:pPr>
        <w:pStyle w:val="Heading3"/>
        <w:spacing w:after="100" w:before="200"/>
      </w:pPr>
      <w:r>
        <w:t xml:space="preserve">4.6.2 Society</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Registration certificate under the Societies Registration Act, 1860 (or equivalent State Act)</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Societies fall under the 'body of individuals' limb of the unincorporated-association/juridical-person tests in RBI MD Para 33A/33B.</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Byelaws / Memorandum of Society, PAN or Form 60</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Establishes objects and governing body.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Governing-body authority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Resolution of the managing body naming the person(s) authorised to transact + PAN/Form 60 of the society</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Para 33A(1)&amp;(2).</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Office-bearer/authorised-signatory KYC</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Individual CDD (Para 16 documents) for the office bearer(s)/POA holder authorised to operate accounts</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Para 33A(4)/33B(2).</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Beneficial Owner</w:t>
            </w:r>
          </w:p>
        </w:tc>
        <w:tc>
          <w:tcPr>
            <w:tcW w:type="dxa" w:w="5200"/>
            <w:tcMar>
              <w:top w:type="dxa" w:w="60"/>
              <w:left w:type="dxa" w:w="100"/>
              <w:bottom w:type="dxa" w:w="60"/>
              <w:right w:type="dxa" w:w="100"/>
            </w:tcMar>
            <w:vAlign w:val="center"/>
          </w:tcPr>
          <w:p>
            <w:pPr>
              <w:jc w:val="left"/>
            </w:pPr>
            <w:r>
              <w:rPr>
                <w:b w:val="false"/>
                <w:bCs w:val="false"/>
                <w:sz w:val="19"/>
                <w:szCs w:val="19"/>
              </w:rPr>
              <w:t xml:space="preserve">Natural person(s) with &gt;15% ownership/entitlement to the society's property/capital/profits, or senior managing official if none identified</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Higher 15% BO threshold applies specifically to unincorporated associations/bodies of individuals (Para 3(a)(iv)(c)), vs 10% for companies/partnerships.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GST (if applicable)</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Society registration certificate, PAN, address proof, authorised-signatory proof</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
            </w:r>
          </w:p>
        </w:tc>
      </w:tr>
    </w:tbl>
    <w:p>
      <w:pPr>
        <w:pStyle w:val="Heading3"/>
        <w:spacing w:after="100" w:before="200"/>
      </w:pPr>
      <w:r>
        <w:t xml:space="preserve">4.6.3 Hindu Undivided Family (HUF)</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HUF's own PAN card (distinct from Karta's personal PAN)</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Every HUF is separately assessed and must carry a dedicated PAN.</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Karta identity &amp; authority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Karta's individual PAN, Aadhaar/OVD, and a declaration/deed naming the Karta and listing coparceners</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Bank treats HUF banking relationships as run by the Karta, who undergoes full individual CDD (Para 16); no dedicated HUF paragraph exists in the RBI MD, so banks apply the juridical-person/unincorporated-association documentation logic by analogy.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address</w:t>
            </w:r>
          </w:p>
        </w:tc>
        <w:tc>
          <w:tcPr>
            <w:tcW w:type="dxa" w:w="5200"/>
            <w:tcMar>
              <w:top w:type="dxa" w:w="60"/>
              <w:left w:type="dxa" w:w="100"/>
              <w:bottom w:type="dxa" w:w="60"/>
              <w:right w:type="dxa" w:w="100"/>
            </w:tcMar>
            <w:vAlign w:val="center"/>
          </w:tcPr>
          <w:p>
            <w:pPr>
              <w:jc w:val="left"/>
            </w:pPr>
            <w:r>
              <w:rPr>
                <w:b w:val="false"/>
                <w:bCs w:val="false"/>
                <w:sz w:val="19"/>
                <w:szCs w:val="19"/>
              </w:rPr>
              <w:t xml:space="preserve">HUF/Karta's residential or business address proof</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Beneficial Owner</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Coparceners with material entitlement are generally not separately KYC'd unless operating the account; Karta is the primary point of control</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Practice varies by bank; some REs require an HUF Deed/Declaration signed by all major coparceners.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GST (if applicable)</w:t>
            </w:r>
          </w:p>
        </w:tc>
        <w:tc>
          <w:tcPr>
            <w:tcW w:type="dxa" w:w="5200"/>
            <w:tcMar>
              <w:top w:type="dxa" w:w="60"/>
              <w:left w:type="dxa" w:w="100"/>
              <w:bottom w:type="dxa" w:w="60"/>
              <w:right w:type="dxa" w:w="100"/>
            </w:tcMar>
            <w:vAlign w:val="center"/>
          </w:tcPr>
          <w:p>
            <w:pPr>
              <w:jc w:val="left"/>
            </w:pPr>
            <w:r>
              <w:rPr>
                <w:b w:val="false"/>
                <w:bCs w:val="false"/>
                <w:sz w:val="19"/>
                <w:szCs w:val="19"/>
              </w:rPr>
              <w:t xml:space="preserve">HUF PAN, Karta's PAN/Aadhaar, address proof, bank details</w:t>
            </w:r>
          </w:p>
        </w:tc>
        <w:tc>
          <w:tcPr>
            <w:tcW w:type="dxa" w:w="1500"/>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tcMar>
              <w:top w:type="dxa" w:w="60"/>
              <w:left w:type="dxa" w:w="100"/>
              <w:bottom w:type="dxa" w:w="60"/>
              <w:right w:type="dxa" w:w="100"/>
            </w:tcMar>
            <w:vAlign w:val="center"/>
          </w:tcPr>
          <w:p>
            <w:pPr>
              <w:jc w:val="left"/>
            </w:pPr>
            <w:r>
              <w:rPr>
                <w:b w:val="false"/>
                <w:bCs w:val="false"/>
                <w:sz w:val="19"/>
                <w:szCs w:val="19"/>
              </w:rPr>
              <w:t xml:space="preserve">HUFs engaged in business/trade above threshold must register like any other constitution type.</w:t>
            </w:r>
          </w:p>
        </w:tc>
      </w:tr>
    </w:tbl>
    <w:p>
      <w:pPr>
        <w:pStyle w:val="Heading3"/>
        <w:spacing w:after="100" w:before="200"/>
      </w:pPr>
      <w:r>
        <w:t xml:space="preserve">4.6.4 Section 8 Company (Not-for-Profit)</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gridCol w:w="27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52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500"/>
            <w:shd w:fill="1F3864"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2700"/>
            <w:shd w:fill="1F3864" w:val="clear"/>
            <w:tcMar>
              <w:top w:type="dxa" w:w="60"/>
              <w:left w:type="dxa" w:w="100"/>
              <w:bottom w:type="dxa" w:w="60"/>
              <w:right w:type="dxa" w:w="100"/>
            </w:tcMar>
            <w:vAlign w:val="center"/>
          </w:tcPr>
          <w:p>
            <w:pPr>
              <w:jc w:val="center"/>
            </w:pPr>
            <w:r>
              <w:rPr>
                <w:b/>
                <w:bCs/>
                <w:color w:val="FFFFFF"/>
                <w:sz w:val="19"/>
                <w:szCs w:val="19"/>
              </w:rPr>
              <w:t xml:space="preserve">Notes / Validity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Business identity</w:t>
            </w:r>
          </w:p>
        </w:tc>
        <w:tc>
          <w:tcPr>
            <w:tcW w:type="dxa" w:w="5200"/>
            <w:tcMar>
              <w:top w:type="dxa" w:w="60"/>
              <w:left w:type="dxa" w:w="100"/>
              <w:bottom w:type="dxa" w:w="60"/>
              <w:right w:type="dxa" w:w="100"/>
            </w:tcMar>
            <w:vAlign w:val="center"/>
          </w:tcPr>
          <w:p>
            <w:pPr>
              <w:jc w:val="left"/>
            </w:pPr>
            <w:r>
              <w:rPr>
                <w:b w:val="false"/>
                <w:bCs w:val="false"/>
                <w:sz w:val="19"/>
                <w:szCs w:val="19"/>
              </w:rPr>
              <w:t xml:space="preserve">Certificate of Incorporation, Licence under §8 of Companies Act, 2013, MOA/AOA, PAN</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Incorporated through SPICe+ exactly like a Pvt Ltd company; RBI MD Para 30 (company documents) applies for banking KYC — a Section 8 Company is a company for KYC purposes.</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Governance/authorised signatory</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Board Resolution + POA authorising signatories; declaration of compliance under §8(1)(b)/(c) (now consolidated into INC-9)</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MCA FAQ confirms the §8 declarations were merged into Form INC-9 in recent SPICe+ revisions.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Beneficial Owner / SBO</w:t>
            </w:r>
          </w:p>
        </w:tc>
        <w:tc>
          <w:tcPr>
            <w:tcW w:type="dxa" w:w="5200"/>
            <w:tcMar>
              <w:top w:type="dxa" w:w="60"/>
              <w:left w:type="dxa" w:w="100"/>
              <w:bottom w:type="dxa" w:w="60"/>
              <w:right w:type="dxa" w:w="100"/>
            </w:tcMar>
            <w:vAlign w:val="center"/>
          </w:tcPr>
          <w:p>
            <w:pPr>
              <w:jc w:val="left"/>
            </w:pPr>
            <w:r>
              <w:rPr>
                <w:b w:val="false"/>
                <w:bCs w:val="false"/>
                <w:sz w:val="19"/>
                <w:szCs w:val="19"/>
              </w:rPr>
              <w:t xml:space="preserve">Same SBO regime as any other company (Form BEN-1/BEN-2) applies — Section 8 status is not an SBO exemption</w:t>
            </w:r>
          </w:p>
        </w:tc>
        <w:tc>
          <w:tcPr>
            <w:tcW w:type="dxa" w:w="1500"/>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tcMar>
              <w:top w:type="dxa" w:w="60"/>
              <w:left w:type="dxa" w:w="100"/>
              <w:bottom w:type="dxa" w:w="60"/>
              <w:right w:type="dxa" w:w="100"/>
            </w:tcMar>
            <w:vAlign w:val="center"/>
          </w:tcPr>
          <w:p>
            <w:pPr>
              <w:jc w:val="left"/>
            </w:pPr>
            <w:r>
              <w:rPr>
                <w:b w:val="false"/>
                <w:bCs w:val="false"/>
                <w:sz w:val="19"/>
                <w:szCs w:val="19"/>
              </w:rPr>
              <w:t xml:space="preserve">Confirmed by MCA guidance: Section 8 companies cannot skip Section 90 compliance.</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Non-profit registration</w:t>
            </w:r>
          </w:p>
        </w:tc>
        <w:tc>
          <w:tcPr>
            <w:tcW w:type="dxa" w:w="5200"/>
            <w:shd w:fill="F2F2F2" w:val="clear"/>
            <w:tcMar>
              <w:top w:type="dxa" w:w="60"/>
              <w:left w:type="dxa" w:w="100"/>
              <w:bottom w:type="dxa" w:w="60"/>
              <w:right w:type="dxa" w:w="100"/>
            </w:tcMar>
            <w:vAlign w:val="center"/>
          </w:tcPr>
          <w:p>
            <w:pPr>
              <w:jc w:val="left"/>
            </w:pPr>
            <w:r>
              <w:rPr>
                <w:b w:val="false"/>
                <w:bCs w:val="false"/>
                <w:sz w:val="19"/>
                <w:szCs w:val="19"/>
              </w:rPr>
              <w:t xml:space="preserve">DARPAN Portal registration (NITI Aayog)</w:t>
            </w:r>
          </w:p>
        </w:tc>
        <w:tc>
          <w:tcPr>
            <w:tcW w:type="dxa" w:w="15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2700"/>
            <w:shd w:fill="F2F2F2" w:val="clear"/>
            <w:tcMar>
              <w:top w:type="dxa" w:w="60"/>
              <w:left w:type="dxa" w:w="100"/>
              <w:bottom w:type="dxa" w:w="60"/>
              <w:right w:type="dxa" w:w="100"/>
            </w:tcMar>
            <w:vAlign w:val="center"/>
          </w:tcPr>
          <w:p>
            <w:pPr>
              <w:jc w:val="left"/>
            </w:pPr>
            <w:r>
              <w:rPr>
                <w:b w:val="false"/>
                <w:bCs w:val="false"/>
                <w:sz w:val="19"/>
                <w:szCs w:val="19"/>
              </w:rPr>
              <w:t xml:space="preserve">Section 8 companies fall within the RBI MD's NPO definition (Para 3(b)(xiii)) and must be DARPAN-registered per Para 46A.</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12A / 80G / FCRA (if applicable)</w:t>
            </w:r>
          </w:p>
        </w:tc>
        <w:tc>
          <w:tcPr>
            <w:tcW w:type="dxa" w:w="5200"/>
            <w:tcMar>
              <w:top w:type="dxa" w:w="60"/>
              <w:left w:type="dxa" w:w="100"/>
              <w:bottom w:type="dxa" w:w="60"/>
              <w:right w:type="dxa" w:w="100"/>
            </w:tcMar>
            <w:vAlign w:val="center"/>
          </w:tcPr>
          <w:p>
            <w:pPr>
              <w:jc w:val="left"/>
            </w:pPr>
            <w:r>
              <w:rPr>
                <w:b w:val="false"/>
                <w:bCs w:val="false"/>
                <w:sz w:val="19"/>
                <w:szCs w:val="19"/>
              </w:rPr>
              <w:t xml:space="preserve">Income Tax 12A/80G registration; FCRA registration if receiving foreign contributions</w:t>
            </w:r>
          </w:p>
        </w:tc>
        <w:tc>
          <w:tcPr>
            <w:tcW w:type="dxa" w:w="1500"/>
            <w:tcMar>
              <w:top w:type="dxa" w:w="60"/>
              <w:left w:type="dxa" w:w="100"/>
              <w:bottom w:type="dxa" w:w="60"/>
              <w:right w:type="dxa" w:w="100"/>
            </w:tcMar>
            <w:vAlign w:val="center"/>
          </w:tcPr>
          <w:p>
            <w:pPr>
              <w:jc w:val="left"/>
            </w:pPr>
            <w:r>
              <w:rPr>
                <w:b w:val="false"/>
                <w:bCs w:val="false"/>
                <w:sz w:val="19"/>
                <w:szCs w:val="19"/>
              </w:rPr>
              <w:t xml:space="preserve">C</w:t>
            </w:r>
          </w:p>
        </w:tc>
        <w:tc>
          <w:tcPr>
            <w:tcW w:type="dxa" w:w="2700"/>
            <w:tcMar>
              <w:top w:type="dxa" w:w="60"/>
              <w:left w:type="dxa" w:w="100"/>
              <w:bottom w:type="dxa" w:w="60"/>
              <w:right w:type="dxa" w:w="100"/>
            </w:tcMar>
            <w:vAlign w:val="center"/>
          </w:tcPr>
          <w:p>
            <w:pPr>
              <w:jc w:val="left"/>
            </w:pPr>
            <w:r>
              <w:rPr>
                <w:b w:val="false"/>
                <w:bCs w:val="false"/>
                <w:sz w:val="19"/>
                <w:szCs w:val="19"/>
              </w:rPr>
              <w:t xml:space="preserve">Conditional on seeking tax-exemption status or foreign donations; not a banking-KYC requirement per se but commonly requested by banks for donor-facing accounts.</w:t>
            </w:r>
          </w:p>
        </w:tc>
      </w:tr>
    </w:tbl>
    <w:p>
      <w:pPr>
        <w:pageBreakBefore/>
      </w:pPr>
    </w:p>
    <w:p>
      <w:pPr>
        <w:pStyle w:val="Heading1"/>
        <w:spacing w:after="200" w:before="400"/>
      </w:pPr>
      <w:r>
        <w:t xml:space="preserve">5. Mandatory vs Optional Documents — Cross-Cutting View by Verification Category</w:t>
      </w:r>
    </w:p>
    <w:p>
      <w:pPr>
        <w:pStyle w:val="Heading2"/>
        <w:spacing w:after="150" w:before="300"/>
      </w:pPr>
      <w:r>
        <w:t xml:space="preserve">5.1 Business Identity Verification</w:t>
      </w:r>
    </w:p>
    <w:p>
      <w:pPr>
        <w:pStyle w:val="ListParagraph"/>
        <w:numPr>
          <w:ilvl w:val="0"/>
          <w:numId w:val="1"/>
        </w:numPr>
        <w:spacing w:after="80"/>
      </w:pPr>
      <w:r>
        <w:t xml:space="preserve">Mandatory across all structures: PAN (entity-level for firms/companies/LLPs/trusts/societies/HUF; individual PAN for proprietors), and a constitutive document (Partnership Deed / Trust Deed / Certificate of Incorporation / Registration Certificate / MOA-AOA / LLP Agreement, as applicable).</w:t>
      </w:r>
    </w:p>
    <w:p>
      <w:pPr>
        <w:pStyle w:val="ListParagraph"/>
        <w:numPr>
          <w:ilvl w:val="0"/>
          <w:numId w:val="1"/>
        </w:numPr>
        <w:spacing w:after="80"/>
      </w:pPr>
      <w:r>
        <w:t xml:space="preserve">Conditional: Registration certificate — mandatory for registered partnerships, trusts, societies; not applicable to sole proprietorships, which instead need any two of the eight Para-28 business-activity proofs.</w:t>
      </w:r>
    </w:p>
    <w:p>
      <w:pPr>
        <w:pStyle w:val="ListParagraph"/>
        <w:numPr>
          <w:ilvl w:val="0"/>
          <w:numId w:val="1"/>
        </w:numPr>
        <w:spacing w:after="80"/>
      </w:pPr>
      <w:r>
        <w:t xml:space="preserve">Alternative accepted document: Form No. 60 in lieu of PAN, where PAN has genuinely not been allotted (trusts, unincorporated associations) per RBI MD definitions.</w:t>
      </w:r>
    </w:p>
    <w:p>
      <w:pPr>
        <w:pStyle w:val="Heading2"/>
        <w:spacing w:after="150" w:before="300"/>
      </w:pPr>
      <w:r>
        <w:t xml:space="preserve">5.2 Business Address Verification</w:t>
      </w:r>
    </w:p>
    <w:p>
      <w:pPr>
        <w:pStyle w:val="ListParagraph"/>
        <w:numPr>
          <w:ilvl w:val="0"/>
          <w:numId w:val="1"/>
        </w:numPr>
        <w:spacing w:after="80"/>
      </w:pPr>
      <w:r>
        <w:t xml:space="preserve">Mandatory: one address proof of the registered/principal place of business — utility bill (≤2 months old), property/municipal tax receipt, or rent/lease agreement plus owner's NOC.</w:t>
      </w:r>
    </w:p>
    <w:p>
      <w:pPr>
        <w:pStyle w:val="ListParagraph"/>
        <w:numPr>
          <w:ilvl w:val="0"/>
          <w:numId w:val="1"/>
        </w:numPr>
        <w:spacing w:after="80"/>
      </w:pPr>
      <w:r>
        <w:t xml:space="preserve">Validity rule: A utility bill is valid as an address-verification document only if it is not more than two months old at the time of submission (RBI MD Para 3(a)(xiv)(b)(1); GST portal checklists apply the same working convention).</w:t>
      </w:r>
    </w:p>
    <w:p>
      <w:pPr>
        <w:pStyle w:val="ListParagraph"/>
        <w:numPr>
          <w:ilvl w:val="0"/>
          <w:numId w:val="1"/>
        </w:numPr>
        <w:spacing w:after="80"/>
      </w:pPr>
      <w:r>
        <w:t xml:space="preserve">Conditional: Sale deed / ownership document only where premises are owned; rent agreement + NOC only where rented; both MCA and GST accept either path.</w:t>
      </w:r>
    </w:p>
    <w:p>
      <w:pPr>
        <w:pStyle w:val="Heading2"/>
        <w:spacing w:after="150" w:before="300"/>
      </w:pPr>
      <w:r>
        <w:t xml:space="preserve">5.3 Owner / Director / Partner KYC</w:t>
      </w:r>
    </w:p>
    <w:p>
      <w:pPr>
        <w:pStyle w:val="ListParagraph"/>
        <w:numPr>
          <w:ilvl w:val="0"/>
          <w:numId w:val="1"/>
        </w:numPr>
        <w:spacing w:after="80"/>
      </w:pPr>
      <w:r>
        <w:t xml:space="preserve">Mandatory for every natural person in a controlling or transacting role: PAN + one OVD/Aadhaar, verified either physically, via V-CIP, via Digital KYC, or via CKYCR retrieval using a KYC Identifier.</w:t>
      </w:r>
    </w:p>
    <w:p>
      <w:pPr>
        <w:pStyle w:val="ListParagraph"/>
        <w:numPr>
          <w:ilvl w:val="0"/>
          <w:numId w:val="1"/>
        </w:numPr>
        <w:spacing w:after="80"/>
      </w:pPr>
      <w:r>
        <w:t xml:space="preserve">Mandatory for company/LLP office-holders specifically: Director Identification Number (DIN) or Designated Partner Identification Number (DPIN), and — before incorporation forms can even be filed — a Class 3 Digital Signature Certificate.</w:t>
      </w:r>
    </w:p>
    <w:p>
      <w:pPr>
        <w:pStyle w:val="ListParagraph"/>
        <w:numPr>
          <w:ilvl w:val="0"/>
          <w:numId w:val="1"/>
        </w:numPr>
        <w:spacing w:after="80"/>
      </w:pPr>
      <w:r>
        <w:t xml:space="preserve">Conditional: DIR-3 KYC (annual e-KYC filing for existing DIN holders, due 30 September each year) — mandatory only for individuals who already hold a DIN from a prior year; a lapsed DIR-3 KYC deactivates the DIN and blocks fresh incorporation filings.</w:t>
      </w:r>
    </w:p>
    <w:p>
      <w:pPr>
        <w:pStyle w:val="Heading2"/>
        <w:spacing w:after="150" w:before="300"/>
      </w:pPr>
      <w:r>
        <w:t xml:space="preserve">5.4 Authorised Signatory Verification</w:t>
      </w:r>
    </w:p>
    <w:p>
      <w:pPr>
        <w:pStyle w:val="ListParagraph"/>
        <w:numPr>
          <w:ilvl w:val="0"/>
          <w:numId w:val="1"/>
        </w:numPr>
        <w:spacing w:after="80"/>
      </w:pPr>
      <w:r>
        <w:t xml:space="preserve">Mandatory: a Board Resolution (companies/LLPs/OPC/Section 8) or Managing-Partner mandate (partnership) or governing-body resolution (trust/society), naming the authorised signatory, plus that signatory's full individual CDD documents.</w:t>
      </w:r>
    </w:p>
    <w:p>
      <w:pPr>
        <w:pStyle w:val="ListParagraph"/>
        <w:numPr>
          <w:ilvl w:val="0"/>
          <w:numId w:val="1"/>
        </w:numPr>
        <w:spacing w:after="80"/>
      </w:pPr>
      <w:r>
        <w:t xml:space="preserve">For GST specifically: Letter of Authorisation or copy of the Resolution passed by the Board of Directors/Managing Committee, together with an acceptance letter, is an explicit, separately-named upload category on the GST portal document checklist.</w:t>
      </w:r>
    </w:p>
    <w:p>
      <w:pPr>
        <w:pStyle w:val="ListParagraph"/>
        <w:numPr>
          <w:ilvl w:val="0"/>
          <w:numId w:val="1"/>
        </w:numPr>
        <w:spacing w:after="80"/>
      </w:pPr>
      <w:r>
        <w:t xml:space="preserve">Not applicable to sole proprietorships, where the proprietor is definitionally the only signatory (unless a POA holder is separately appointed and independently KYC'd).</w:t>
      </w:r>
    </w:p>
    <w:p>
      <w:pPr>
        <w:pStyle w:val="Heading2"/>
        <w:spacing w:after="150" w:before="300"/>
      </w:pPr>
      <w:r>
        <w:t xml:space="preserve">5.5 Beneficial Owner (UBO) Verification</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00"/>
        <w:gridCol w:w="33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Entity Type</w:t>
            </w:r>
          </w:p>
        </w:tc>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BO Threshold (RBI KYC MD)</w:t>
            </w:r>
          </w:p>
        </w:tc>
        <w:tc>
          <w:tcPr>
            <w:tcW w:type="dxa" w:w="2500"/>
            <w:shd w:fill="1F3864" w:val="clear"/>
            <w:tcMar>
              <w:top w:type="dxa" w:w="60"/>
              <w:left w:type="dxa" w:w="100"/>
              <w:bottom w:type="dxa" w:w="60"/>
              <w:right w:type="dxa" w:w="100"/>
            </w:tcMar>
            <w:vAlign w:val="center"/>
          </w:tcPr>
          <w:p>
            <w:pPr>
              <w:jc w:val="center"/>
            </w:pPr>
            <w:r>
              <w:rPr>
                <w:b/>
                <w:bCs/>
                <w:color w:val="FFFFFF"/>
                <w:sz w:val="19"/>
                <w:szCs w:val="19"/>
              </w:rPr>
              <w:t xml:space="preserve">Legal Basis</w:t>
            </w:r>
          </w:p>
        </w:tc>
        <w:tc>
          <w:tcPr>
            <w:tcW w:type="dxa" w:w="3300"/>
            <w:shd w:fill="1F3864" w:val="clear"/>
            <w:tcMar>
              <w:top w:type="dxa" w:w="60"/>
              <w:left w:type="dxa" w:w="100"/>
              <w:bottom w:type="dxa" w:w="60"/>
              <w:right w:type="dxa" w:w="100"/>
            </w:tcMar>
            <w:vAlign w:val="center"/>
          </w:tcPr>
          <w:p>
            <w:pPr>
              <w:jc w:val="center"/>
            </w:pPr>
            <w:r>
              <w:rPr>
                <w:b/>
                <w:bCs/>
                <w:color w:val="FFFFFF"/>
                <w:sz w:val="19"/>
                <w:szCs w:val="19"/>
              </w:rPr>
              <w:t xml:space="preserve">Separate MCA Filing?</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Company</w:t>
            </w:r>
          </w:p>
        </w:tc>
        <w:tc>
          <w:tcPr>
            <w:tcW w:type="dxa" w:w="3400"/>
            <w:tcMar>
              <w:top w:type="dxa" w:w="60"/>
              <w:left w:type="dxa" w:w="100"/>
              <w:bottom w:type="dxa" w:w="60"/>
              <w:right w:type="dxa" w:w="100"/>
            </w:tcMar>
            <w:vAlign w:val="center"/>
          </w:tcPr>
          <w:p>
            <w:pPr>
              <w:jc w:val="left"/>
            </w:pPr>
            <w:r>
              <w:rPr>
                <w:b w:val="false"/>
                <w:bCs w:val="false"/>
                <w:sz w:val="19"/>
                <w:szCs w:val="19"/>
              </w:rPr>
              <w:t xml:space="preserve">&gt;10% controlling ownership interest OR control via appointment rights/management/shareholder agreements</w:t>
            </w:r>
          </w:p>
        </w:tc>
        <w:tc>
          <w:tcPr>
            <w:tcW w:type="dxa" w:w="2500"/>
            <w:tcMar>
              <w:top w:type="dxa" w:w="60"/>
              <w:left w:type="dxa" w:w="100"/>
              <w:bottom w:type="dxa" w:w="60"/>
              <w:right w:type="dxa" w:w="100"/>
            </w:tcMar>
            <w:vAlign w:val="center"/>
          </w:tcPr>
          <w:p>
            <w:pPr>
              <w:jc w:val="left"/>
            </w:pPr>
            <w:r>
              <w:rPr>
                <w:b w:val="false"/>
                <w:bCs w:val="false"/>
                <w:sz w:val="19"/>
                <w:szCs w:val="19"/>
              </w:rPr>
              <w:t xml:space="preserve">RBI KYC MD Para 3(a)(iv)(a)</w:t>
            </w:r>
          </w:p>
        </w:tc>
        <w:tc>
          <w:tcPr>
            <w:tcW w:type="dxa" w:w="3300"/>
            <w:tcMar>
              <w:top w:type="dxa" w:w="60"/>
              <w:left w:type="dxa" w:w="100"/>
              <w:bottom w:type="dxa" w:w="60"/>
              <w:right w:type="dxa" w:w="100"/>
            </w:tcMar>
            <w:vAlign w:val="center"/>
          </w:tcPr>
          <w:p>
            <w:pPr>
              <w:jc w:val="left"/>
            </w:pPr>
            <w:r>
              <w:rPr>
                <w:b w:val="false"/>
                <w:bCs w:val="false"/>
                <w:sz w:val="19"/>
                <w:szCs w:val="19"/>
              </w:rPr>
              <w:t xml:space="preserve">Yes — Form BEN-1/BEN-2 under Companies Act §90 (Companies (SBO) Rules, 2018, amended 2019 &amp; 2024) if ≥10% shares/voting rights/dividend right or significant influence/control</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Partnership Firm / LLP (bank practice)</w:t>
            </w:r>
          </w:p>
        </w:tc>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&gt;10% capital/profit entitlement or control over management/policy decisions</w:t>
            </w:r>
          </w:p>
        </w:tc>
        <w:tc>
          <w:tcPr>
            <w:tcW w:type="dxa" w:w="2500"/>
            <w:shd w:fill="F2F2F2" w:val="clear"/>
            <w:tcMar>
              <w:top w:type="dxa" w:w="60"/>
              <w:left w:type="dxa" w:w="100"/>
              <w:bottom w:type="dxa" w:w="60"/>
              <w:right w:type="dxa" w:w="100"/>
            </w:tcMar>
            <w:vAlign w:val="center"/>
          </w:tcPr>
          <w:p>
            <w:pPr>
              <w:jc w:val="left"/>
            </w:pPr>
            <w:r>
              <w:rPr>
                <w:b w:val="false"/>
                <w:bCs w:val="false"/>
                <w:sz w:val="19"/>
                <w:szCs w:val="19"/>
              </w:rPr>
              <w:t xml:space="preserve">RBI KYC MD Para 3(a)(iv)(b)</w:t>
            </w:r>
          </w:p>
        </w:tc>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No dedicated statutory SBO-filing regime for LLPs/partnerships (unlike companies); banks apply the RBI BO test at account-opening only</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Unincorporated association / Society / Body of individuals</w:t>
            </w:r>
          </w:p>
        </w:tc>
        <w:tc>
          <w:tcPr>
            <w:tcW w:type="dxa" w:w="3400"/>
            <w:tcMar>
              <w:top w:type="dxa" w:w="60"/>
              <w:left w:type="dxa" w:w="100"/>
              <w:bottom w:type="dxa" w:w="60"/>
              <w:right w:type="dxa" w:w="100"/>
            </w:tcMar>
            <w:vAlign w:val="center"/>
          </w:tcPr>
          <w:p>
            <w:pPr>
              <w:jc w:val="left"/>
            </w:pPr>
            <w:r>
              <w:rPr>
                <w:b w:val="false"/>
                <w:bCs w:val="false"/>
                <w:sz w:val="19"/>
                <w:szCs w:val="19"/>
              </w:rPr>
              <w:t xml:space="preserve">&gt;15% of property/capital/profits; if none identified, the senior managing official is deemed BO</w:t>
            </w:r>
          </w:p>
        </w:tc>
        <w:tc>
          <w:tcPr>
            <w:tcW w:type="dxa" w:w="2500"/>
            <w:tcMar>
              <w:top w:type="dxa" w:w="60"/>
              <w:left w:type="dxa" w:w="100"/>
              <w:bottom w:type="dxa" w:w="60"/>
              <w:right w:type="dxa" w:w="100"/>
            </w:tcMar>
            <w:vAlign w:val="center"/>
          </w:tcPr>
          <w:p>
            <w:pPr>
              <w:jc w:val="left"/>
            </w:pPr>
            <w:r>
              <w:rPr>
                <w:b w:val="false"/>
                <w:bCs w:val="false"/>
                <w:sz w:val="19"/>
                <w:szCs w:val="19"/>
              </w:rPr>
              <w:t xml:space="preserve">RBI KYC MD Para 3(a)(iv)(c)</w:t>
            </w:r>
          </w:p>
        </w:tc>
        <w:tc>
          <w:tcPr>
            <w:tcW w:type="dxa" w:w="3300"/>
            <w:tcMar>
              <w:top w:type="dxa" w:w="60"/>
              <w:left w:type="dxa" w:w="100"/>
              <w:bottom w:type="dxa" w:w="60"/>
              <w:right w:type="dxa" w:w="100"/>
            </w:tcMar>
            <w:vAlign w:val="center"/>
          </w:tcPr>
          <w:p>
            <w:pPr>
              <w:jc w:val="left"/>
            </w:pPr>
            <w:r>
              <w:rPr>
                <w:b w:val="false"/>
                <w:bCs w:val="false"/>
                <w:sz w:val="19"/>
                <w:szCs w:val="19"/>
              </w:rPr>
              <w:t xml:space="preserve">No</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Trust</w:t>
            </w:r>
          </w:p>
        </w:tc>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Author, trustee(s), beneficiaries with ≥10% interest, and any person exercising ultimate effective control through a chain of ownership/control</w:t>
            </w:r>
          </w:p>
        </w:tc>
        <w:tc>
          <w:tcPr>
            <w:tcW w:type="dxa" w:w="2500"/>
            <w:shd w:fill="F2F2F2" w:val="clear"/>
            <w:tcMar>
              <w:top w:type="dxa" w:w="60"/>
              <w:left w:type="dxa" w:w="100"/>
              <w:bottom w:type="dxa" w:w="60"/>
              <w:right w:type="dxa" w:w="100"/>
            </w:tcMar>
            <w:vAlign w:val="center"/>
          </w:tcPr>
          <w:p>
            <w:pPr>
              <w:jc w:val="left"/>
            </w:pPr>
            <w:r>
              <w:rPr>
                <w:b w:val="false"/>
                <w:bCs w:val="false"/>
                <w:sz w:val="19"/>
                <w:szCs w:val="19"/>
              </w:rPr>
              <w:t xml:space="preserve">RBI KYC MD Para 3(a)(iv)(d)</w:t>
            </w:r>
          </w:p>
        </w:tc>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No dedicated BEN-form regime; trustee disclosure of status required at account opening/transactions per Para 33B proviso</w:t>
            </w:r>
          </w:p>
        </w:tc>
      </w:tr>
    </w:tbl>
    <w:p>
      <w:pPr>
        <w:spacing w:after="200"/>
      </w:pPr>
      <w:r>
        <w:rPr>
          <w:i/>
          <w:iCs/>
          <w:color w:val="555555"/>
          <w:sz w:val="18"/>
          <w:szCs w:val="18"/>
        </w:rPr>
        <w:t xml:space="preserve">Exemptions: identification of shareholders/BOs is not required where the customer or controlling entity is listed on an Indian stock exchange (or a notified foreign exchange) or is a subsidiary of such a listed entity (RBI KYC MD Para 34(1)).</w:t>
      </w:r>
    </w:p>
    <w:p>
      <w:pPr>
        <w:pageBreakBefore/>
      </w:pPr>
    </w:p>
    <w:p>
      <w:pPr>
        <w:pStyle w:val="Heading1"/>
        <w:spacing w:after="200" w:before="400"/>
      </w:pPr>
      <w:r>
        <w:t xml:space="preserve">6. RBI Minimum KYC vs Banking Practice vs Payment Gateway / Fintech Onboarding</w:t>
      </w:r>
    </w:p>
    <w:p>
      <w:pPr>
        <w:pStyle w:val="Heading2"/>
        <w:spacing w:after="150" w:before="300"/>
      </w:pPr>
      <w:r>
        <w:t xml:space="preserve">6.1 RBI Master Direction — the statutory floor</w:t>
      </w:r>
    </w:p>
    <w:p>
      <w:pPr>
        <w:spacing w:after="150"/>
      </w:pPr>
      <w:r>
        <w:t xml:space="preserve">The RBI KYC MD sets the legal minimum for banks/NBFCs/PSPs/PPI issuers. It is deliberately not exhaustive on operational detail — Para 30(c)/31(c) etc. all include a residual clause '...such other documents including in respect of the nature of business and financial status of the customer... as may be required by the RE', which is the legal hook banks use to ask for more.</w:t>
      </w:r>
    </w:p>
    <w:p>
      <w:pPr>
        <w:pStyle w:val="Heading2"/>
        <w:spacing w:after="150" w:before="300"/>
      </w:pPr>
      <w:r>
        <w:t xml:space="preserve">6.2 Banking practice — typically exceeds the RBI floor</w:t>
      </w:r>
    </w:p>
    <w:p>
      <w:pPr>
        <w:pStyle w:val="ListParagraph"/>
        <w:numPr>
          <w:ilvl w:val="0"/>
          <w:numId w:val="1"/>
        </w:numPr>
        <w:spacing w:after="80"/>
      </w:pPr>
      <w:r>
        <w:t xml:space="preserve">Banks commonly ask for the last 6–12 months' bank statements from an existing account, projected turnover/business-plan notes, and a specimen signature card — none of which RBI mandates as a document per se, but which fall under the RE's own Board-approved KYC/Customer Acceptance Policy (Para 9–11).</w:t>
      </w:r>
    </w:p>
    <w:p>
      <w:pPr>
        <w:pStyle w:val="ListParagraph"/>
        <w:numPr>
          <w:ilvl w:val="0"/>
          <w:numId w:val="1"/>
        </w:numPr>
        <w:spacing w:after="80"/>
      </w:pPr>
      <w:r>
        <w:t xml:space="preserve">Banks routinely require GST registration certificate and Udyam (MSME) registration even though these are not named documents in RBI MD Para 28/30/31 — used as supplementary proof of business/activity, particularly for current-account opening and credit facilities.</w:t>
      </w:r>
    </w:p>
    <w:p>
      <w:pPr>
        <w:pStyle w:val="ListParagraph"/>
        <w:numPr>
          <w:ilvl w:val="0"/>
          <w:numId w:val="1"/>
        </w:numPr>
        <w:spacing w:after="80"/>
      </w:pPr>
      <w:r>
        <w:t xml:space="preserve">For current accounts of companies/LLPs, many banks additionally insist on a certified list of directors/designated partners (Form DIR-12/LLP Form 4 extract) even though the RBI MD is satisfied with the Board Resolution and senior-management names.</w:t>
      </w:r>
    </w:p>
    <w:p>
      <w:pPr>
        <w:pStyle w:val="Heading2"/>
        <w:spacing w:after="150" w:before="300"/>
      </w:pPr>
      <w:r>
        <w:t xml:space="preserve">6.3 Payment Gateway / Payment Aggregator onboarding (RBI PA Directions, 2025)</w:t>
      </w:r>
    </w:p>
    <w:p>
      <w:pPr>
        <w:spacing w:after="150"/>
      </w:pPr>
      <w:r>
        <w:t xml:space="preserve">Payment Aggregators (PAs) — the entities that hold merchant settlement funds — are separately and more stringently regulated than plain payment gateways (which are treated as technology/outsourcing providers and do not need RBI authorisation themselves, though they are encouraged to adopt baseline technology standards). Key differences from generic bank KYC:</w:t>
      </w:r>
    </w:p>
    <w:p>
      <w:pPr>
        <w:pStyle w:val="ListParagraph"/>
        <w:numPr>
          <w:ilvl w:val="0"/>
          <w:numId w:val="1"/>
        </w:numPr>
        <w:spacing w:after="80"/>
      </w:pPr>
      <w:r>
        <w:t xml:space="preserve">Mandatory CKYCR-first approach: PAs must retrieve merchant KYC records from the Central KYC Records Registry (CKYCR) with the merchant's explicit consent as the first port of call; only where the CKYCR record is stale/absent does the PA fall back to fresh documentary CDD under the RBI KYC MD.</w:t>
      </w:r>
    </w:p>
    <w:p>
      <w:pPr>
        <w:pStyle w:val="ListParagraph"/>
        <w:numPr>
          <w:ilvl w:val="0"/>
          <w:numId w:val="1"/>
        </w:numPr>
        <w:spacing w:after="80"/>
      </w:pPr>
      <w:r>
        <w:t xml:space="preserve">Simplified due diligence for small merchants: merchants with annual turnover ≤₹40 lakh (or export turnover ≤₹5 lakh) may be onboarded via an alternate, lighter route: (i) PAN/Form 60 verified against the issuing authority, (ii) Contact Point Verification (CPV) of the merchant's place of business, and (iii) one certified OVD of the proprietor or POA holder — a materially lighter package than full Para 30/31 legal-entity KYC.</w:t>
      </w:r>
    </w:p>
    <w:p>
      <w:pPr>
        <w:pStyle w:val="ListParagraph"/>
        <w:numPr>
          <w:ilvl w:val="0"/>
          <w:numId w:val="1"/>
        </w:numPr>
        <w:spacing w:after="80"/>
      </w:pPr>
      <w:r>
        <w:t xml:space="preserve">Marketplace-specific obligations: PAs must ensure that marketplaces they onboard do not collect/settle funds for sellers who are not independently onboarded on that marketplace, and must validate that funds are transferred to the correct merchant bank account — an onboarding/monitoring layer with no equivalent in plain bank-account KYC.</w:t>
      </w:r>
    </w:p>
    <w:p>
      <w:pPr>
        <w:pStyle w:val="ListParagraph"/>
        <w:numPr>
          <w:ilvl w:val="0"/>
          <w:numId w:val="1"/>
        </w:numPr>
        <w:spacing w:after="80"/>
      </w:pPr>
      <w:r>
        <w:t xml:space="preserve">Mandatory FIU-IND registration for non-bank PAs and PMLA reporting obligations, in addition to KYC — a compliance layer that does not attach to an ordinary current-account customer.</w:t>
      </w:r>
    </w:p>
    <w:p>
      <w:pPr>
        <w:pStyle w:val="ListParagraph"/>
        <w:numPr>
          <w:ilvl w:val="0"/>
          <w:numId w:val="1"/>
        </w:numPr>
        <w:spacing w:after="80"/>
      </w:pPr>
      <w:r>
        <w:t xml:space="preserve">Minimum net worth requirement (₹15 crore rising to ₹25 crore within 3 years for non-bank PAs) and escrow-account governance — entity-level regulatory gates that sit alongside, not instead of, merchant KYC.</w:t>
      </w:r>
    </w:p>
    <w:p>
      <w:pPr>
        <w:pStyle w:val="Heading2"/>
        <w:spacing w:after="150" w:before="300"/>
      </w:pPr>
      <w:r>
        <w:t xml:space="preserve">6.4 Prepaid Payment Instruments (PPI) / Fintech Wallet onboarding</w:t>
      </w:r>
    </w:p>
    <w:p>
      <w:pPr>
        <w:spacing w:after="150"/>
      </w:pPr>
      <w:r>
        <w:t xml:space="preserve">Under the (currently operative) 2021 PPI Master Direction, PPIs are classified into Small PPIs (minimum-detail, ≤₹10,000 outstanding balance, no cash withdrawal/P2P transfer, must convert to Full-KYC within 24 months if cash-loaded) and Full-KYC PPIs (up to ₹2 lakh balance, full CDD per the RBI KYC MD, cash withdrawal and fund transfer permitted). A draft 2026 PPI Master Direction (released 22 April 2026, comments closed 22 May 2026) proposes tightening this further — including a monthly debit cap of ₹2 lakh on Full-KYC PPIs, restrictions on credit-card loading, and a one-year validity cap on Gift PPIs — but had not been notified as final law as of the current knowledge position, so businesses should verify the finalised text on rbi.org.in before relying on the draft figures.</w:t>
      </w:r>
    </w:p>
    <w:p>
      <w:pPr>
        <w:pStyle w:val="Heading2"/>
        <w:spacing w:after="150" w:before="300"/>
      </w:pPr>
      <w:r>
        <w:t xml:space="preserve">6.5 Summary comparison</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gridCol w:w="2900"/>
      </w:tblGrid>
      <w:tr>
        <w:trPr>
          <w:tblHeader/>
        </w:trPr>
        <w:tc>
          <w:tcPr>
            <w:tcW w:type="dxa" w:w="2600"/>
            <w:shd w:fill="1F3864" w:val="clear"/>
            <w:tcMar>
              <w:top w:type="dxa" w:w="60"/>
              <w:left w:type="dxa" w:w="100"/>
              <w:bottom w:type="dxa" w:w="60"/>
              <w:right w:type="dxa" w:w="100"/>
            </w:tcMar>
            <w:vAlign w:val="center"/>
          </w:tcPr>
          <w:p>
            <w:pPr>
              <w:jc w:val="center"/>
            </w:pPr>
            <w:r>
              <w:rPr>
                <w:b/>
                <w:bCs/>
                <w:color w:val="FFFFFF"/>
                <w:sz w:val="19"/>
                <w:szCs w:val="19"/>
              </w:rPr>
              <w:t xml:space="preserve">Dimension</w:t>
            </w:r>
          </w:p>
        </w:tc>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RBI KYC MD (Bank Minimum)</w:t>
            </w:r>
          </w:p>
        </w:tc>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Payment Aggregator (2025 Directions)</w:t>
            </w:r>
          </w:p>
        </w:tc>
        <w:tc>
          <w:tcPr>
            <w:tcW w:type="dxa" w:w="2900"/>
            <w:shd w:fill="1F3864" w:val="clear"/>
            <w:tcMar>
              <w:top w:type="dxa" w:w="60"/>
              <w:left w:type="dxa" w:w="100"/>
              <w:bottom w:type="dxa" w:w="60"/>
              <w:right w:type="dxa" w:w="100"/>
            </w:tcMar>
            <w:vAlign w:val="center"/>
          </w:tcPr>
          <w:p>
            <w:pPr>
              <w:jc w:val="center"/>
            </w:pPr>
            <w:r>
              <w:rPr>
                <w:b/>
                <w:bCs/>
                <w:color w:val="FFFFFF"/>
                <w:sz w:val="19"/>
                <w:szCs w:val="19"/>
              </w:rPr>
              <w:t xml:space="preserve">PPI / Wallet (2021 MD, draft 2026)</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Primary legal basis</w:t>
            </w:r>
          </w:p>
        </w:tc>
        <w:tc>
          <w:tcPr>
            <w:tcW w:type="dxa" w:w="3400"/>
            <w:tcMar>
              <w:top w:type="dxa" w:w="60"/>
              <w:left w:type="dxa" w:w="100"/>
              <w:bottom w:type="dxa" w:w="60"/>
              <w:right w:type="dxa" w:w="100"/>
            </w:tcMar>
            <w:vAlign w:val="center"/>
          </w:tcPr>
          <w:p>
            <w:pPr>
              <w:jc w:val="left"/>
            </w:pPr>
            <w:r>
              <w:rPr>
                <w:b w:val="false"/>
                <w:bCs w:val="false"/>
                <w:sz w:val="19"/>
                <w:szCs w:val="19"/>
              </w:rPr>
              <w:t xml:space="preserve">PMLA/PML Rules; Banking Regulation Act; PSS Act</w:t>
            </w:r>
          </w:p>
        </w:tc>
        <w:tc>
          <w:tcPr>
            <w:tcW w:type="dxa" w:w="3400"/>
            <w:tcMar>
              <w:top w:type="dxa" w:w="60"/>
              <w:left w:type="dxa" w:w="100"/>
              <w:bottom w:type="dxa" w:w="60"/>
              <w:right w:type="dxa" w:w="100"/>
            </w:tcMar>
            <w:vAlign w:val="center"/>
          </w:tcPr>
          <w:p>
            <w:pPr>
              <w:jc w:val="left"/>
            </w:pPr>
            <w:r>
              <w:rPr>
                <w:b w:val="false"/>
                <w:bCs w:val="false"/>
                <w:sz w:val="19"/>
                <w:szCs w:val="19"/>
              </w:rPr>
              <w:t xml:space="preserve">PSS Act, 2007 + RBI KYC MD applied mutatis mutandis</w:t>
            </w:r>
          </w:p>
        </w:tc>
        <w:tc>
          <w:tcPr>
            <w:tcW w:type="dxa" w:w="2900"/>
            <w:tcMar>
              <w:top w:type="dxa" w:w="60"/>
              <w:left w:type="dxa" w:w="100"/>
              <w:bottom w:type="dxa" w:w="60"/>
              <w:right w:type="dxa" w:w="100"/>
            </w:tcMar>
            <w:vAlign w:val="center"/>
          </w:tcPr>
          <w:p>
            <w:pPr>
              <w:jc w:val="left"/>
            </w:pPr>
            <w:r>
              <w:rPr>
                <w:b w:val="false"/>
                <w:bCs w:val="false"/>
                <w:sz w:val="19"/>
                <w:szCs w:val="19"/>
              </w:rPr>
              <w:t xml:space="preserve">PSS Act, 2007; KYC per RBI KYC MD</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First-line KYC source</w:t>
            </w:r>
          </w:p>
        </w:tc>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Direct documentary CDD or V-CIP</w:t>
            </w:r>
          </w:p>
        </w:tc>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CKYCR retrieval first, fallback to documentary CDD</w:t>
            </w:r>
          </w:p>
        </w:tc>
        <w:tc>
          <w:tcPr>
            <w:tcW w:type="dxa" w:w="2900"/>
            <w:shd w:fill="F2F2F2" w:val="clear"/>
            <w:tcMar>
              <w:top w:type="dxa" w:w="60"/>
              <w:left w:type="dxa" w:w="100"/>
              <w:bottom w:type="dxa" w:w="60"/>
              <w:right w:type="dxa" w:w="100"/>
            </w:tcMar>
            <w:vAlign w:val="center"/>
          </w:tcPr>
          <w:p>
            <w:pPr>
              <w:jc w:val="left"/>
            </w:pPr>
            <w:r>
              <w:rPr>
                <w:b w:val="false"/>
                <w:bCs w:val="false"/>
                <w:sz w:val="19"/>
                <w:szCs w:val="19"/>
              </w:rPr>
              <w:t xml:space="preserve">Full CDD (Full-KYC) or minimum details (Small PPI)</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Small-entity relief</w:t>
            </w:r>
          </w:p>
        </w:tc>
        <w:tc>
          <w:tcPr>
            <w:tcW w:type="dxa" w:w="3400"/>
            <w:tcMar>
              <w:top w:type="dxa" w:w="60"/>
              <w:left w:type="dxa" w:w="100"/>
              <w:bottom w:type="dxa" w:w="60"/>
              <w:right w:type="dxa" w:w="100"/>
            </w:tcMar>
            <w:vAlign w:val="center"/>
          </w:tcPr>
          <w:p>
            <w:pPr>
              <w:jc w:val="left"/>
            </w:pPr>
            <w:r>
              <w:rPr>
                <w:b w:val="false"/>
                <w:bCs w:val="false"/>
                <w:sz w:val="19"/>
                <w:szCs w:val="19"/>
              </w:rPr>
              <w:t xml:space="preserve">None generic; small accounts relief exists for individuals only (Para 23)</w:t>
            </w:r>
          </w:p>
        </w:tc>
        <w:tc>
          <w:tcPr>
            <w:tcW w:type="dxa" w:w="3400"/>
            <w:tcMar>
              <w:top w:type="dxa" w:w="60"/>
              <w:left w:type="dxa" w:w="100"/>
              <w:bottom w:type="dxa" w:w="60"/>
              <w:right w:type="dxa" w:w="100"/>
            </w:tcMar>
            <w:vAlign w:val="center"/>
          </w:tcPr>
          <w:p>
            <w:pPr>
              <w:jc w:val="left"/>
            </w:pPr>
            <w:r>
              <w:rPr>
                <w:b w:val="false"/>
                <w:bCs w:val="false"/>
                <w:sz w:val="19"/>
                <w:szCs w:val="19"/>
              </w:rPr>
              <w:t xml:space="preserve">Simplified 3-step CDD for merchants ≤₹40 lakh turnover</w:t>
            </w:r>
          </w:p>
        </w:tc>
        <w:tc>
          <w:tcPr>
            <w:tcW w:type="dxa" w:w="2900"/>
            <w:tcMar>
              <w:top w:type="dxa" w:w="60"/>
              <w:left w:type="dxa" w:w="100"/>
              <w:bottom w:type="dxa" w:w="60"/>
              <w:right w:type="dxa" w:w="100"/>
            </w:tcMar>
            <w:vAlign w:val="center"/>
          </w:tcPr>
          <w:p>
            <w:pPr>
              <w:jc w:val="left"/>
            </w:pPr>
            <w:r>
              <w:rPr>
                <w:b w:val="false"/>
                <w:bCs w:val="false"/>
                <w:sz w:val="19"/>
                <w:szCs w:val="19"/>
              </w:rPr>
              <w:t xml:space="preserve">Small PPI minimum-detail tier (≤₹10,000 balance)</w:t>
            </w:r>
          </w:p>
        </w:tc>
      </w:tr>
      <w:tr>
        <w:tc>
          <w:tcPr>
            <w:tcW w:type="dxa" w:w="2600"/>
            <w:shd w:fill="F2F2F2" w:val="clear"/>
            <w:tcMar>
              <w:top w:type="dxa" w:w="60"/>
              <w:left w:type="dxa" w:w="100"/>
              <w:bottom w:type="dxa" w:w="60"/>
              <w:right w:type="dxa" w:w="100"/>
            </w:tcMar>
            <w:vAlign w:val="center"/>
          </w:tcPr>
          <w:p>
            <w:pPr>
              <w:jc w:val="left"/>
            </w:pPr>
            <w:r>
              <w:rPr>
                <w:b w:val="false"/>
                <w:bCs w:val="false"/>
                <w:sz w:val="19"/>
                <w:szCs w:val="19"/>
              </w:rPr>
              <w:t xml:space="preserve">Distinctive extra obligation</w:t>
            </w:r>
          </w:p>
        </w:tc>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Board-approved KYC policy, 5-year record retention</w:t>
            </w:r>
          </w:p>
        </w:tc>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FIU-IND registration; marketplace fund-flow validation; net-worth floor</w:t>
            </w:r>
          </w:p>
        </w:tc>
        <w:tc>
          <w:tcPr>
            <w:tcW w:type="dxa" w:w="2900"/>
            <w:shd w:fill="F2F2F2" w:val="clear"/>
            <w:tcMar>
              <w:top w:type="dxa" w:w="60"/>
              <w:left w:type="dxa" w:w="100"/>
              <w:bottom w:type="dxa" w:w="60"/>
              <w:right w:type="dxa" w:w="100"/>
            </w:tcMar>
            <w:vAlign w:val="center"/>
          </w:tcPr>
          <w:p>
            <w:pPr>
              <w:jc w:val="left"/>
            </w:pPr>
            <w:r>
              <w:rPr>
                <w:b w:val="false"/>
                <w:bCs w:val="false"/>
                <w:sz w:val="19"/>
                <w:szCs w:val="19"/>
              </w:rPr>
              <w:t xml:space="preserve">Balance/monthly-debit caps; conversion mandate for cash-loaded Small PPIs</w:t>
            </w:r>
          </w:p>
        </w:tc>
      </w:tr>
    </w:tbl>
    <w:p>
      <w:pPr>
        <w:pageBreakBefore/>
      </w:pPr>
    </w:p>
    <w:p>
      <w:pPr>
        <w:pStyle w:val="Heading1"/>
        <w:spacing w:after="200" w:before="400"/>
      </w:pPr>
      <w:r>
        <w:t xml:space="preserve">7. Document Validity Rules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gridCol w:w="4700"/>
      </w:tblGrid>
      <w:tr>
        <w:trPr>
          <w:tblHeader/>
        </w:trPr>
        <w:tc>
          <w:tcPr>
            <w:tcW w:type="dxa" w:w="34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4300"/>
            <w:shd w:fill="1F3864" w:val="clear"/>
            <w:tcMar>
              <w:top w:type="dxa" w:w="60"/>
              <w:left w:type="dxa" w:w="100"/>
              <w:bottom w:type="dxa" w:w="60"/>
              <w:right w:type="dxa" w:w="100"/>
            </w:tcMar>
            <w:vAlign w:val="center"/>
          </w:tcPr>
          <w:p>
            <w:pPr>
              <w:jc w:val="center"/>
            </w:pPr>
            <w:r>
              <w:rPr>
                <w:b/>
                <w:bCs/>
                <w:color w:val="FFFFFF"/>
                <w:sz w:val="19"/>
                <w:szCs w:val="19"/>
              </w:rPr>
              <w:t xml:space="preserve">Validity Rule</w:t>
            </w:r>
          </w:p>
        </w:tc>
        <w:tc>
          <w:tcPr>
            <w:tcW w:type="dxa" w:w="4700"/>
            <w:shd w:fill="1F3864" w:val="clear"/>
            <w:tcMar>
              <w:top w:type="dxa" w:w="60"/>
              <w:left w:type="dxa" w:w="100"/>
              <w:bottom w:type="dxa" w:w="60"/>
              <w:right w:type="dxa" w:w="100"/>
            </w:tcMar>
            <w:vAlign w:val="center"/>
          </w:tcPr>
          <w:p>
            <w:pPr>
              <w:jc w:val="center"/>
            </w:pPr>
            <w:r>
              <w:rPr>
                <w:b/>
                <w:bCs/>
                <w:color w:val="FFFFFF"/>
                <w:sz w:val="19"/>
                <w:szCs w:val="19"/>
              </w:rPr>
              <w:t xml:space="preserve">Source</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Utility bill (electricity/telephone/postpaid mobile/piped gas/water) as address proof</w:t>
            </w:r>
          </w:p>
        </w:tc>
        <w:tc>
          <w:tcPr>
            <w:tcW w:type="dxa" w:w="4300"/>
            <w:tcMar>
              <w:top w:type="dxa" w:w="60"/>
              <w:left w:type="dxa" w:w="100"/>
              <w:bottom w:type="dxa" w:w="60"/>
              <w:right w:type="dxa" w:w="100"/>
            </w:tcMar>
            <w:vAlign w:val="center"/>
          </w:tcPr>
          <w:p>
            <w:pPr>
              <w:jc w:val="left"/>
            </w:pPr>
            <w:r>
              <w:rPr>
                <w:b w:val="false"/>
                <w:bCs w:val="false"/>
                <w:sz w:val="19"/>
                <w:szCs w:val="19"/>
              </w:rPr>
              <w:t xml:space="preserve">Must not be more than 2 months old at submission</w:t>
            </w:r>
          </w:p>
        </w:tc>
        <w:tc>
          <w:tcPr>
            <w:tcW w:type="dxa" w:w="4700"/>
            <w:tcMar>
              <w:top w:type="dxa" w:w="60"/>
              <w:left w:type="dxa" w:w="100"/>
              <w:bottom w:type="dxa" w:w="60"/>
              <w:right w:type="dxa" w:w="100"/>
            </w:tcMar>
            <w:vAlign w:val="center"/>
          </w:tcPr>
          <w:p>
            <w:pPr>
              <w:jc w:val="left"/>
            </w:pPr>
            <w:r>
              <w:rPr>
                <w:b w:val="false"/>
                <w:bCs w:val="false"/>
                <w:sz w:val="19"/>
                <w:szCs w:val="19"/>
              </w:rPr>
              <w:t xml:space="preserve">RBI KYC MD Para 3(a)(xiv)(b)(1); mirrored in MCA SPICe+ and GST portal practice</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Deemed-OVD address document used in lieu of current-address OVD (utility bill/tax receipt/PPO/employer allotment letter)</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Customer must submit an OVD bearing current address within 3 months of submitting the deemed-OVD document</w:t>
            </w:r>
          </w:p>
        </w:tc>
        <w:tc>
          <w:tcPr>
            <w:tcW w:type="dxa" w:w="4700"/>
            <w:shd w:fill="F2F2F2" w:val="clear"/>
            <w:tcMar>
              <w:top w:type="dxa" w:w="60"/>
              <w:left w:type="dxa" w:w="100"/>
              <w:bottom w:type="dxa" w:w="60"/>
              <w:right w:type="dxa" w:w="100"/>
            </w:tcMar>
            <w:vAlign w:val="center"/>
          </w:tcPr>
          <w:p>
            <w:pPr>
              <w:jc w:val="left"/>
            </w:pPr>
            <w:r>
              <w:rPr>
                <w:b w:val="false"/>
                <w:bCs w:val="false"/>
                <w:sz w:val="19"/>
                <w:szCs w:val="19"/>
              </w:rPr>
              <w:t xml:space="preserve">RBI KYC MD Para 3(a)(xiv)(c)</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Aadhaar offline-verification XML file / Aadhaar Secure QR Code (for V-CIP)</w:t>
            </w:r>
          </w:p>
        </w:tc>
        <w:tc>
          <w:tcPr>
            <w:tcW w:type="dxa" w:w="4300"/>
            <w:tcMar>
              <w:top w:type="dxa" w:w="60"/>
              <w:left w:type="dxa" w:w="100"/>
              <w:bottom w:type="dxa" w:w="60"/>
              <w:right w:type="dxa" w:w="100"/>
            </w:tcMar>
            <w:vAlign w:val="center"/>
          </w:tcPr>
          <w:p>
            <w:pPr>
              <w:jc w:val="left"/>
            </w:pPr>
            <w:r>
              <w:rPr>
                <w:b w:val="false"/>
                <w:bCs w:val="false"/>
                <w:sz w:val="19"/>
                <w:szCs w:val="19"/>
              </w:rPr>
              <w:t xml:space="preserve">Generation date must not be older than 3 working days from the date of carrying out V-CIP</w:t>
            </w:r>
          </w:p>
        </w:tc>
        <w:tc>
          <w:tcPr>
            <w:tcW w:type="dxa" w:w="4700"/>
            <w:tcMar>
              <w:top w:type="dxa" w:w="60"/>
              <w:left w:type="dxa" w:w="100"/>
              <w:bottom w:type="dxa" w:w="60"/>
              <w:right w:type="dxa" w:w="100"/>
            </w:tcMar>
            <w:vAlign w:val="center"/>
          </w:tcPr>
          <w:p>
            <w:pPr>
              <w:jc w:val="left"/>
            </w:pPr>
            <w:r>
              <w:rPr>
                <w:b w:val="false"/>
                <w:bCs w:val="false"/>
                <w:sz w:val="19"/>
                <w:szCs w:val="19"/>
              </w:rPr>
              <w:t xml:space="preserve">RBI KYC MD Para 18(b)(vi)</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OTP-based Aadhaar e-KYC account (non-face-to-face onboarding)</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Full CDD (Para 16/18) must be completed within 1 year, or the deposit account must be closed / borrowal account restricted to no further debits</w:t>
            </w:r>
          </w:p>
        </w:tc>
        <w:tc>
          <w:tcPr>
            <w:tcW w:type="dxa" w:w="4700"/>
            <w:shd w:fill="F2F2F2" w:val="clear"/>
            <w:tcMar>
              <w:top w:type="dxa" w:w="60"/>
              <w:left w:type="dxa" w:w="100"/>
              <w:bottom w:type="dxa" w:w="60"/>
              <w:right w:type="dxa" w:w="100"/>
            </w:tcMar>
            <w:vAlign w:val="center"/>
          </w:tcPr>
          <w:p>
            <w:pPr>
              <w:jc w:val="left"/>
            </w:pPr>
            <w:r>
              <w:rPr>
                <w:b w:val="false"/>
                <w:bCs w:val="false"/>
                <w:sz w:val="19"/>
                <w:szCs w:val="19"/>
              </w:rPr>
              <w:t xml:space="preserve">RBI KYC MD Para 17(f)</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Small Account (Para 23, for individuals lacking OVDs)</w:t>
            </w:r>
          </w:p>
        </w:tc>
        <w:tc>
          <w:tcPr>
            <w:tcW w:type="dxa" w:w="4300"/>
            <w:tcMar>
              <w:top w:type="dxa" w:w="60"/>
              <w:left w:type="dxa" w:w="100"/>
              <w:bottom w:type="dxa" w:w="60"/>
              <w:right w:type="dxa" w:w="100"/>
            </w:tcMar>
            <w:vAlign w:val="center"/>
          </w:tcPr>
          <w:p>
            <w:pPr>
              <w:jc w:val="left"/>
            </w:pPr>
            <w:r>
              <w:rPr>
                <w:b w:val="false"/>
                <w:bCs w:val="false"/>
                <w:sz w:val="19"/>
                <w:szCs w:val="19"/>
              </w:rPr>
              <w:t xml:space="preserve">Operational for 12 months, extendable by a further 12 months on evidence of applying for an OVD; entire relaxation reviewed after 24 months</w:t>
            </w:r>
          </w:p>
        </w:tc>
        <w:tc>
          <w:tcPr>
            <w:tcW w:type="dxa" w:w="4700"/>
            <w:tcMar>
              <w:top w:type="dxa" w:w="60"/>
              <w:left w:type="dxa" w:w="100"/>
              <w:bottom w:type="dxa" w:w="60"/>
              <w:right w:type="dxa" w:w="100"/>
            </w:tcMar>
            <w:vAlign w:val="center"/>
          </w:tcPr>
          <w:p>
            <w:pPr>
              <w:jc w:val="left"/>
            </w:pPr>
            <w:r>
              <w:rPr>
                <w:b w:val="false"/>
                <w:bCs w:val="false"/>
                <w:sz w:val="19"/>
                <w:szCs w:val="19"/>
              </w:rPr>
              <w:t xml:space="preserve">RBI KYC MD Para 23</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Periodic KYC updation cycle</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Every 2 years for high-risk, every 8 years for medium-risk, every 10 years for low-risk customers from account opening/last update; low-risk individuals get until the later of 1 year past due date or 30 June 2026</w:t>
            </w:r>
          </w:p>
        </w:tc>
        <w:tc>
          <w:tcPr>
            <w:tcW w:type="dxa" w:w="4700"/>
            <w:shd w:fill="F2F2F2" w:val="clear"/>
            <w:tcMar>
              <w:top w:type="dxa" w:w="60"/>
              <w:left w:type="dxa" w:w="100"/>
              <w:bottom w:type="dxa" w:w="60"/>
              <w:right w:type="dxa" w:w="100"/>
            </w:tcMar>
            <w:vAlign w:val="center"/>
          </w:tcPr>
          <w:p>
            <w:pPr>
              <w:jc w:val="left"/>
            </w:pPr>
            <w:r>
              <w:rPr>
                <w:b w:val="false"/>
                <w:bCs w:val="false"/>
                <w:sz w:val="19"/>
                <w:szCs w:val="19"/>
              </w:rPr>
              <w:t xml:space="preserve">RBI KYC MD Para 38, as amended 12 Jun 2025 &amp; 14 Aug 2025</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DIN — DIR-3 KYC</w:t>
            </w:r>
          </w:p>
        </w:tc>
        <w:tc>
          <w:tcPr>
            <w:tcW w:type="dxa" w:w="4300"/>
            <w:tcMar>
              <w:top w:type="dxa" w:w="60"/>
              <w:left w:type="dxa" w:w="100"/>
              <w:bottom w:type="dxa" w:w="60"/>
              <w:right w:type="dxa" w:w="100"/>
            </w:tcMar>
            <w:vAlign w:val="center"/>
          </w:tcPr>
          <w:p>
            <w:pPr>
              <w:jc w:val="left"/>
            </w:pPr>
            <w:r>
              <w:rPr>
                <w:b w:val="false"/>
                <w:bCs w:val="false"/>
                <w:sz w:val="19"/>
                <w:szCs w:val="19"/>
              </w:rPr>
              <w:t xml:space="preserve">Must be filed annually by 30 September; non-filing deactivates the DIN, blocking any fresh incorporation/filing using that DIN</w:t>
            </w:r>
          </w:p>
        </w:tc>
        <w:tc>
          <w:tcPr>
            <w:tcW w:type="dxa" w:w="4700"/>
            <w:tcMar>
              <w:top w:type="dxa" w:w="60"/>
              <w:left w:type="dxa" w:w="100"/>
              <w:bottom w:type="dxa" w:w="60"/>
              <w:right w:type="dxa" w:w="100"/>
            </w:tcMar>
            <w:vAlign w:val="center"/>
          </w:tcPr>
          <w:p>
            <w:pPr>
              <w:jc w:val="left"/>
            </w:pPr>
            <w:r>
              <w:rPr>
                <w:b w:val="false"/>
                <w:bCs w:val="false"/>
                <w:sz w:val="19"/>
                <w:szCs w:val="19"/>
              </w:rPr>
              <w:t xml:space="preserve">Companies Act, 2013 read with MCA DIN KYC Rules; confirmed by multiple SPICe+ filing guides</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SPICe+ reserved company name (Part A)</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Valid for 20 days from approval; Part B incorporation must be completed within this window or the name must be reserved again with fresh fee</w:t>
            </w:r>
          </w:p>
        </w:tc>
        <w:tc>
          <w:tcPr>
            <w:tcW w:type="dxa" w:w="4700"/>
            <w:shd w:fill="F2F2F2" w:val="clear"/>
            <w:tcMar>
              <w:top w:type="dxa" w:w="60"/>
              <w:left w:type="dxa" w:w="100"/>
              <w:bottom w:type="dxa" w:w="60"/>
              <w:right w:type="dxa" w:w="100"/>
            </w:tcMar>
            <w:vAlign w:val="center"/>
          </w:tcPr>
          <w:p>
            <w:pPr>
              <w:jc w:val="left"/>
            </w:pPr>
            <w:r>
              <w:rPr>
                <w:b w:val="false"/>
                <w:bCs w:val="false"/>
                <w:sz w:val="19"/>
                <w:szCs w:val="19"/>
              </w:rPr>
              <w:t xml:space="preserve">MCA SPICe+ FAQs; multiple incorporation guides</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Form INC-20A (Commencement of Business declaration)</w:t>
            </w:r>
          </w:p>
        </w:tc>
        <w:tc>
          <w:tcPr>
            <w:tcW w:type="dxa" w:w="4300"/>
            <w:tcMar>
              <w:top w:type="dxa" w:w="60"/>
              <w:left w:type="dxa" w:w="100"/>
              <w:bottom w:type="dxa" w:w="60"/>
              <w:right w:type="dxa" w:w="100"/>
            </w:tcMar>
            <w:vAlign w:val="center"/>
          </w:tcPr>
          <w:p>
            <w:pPr>
              <w:jc w:val="left"/>
            </w:pPr>
            <w:r>
              <w:rPr>
                <w:b w:val="false"/>
                <w:bCs w:val="false"/>
                <w:sz w:val="19"/>
                <w:szCs w:val="19"/>
              </w:rPr>
              <w:t xml:space="preserve">Must be filed within 180 days of incorporation</w:t>
            </w:r>
          </w:p>
        </w:tc>
        <w:tc>
          <w:tcPr>
            <w:tcW w:type="dxa" w:w="4700"/>
            <w:tcMar>
              <w:top w:type="dxa" w:w="60"/>
              <w:left w:type="dxa" w:w="100"/>
              <w:bottom w:type="dxa" w:w="60"/>
              <w:right w:type="dxa" w:w="100"/>
            </w:tcMar>
            <w:vAlign w:val="center"/>
          </w:tcPr>
          <w:p>
            <w:pPr>
              <w:jc w:val="left"/>
            </w:pPr>
            <w:r>
              <w:rPr>
                <w:b w:val="false"/>
                <w:bCs w:val="false"/>
                <w:sz w:val="19"/>
                <w:szCs w:val="19"/>
              </w:rPr>
              <w:t xml:space="preserve">Companies Act, 2013 §10A</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Passport-size photograph (MCA/GST filings)</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No fixed 'age' validity, but must be recent/current likeness; file-size limits apply (typically ≤100 KB, JPEG)</w:t>
            </w:r>
          </w:p>
        </w:tc>
        <w:tc>
          <w:tcPr>
            <w:tcW w:type="dxa" w:w="4700"/>
            <w:shd w:fill="F2F2F2" w:val="clear"/>
            <w:tcMar>
              <w:top w:type="dxa" w:w="60"/>
              <w:left w:type="dxa" w:w="100"/>
              <w:bottom w:type="dxa" w:w="60"/>
              <w:right w:type="dxa" w:w="100"/>
            </w:tcMar>
            <w:vAlign w:val="center"/>
          </w:tcPr>
          <w:p>
            <w:pPr>
              <w:jc w:val="left"/>
            </w:pPr>
            <w:r>
              <w:rPr>
                <w:b w:val="false"/>
                <w:bCs w:val="false"/>
                <w:sz w:val="19"/>
                <w:szCs w:val="19"/>
              </w:rPr>
              <w:t xml:space="preserve">MCA SPICe+ filing guides; GST portal document checklist</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V-CIP video session (relative to identification info obtained)</w:t>
            </w:r>
          </w:p>
        </w:tc>
        <w:tc>
          <w:tcPr>
            <w:tcW w:type="dxa" w:w="4300"/>
            <w:tcMar>
              <w:top w:type="dxa" w:w="60"/>
              <w:left w:type="dxa" w:w="100"/>
              <w:bottom w:type="dxa" w:w="60"/>
              <w:right w:type="dxa" w:w="100"/>
            </w:tcMar>
            <w:vAlign w:val="center"/>
          </w:tcPr>
          <w:p>
            <w:pPr>
              <w:jc w:val="left"/>
            </w:pPr>
            <w:r>
              <w:rPr>
                <w:b w:val="false"/>
                <w:bCs w:val="false"/>
                <w:sz w:val="19"/>
                <w:szCs w:val="19"/>
              </w:rPr>
              <w:t xml:space="preserve">Must be undertaken within 3 working days of downloading/obtaining the identification information via CKYCR/Aadhaar authentication/equivalent e-document, where not completed seamlessly</w:t>
            </w:r>
          </w:p>
        </w:tc>
        <w:tc>
          <w:tcPr>
            <w:tcW w:type="dxa" w:w="4700"/>
            <w:tcMar>
              <w:top w:type="dxa" w:w="60"/>
              <w:left w:type="dxa" w:w="100"/>
              <w:bottom w:type="dxa" w:w="60"/>
              <w:right w:type="dxa" w:w="100"/>
            </w:tcMar>
            <w:vAlign w:val="center"/>
          </w:tcPr>
          <w:p>
            <w:pPr>
              <w:jc w:val="left"/>
            </w:pPr>
            <w:r>
              <w:rPr>
                <w:b w:val="false"/>
                <w:bCs w:val="false"/>
                <w:sz w:val="19"/>
                <w:szCs w:val="19"/>
              </w:rPr>
              <w:t xml:space="preserve">RBI KYC MD Para 18(b)(vi)</w:t>
            </w:r>
          </w:p>
        </w:tc>
      </w:tr>
      <w:tr>
        <w:tc>
          <w:tcPr>
            <w:tcW w:type="dxa" w:w="3400"/>
            <w:shd w:fill="F2F2F2" w:val="clear"/>
            <w:tcMar>
              <w:top w:type="dxa" w:w="60"/>
              <w:left w:type="dxa" w:w="100"/>
              <w:bottom w:type="dxa" w:w="60"/>
              <w:right w:type="dxa" w:w="100"/>
            </w:tcMar>
            <w:vAlign w:val="center"/>
          </w:tcPr>
          <w:p>
            <w:pPr>
              <w:jc w:val="left"/>
            </w:pPr>
            <w:r>
              <w:rPr>
                <w:b w:val="false"/>
                <w:bCs w:val="false"/>
                <w:sz w:val="19"/>
                <w:szCs w:val="19"/>
              </w:rPr>
              <w:t xml:space="preserve">Form BEN-1 declaration (SBO)</w:t>
            </w:r>
          </w:p>
        </w:tc>
        <w:tc>
          <w:tcPr>
            <w:tcW w:type="dxa" w:w="4300"/>
            <w:shd w:fill="F2F2F2" w:val="clear"/>
            <w:tcMar>
              <w:top w:type="dxa" w:w="60"/>
              <w:left w:type="dxa" w:w="100"/>
              <w:bottom w:type="dxa" w:w="60"/>
              <w:right w:type="dxa" w:w="100"/>
            </w:tcMar>
            <w:vAlign w:val="center"/>
          </w:tcPr>
          <w:p>
            <w:pPr>
              <w:jc w:val="left"/>
            </w:pPr>
            <w:r>
              <w:rPr>
                <w:b w:val="false"/>
                <w:bCs w:val="false"/>
                <w:sz w:val="19"/>
                <w:szCs w:val="19"/>
              </w:rPr>
              <w:t xml:space="preserve">Must be filed within 30 days of acquiring significant beneficial ownership, or of any change therein</w:t>
            </w:r>
          </w:p>
        </w:tc>
        <w:tc>
          <w:tcPr>
            <w:tcW w:type="dxa" w:w="4700"/>
            <w:shd w:fill="F2F2F2" w:val="clear"/>
            <w:tcMar>
              <w:top w:type="dxa" w:w="60"/>
              <w:left w:type="dxa" w:w="100"/>
              <w:bottom w:type="dxa" w:w="60"/>
              <w:right w:type="dxa" w:w="100"/>
            </w:tcMar>
            <w:vAlign w:val="center"/>
          </w:tcPr>
          <w:p>
            <w:pPr>
              <w:jc w:val="left"/>
            </w:pPr>
            <w:r>
              <w:rPr>
                <w:b w:val="false"/>
                <w:bCs w:val="false"/>
                <w:sz w:val="19"/>
                <w:szCs w:val="19"/>
              </w:rPr>
              <w:t xml:space="preserve">Companies (Significant Beneficial Owners) Rules, 2018, Rule 3</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Record retention (transactions &amp; identification records)</w:t>
            </w:r>
          </w:p>
        </w:tc>
        <w:tc>
          <w:tcPr>
            <w:tcW w:type="dxa" w:w="4300"/>
            <w:tcMar>
              <w:top w:type="dxa" w:w="60"/>
              <w:left w:type="dxa" w:w="100"/>
              <w:bottom w:type="dxa" w:w="60"/>
              <w:right w:type="dxa" w:w="100"/>
            </w:tcMar>
            <w:vAlign w:val="center"/>
          </w:tcPr>
          <w:p>
            <w:pPr>
              <w:jc w:val="left"/>
            </w:pPr>
            <w:r>
              <w:rPr>
                <w:b w:val="false"/>
                <w:bCs w:val="false"/>
                <w:sz w:val="19"/>
                <w:szCs w:val="19"/>
              </w:rPr>
              <w:t xml:space="preserve">Minimum 5 years from the date of transaction / from the end of the business relationship, whichever is applicable</w:t>
            </w:r>
          </w:p>
        </w:tc>
        <w:tc>
          <w:tcPr>
            <w:tcW w:type="dxa" w:w="4700"/>
            <w:tcMar>
              <w:top w:type="dxa" w:w="60"/>
              <w:left w:type="dxa" w:w="100"/>
              <w:bottom w:type="dxa" w:w="60"/>
              <w:right w:type="dxa" w:w="100"/>
            </w:tcMar>
            <w:vAlign w:val="center"/>
          </w:tcPr>
          <w:p>
            <w:pPr>
              <w:jc w:val="left"/>
            </w:pPr>
            <w:r>
              <w:rPr>
                <w:b w:val="false"/>
                <w:bCs w:val="false"/>
                <w:sz w:val="19"/>
                <w:szCs w:val="19"/>
              </w:rPr>
              <w:t xml:space="preserve">RBI KYC MD Para 46; PML Rule 3</w:t>
            </w:r>
          </w:p>
        </w:tc>
      </w:tr>
    </w:tbl>
    <w:p>
      <w:pPr>
        <w:pageBreakBefore/>
      </w:pPr>
    </w:p>
    <w:p>
      <w:pPr>
        <w:pStyle w:val="Heading1"/>
        <w:spacing w:after="200" w:before="400"/>
      </w:pPr>
      <w:r>
        <w:t xml:space="preserve">8. Comparison Matrix — Documents Required by Business Structure</w:t>
      </w:r>
    </w:p>
    <w:p>
      <w:pPr>
        <w:spacing w:after="150"/>
      </w:pPr>
      <w:r>
        <w:t xml:space="preserve">Legend: M = Mandatory · C = Conditional (situation-dependent) · R = Recommended (not legally required but commonly requested) · — = Not applicable.</w:t>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1200"/>
        <w:gridCol w:w="1200"/>
        <w:gridCol w:w="1200"/>
        <w:gridCol w:w="1200"/>
        <w:gridCol w:w="1200"/>
      </w:tblGrid>
      <w:tr>
        <w:trPr>
          <w:tblHeader/>
        </w:trPr>
        <w:tc>
          <w:tcPr>
            <w:tcW w:type="dxa" w:w="3300"/>
            <w:shd w:fill="1F3864" w:val="clear"/>
            <w:tcMar>
              <w:top w:type="dxa" w:w="60"/>
              <w:left w:type="dxa" w:w="100"/>
              <w:bottom w:type="dxa" w:w="60"/>
              <w:right w:type="dxa" w:w="100"/>
            </w:tcMar>
            <w:vAlign w:val="center"/>
          </w:tcPr>
          <w:p>
            <w:pPr>
              <w:jc w:val="center"/>
            </w:pPr>
            <w:r>
              <w:rPr>
                <w:b/>
                <w:bCs/>
                <w:color w:val="FFFFFF"/>
                <w:sz w:val="19"/>
                <w:szCs w:val="19"/>
              </w:rPr>
              <w:t xml:space="preserve">Document</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Sole Prop.</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Partnership</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Pvt Ltd</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LLP</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OPC</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Trust/Society</w:t>
            </w:r>
          </w:p>
        </w:tc>
        <w:tc>
          <w:tcPr>
            <w:tcW w:type="dxa" w:w="1200"/>
            <w:shd w:fill="1F3864" w:val="clear"/>
            <w:tcMar>
              <w:top w:type="dxa" w:w="60"/>
              <w:left w:type="dxa" w:w="100"/>
              <w:bottom w:type="dxa" w:w="60"/>
              <w:right w:type="dxa" w:w="100"/>
            </w:tcMar>
            <w:vAlign w:val="center"/>
          </w:tcPr>
          <w:p>
            <w:pPr>
              <w:jc w:val="center"/>
            </w:pPr>
            <w:r>
              <w:rPr>
                <w:b/>
                <w:bCs/>
                <w:color w:val="FFFFFF"/>
                <w:sz w:val="19"/>
                <w:szCs w:val="19"/>
              </w:rPr>
              <w:t xml:space="preserve">HUF</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PAN (entity/individual)</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 / Form 60</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Aadhaar / OVD of individual(s)</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 (all partners)</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 (all directors)</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 (all DPs)</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 (member+nominee)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 (trustees/office-bearers)</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 (Karta)</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Constitutive document (Deed/MOA-AOA/Trust Deed)</w:t>
            </w:r>
          </w:p>
        </w:tc>
        <w:tc>
          <w:tcPr>
            <w:tcW w:type="dxa" w:w="1200"/>
            <w:tcMar>
              <w:top w:type="dxa" w:w="60"/>
              <w:left w:type="dxa" w:w="100"/>
              <w:bottom w:type="dxa" w:w="60"/>
              <w:right w:type="dxa" w:w="100"/>
            </w:tcMar>
            <w:vAlign w:val="center"/>
          </w:tcPr>
          <w:p>
            <w:pPr>
              <w:jc w:val="left"/>
            </w:pPr>
            <w:r>
              <w:rPr>
                <w:b w:val="false"/>
                <w:bCs w:val="false"/>
                <w:sz w:val="19"/>
                <w:szCs w:val="19"/>
              </w:rPr>
              <w:t xml:space="preserve">—</w:t>
            </w:r>
          </w:p>
        </w:tc>
        <w:tc>
          <w:tcPr>
            <w:tcW w:type="dxa" w:w="1200"/>
            <w:tcMar>
              <w:top w:type="dxa" w:w="60"/>
              <w:left w:type="dxa" w:w="100"/>
              <w:bottom w:type="dxa" w:w="60"/>
              <w:right w:type="dxa" w:w="100"/>
            </w:tcMar>
            <w:vAlign w:val="center"/>
          </w:tcPr>
          <w:p>
            <w:pPr>
              <w:jc w:val="left"/>
            </w:pPr>
            <w:r>
              <w:rPr>
                <w:b w:val="false"/>
                <w:bCs w:val="false"/>
                <w:sz w:val="19"/>
                <w:szCs w:val="19"/>
              </w:rPr>
              <w:t xml:space="preserve">M (Partnership Deed)</w:t>
            </w:r>
          </w:p>
        </w:tc>
        <w:tc>
          <w:tcPr>
            <w:tcW w:type="dxa" w:w="1200"/>
            <w:tcMar>
              <w:top w:type="dxa" w:w="60"/>
              <w:left w:type="dxa" w:w="100"/>
              <w:bottom w:type="dxa" w:w="60"/>
              <w:right w:type="dxa" w:w="100"/>
            </w:tcMar>
            <w:vAlign w:val="center"/>
          </w:tcPr>
          <w:p>
            <w:pPr>
              <w:jc w:val="left"/>
            </w:pPr>
            <w:r>
              <w:rPr>
                <w:b w:val="false"/>
                <w:bCs w:val="false"/>
                <w:sz w:val="19"/>
                <w:szCs w:val="19"/>
              </w:rPr>
              <w:t xml:space="preserve">M (MOA/AOA)</w:t>
            </w:r>
          </w:p>
        </w:tc>
        <w:tc>
          <w:tcPr>
            <w:tcW w:type="dxa" w:w="1200"/>
            <w:tcMar>
              <w:top w:type="dxa" w:w="60"/>
              <w:left w:type="dxa" w:w="100"/>
              <w:bottom w:type="dxa" w:w="60"/>
              <w:right w:type="dxa" w:w="100"/>
            </w:tcMar>
            <w:vAlign w:val="center"/>
          </w:tcPr>
          <w:p>
            <w:pPr>
              <w:jc w:val="left"/>
            </w:pPr>
            <w:r>
              <w:rPr>
                <w:b w:val="false"/>
                <w:bCs w:val="false"/>
                <w:sz w:val="19"/>
                <w:szCs w:val="19"/>
              </w:rPr>
              <w:t xml:space="preserve">M (LLP Agreement)</w:t>
            </w:r>
          </w:p>
        </w:tc>
        <w:tc>
          <w:tcPr>
            <w:tcW w:type="dxa" w:w="1200"/>
            <w:tcMar>
              <w:top w:type="dxa" w:w="60"/>
              <w:left w:type="dxa" w:w="100"/>
              <w:bottom w:type="dxa" w:w="60"/>
              <w:right w:type="dxa" w:w="100"/>
            </w:tcMar>
            <w:vAlign w:val="center"/>
          </w:tcPr>
          <w:p>
            <w:pPr>
              <w:jc w:val="left"/>
            </w:pPr>
            <w:r>
              <w:rPr>
                <w:b w:val="false"/>
                <w:bCs w:val="false"/>
                <w:sz w:val="19"/>
                <w:szCs w:val="19"/>
              </w:rPr>
              <w:t xml:space="preserve">M (MOA/AOA)</w:t>
            </w:r>
          </w:p>
        </w:tc>
        <w:tc>
          <w:tcPr>
            <w:tcW w:type="dxa" w:w="1200"/>
            <w:tcMar>
              <w:top w:type="dxa" w:w="60"/>
              <w:left w:type="dxa" w:w="100"/>
              <w:bottom w:type="dxa" w:w="60"/>
              <w:right w:type="dxa" w:w="100"/>
            </w:tcMar>
            <w:vAlign w:val="center"/>
          </w:tcPr>
          <w:p>
            <w:pPr>
              <w:jc w:val="left"/>
            </w:pPr>
            <w:r>
              <w:rPr>
                <w:b w:val="false"/>
                <w:bCs w:val="false"/>
                <w:sz w:val="19"/>
                <w:szCs w:val="19"/>
              </w:rPr>
              <w:t xml:space="preserve">M (Trust Deed/Byelaws)</w:t>
            </w:r>
          </w:p>
        </w:tc>
        <w:tc>
          <w:tcPr>
            <w:tcW w:type="dxa" w:w="1200"/>
            <w:tcMar>
              <w:top w:type="dxa" w:w="60"/>
              <w:left w:type="dxa" w:w="100"/>
              <w:bottom w:type="dxa" w:w="60"/>
              <w:right w:type="dxa" w:w="100"/>
            </w:tcMar>
            <w:vAlign w:val="center"/>
          </w:tcPr>
          <w:p>
            <w:pPr>
              <w:jc w:val="left"/>
            </w:pPr>
            <w:r>
              <w:rPr>
                <w:b w:val="false"/>
                <w:bCs w:val="false"/>
                <w:sz w:val="19"/>
                <w:szCs w:val="19"/>
              </w:rPr>
              <w:t xml:space="preserve">C (HUF Deed)</w:t>
            </w:r>
          </w:p>
        </w:tc>
      </w:tr>
      <w:tr>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Registration/Incorporation Certificate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C (Udyam, if relied on)</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C (registered firms only)</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Registered/business address proof</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r>
      <w:tr>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DIN/DPIN</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Digital Signature Certificate</w:t>
            </w:r>
          </w:p>
        </w:tc>
        <w:tc>
          <w:tcPr>
            <w:tcW w:type="dxa" w:w="1200"/>
            <w:tcMar>
              <w:top w:type="dxa" w:w="60"/>
              <w:left w:type="dxa" w:w="100"/>
              <w:bottom w:type="dxa" w:w="60"/>
              <w:right w:type="dxa" w:w="100"/>
            </w:tcMar>
            <w:vAlign w:val="center"/>
          </w:tcPr>
          <w:p>
            <w:pPr>
              <w:jc w:val="left"/>
            </w:pPr>
            <w:r>
              <w:rPr>
                <w:b w:val="false"/>
                <w:bCs w:val="false"/>
                <w:sz w:val="19"/>
                <w:szCs w:val="19"/>
              </w:rPr>
              <w:t xml:space="preserve">C (voluntary/e-filing)</w:t>
            </w:r>
          </w:p>
        </w:tc>
        <w:tc>
          <w:tcPr>
            <w:tcW w:type="dxa" w:w="1200"/>
            <w:tcMar>
              <w:top w:type="dxa" w:w="60"/>
              <w:left w:type="dxa" w:w="100"/>
              <w:bottom w:type="dxa" w:w="60"/>
              <w:right w:type="dxa" w:w="100"/>
            </w:tcMar>
            <w:vAlign w:val="center"/>
          </w:tcPr>
          <w:p>
            <w:pPr>
              <w:jc w:val="left"/>
            </w:pPr>
            <w:r>
              <w:rPr>
                <w:b w:val="false"/>
                <w:bCs w:val="false"/>
                <w:sz w:val="19"/>
                <w:szCs w:val="19"/>
              </w:rPr>
              <w:t xml:space="preserve">C (LLP-linked filings only)</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c>
          <w:tcPr>
            <w:tcW w:type="dxa" w:w="1200"/>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Board/Partner/Governing-body Resolution (authorised signatory)</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C</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Beneficial Owner identification</w:t>
            </w:r>
          </w:p>
        </w:tc>
        <w:tc>
          <w:tcPr>
            <w:tcW w:type="dxa" w:w="1200"/>
            <w:tcMar>
              <w:top w:type="dxa" w:w="60"/>
              <w:left w:type="dxa" w:w="100"/>
              <w:bottom w:type="dxa" w:w="60"/>
              <w:right w:type="dxa" w:w="100"/>
            </w:tcMar>
            <w:vAlign w:val="center"/>
          </w:tcPr>
          <w:p>
            <w:pPr>
              <w:jc w:val="left"/>
            </w:pPr>
            <w:r>
              <w:rPr>
                <w:b w:val="false"/>
                <w:bCs w:val="false"/>
                <w:sz w:val="19"/>
                <w:szCs w:val="19"/>
              </w:rPr>
              <w:t xml:space="preserve">— (proprietor deemed BO)</w:t>
            </w:r>
          </w:p>
        </w:tc>
        <w:tc>
          <w:tcPr>
            <w:tcW w:type="dxa" w:w="1200"/>
            <w:tcMar>
              <w:top w:type="dxa" w:w="60"/>
              <w:left w:type="dxa" w:w="100"/>
              <w:bottom w:type="dxa" w:w="60"/>
              <w:right w:type="dxa" w:w="100"/>
            </w:tcMar>
            <w:vAlign w:val="center"/>
          </w:tcPr>
          <w:p>
            <w:pPr>
              <w:jc w:val="left"/>
            </w:pPr>
            <w:r>
              <w:rPr>
                <w:b w:val="false"/>
                <w:bCs w:val="false"/>
                <w:sz w:val="19"/>
                <w:szCs w:val="19"/>
              </w:rPr>
              <w:t xml:space="preserve">M (&gt;10%)</w:t>
            </w:r>
          </w:p>
        </w:tc>
        <w:tc>
          <w:tcPr>
            <w:tcW w:type="dxa" w:w="1200"/>
            <w:tcMar>
              <w:top w:type="dxa" w:w="60"/>
              <w:left w:type="dxa" w:w="100"/>
              <w:bottom w:type="dxa" w:w="60"/>
              <w:right w:type="dxa" w:w="100"/>
            </w:tcMar>
            <w:vAlign w:val="center"/>
          </w:tcPr>
          <w:p>
            <w:pPr>
              <w:jc w:val="left"/>
            </w:pPr>
            <w:r>
              <w:rPr>
                <w:b w:val="false"/>
                <w:bCs w:val="false"/>
                <w:sz w:val="19"/>
                <w:szCs w:val="19"/>
              </w:rPr>
              <w:t xml:space="preserve">M (&gt;10%) + SBO filing</w:t>
            </w:r>
          </w:p>
        </w:tc>
        <w:tc>
          <w:tcPr>
            <w:tcW w:type="dxa" w:w="1200"/>
            <w:tcMar>
              <w:top w:type="dxa" w:w="60"/>
              <w:left w:type="dxa" w:w="100"/>
              <w:bottom w:type="dxa" w:w="60"/>
              <w:right w:type="dxa" w:w="100"/>
            </w:tcMar>
            <w:vAlign w:val="center"/>
          </w:tcPr>
          <w:p>
            <w:pPr>
              <w:jc w:val="left"/>
            </w:pPr>
            <w:r>
              <w:rPr>
                <w:b w:val="false"/>
                <w:bCs w:val="false"/>
                <w:sz w:val="19"/>
                <w:szCs w:val="19"/>
              </w:rPr>
              <w:t xml:space="preserve">M (&gt;10%, no statutory filing)</w:t>
            </w:r>
          </w:p>
        </w:tc>
        <w:tc>
          <w:tcPr>
            <w:tcW w:type="dxa" w:w="1200"/>
            <w:tcMar>
              <w:top w:type="dxa" w:w="60"/>
              <w:left w:type="dxa" w:w="100"/>
              <w:bottom w:type="dxa" w:w="60"/>
              <w:right w:type="dxa" w:w="100"/>
            </w:tcMar>
            <w:vAlign w:val="center"/>
          </w:tcPr>
          <w:p>
            <w:pPr>
              <w:jc w:val="left"/>
            </w:pPr>
            <w:r>
              <w:rPr>
                <w:b w:val="false"/>
                <w:bCs w:val="false"/>
                <w:sz w:val="19"/>
                <w:szCs w:val="19"/>
              </w:rPr>
              <w:t xml:space="preserve">M (sole member, 100%)</w:t>
            </w:r>
          </w:p>
        </w:tc>
        <w:tc>
          <w:tcPr>
            <w:tcW w:type="dxa" w:w="1200"/>
            <w:tcMar>
              <w:top w:type="dxa" w:w="60"/>
              <w:left w:type="dxa" w:w="100"/>
              <w:bottom w:type="dxa" w:w="60"/>
              <w:right w:type="dxa" w:w="100"/>
            </w:tcMar>
            <w:vAlign w:val="center"/>
          </w:tcPr>
          <w:p>
            <w:pPr>
              <w:jc w:val="left"/>
            </w:pPr>
            <w:r>
              <w:rPr>
                <w:b w:val="false"/>
                <w:bCs w:val="false"/>
                <w:sz w:val="19"/>
                <w:szCs w:val="19"/>
              </w:rPr>
              <w:t xml:space="preserve">M (&gt;10%/15% per type)</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r>
      <w:tr>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Nominee documentation</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3300"/>
            <w:tcMar>
              <w:top w:type="dxa" w:w="60"/>
              <w:left w:type="dxa" w:w="100"/>
              <w:bottom w:type="dxa" w:w="60"/>
              <w:right w:type="dxa" w:w="100"/>
            </w:tcMar>
            <w:vAlign w:val="center"/>
          </w:tcPr>
          <w:p>
            <w:pPr>
              <w:jc w:val="left"/>
            </w:pPr>
            <w:r>
              <w:rPr>
                <w:b w:val="false"/>
                <w:bCs w:val="false"/>
                <w:sz w:val="19"/>
                <w:szCs w:val="19"/>
              </w:rPr>
              <w:t xml:space="preserve">GST registration documents</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c>
          <w:tcPr>
            <w:tcW w:type="dxa" w:w="1200"/>
            <w:tcMar>
              <w:top w:type="dxa" w:w="60"/>
              <w:left w:type="dxa" w:w="100"/>
              <w:bottom w:type="dxa" w:w="60"/>
              <w:right w:type="dxa" w:w="100"/>
            </w:tcMar>
            <w:vAlign w:val="center"/>
          </w:tcPr>
          <w:p>
            <w:pPr>
              <w:jc w:val="left"/>
            </w:pPr>
            <w:r>
              <w:rPr>
                <w:b w:val="false"/>
                <w:bCs w:val="false"/>
                <w:sz w:val="19"/>
                <w:szCs w:val="19"/>
              </w:rPr>
              <w:t xml:space="preserve">C</w:t>
            </w:r>
          </w:p>
        </w:tc>
      </w:tr>
      <w:tr>
        <w:tc>
          <w:tcPr>
            <w:tcW w:type="dxa" w:w="3300"/>
            <w:shd w:fill="F2F2F2" w:val="clear"/>
            <w:tcMar>
              <w:top w:type="dxa" w:w="60"/>
              <w:left w:type="dxa" w:w="100"/>
              <w:bottom w:type="dxa" w:w="60"/>
              <w:right w:type="dxa" w:w="100"/>
            </w:tcMar>
            <w:vAlign w:val="center"/>
          </w:tcPr>
          <w:p>
            <w:pPr>
              <w:jc w:val="left"/>
            </w:pPr>
            <w:r>
              <w:rPr>
                <w:b w:val="false"/>
                <w:bCs w:val="false"/>
                <w:sz w:val="19"/>
                <w:szCs w:val="19"/>
              </w:rPr>
              <w:t xml:space="preserve">DARPAN (NPO) registration</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C (if NPO)</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M (trusts/societies as NPOs)</w:t>
            </w:r>
          </w:p>
        </w:tc>
        <w:tc>
          <w:tcPr>
            <w:tcW w:type="dxa" w:w="1200"/>
            <w:shd w:fill="F2F2F2" w:val="clear"/>
            <w:tcMar>
              <w:top w:type="dxa" w:w="60"/>
              <w:left w:type="dxa" w:w="100"/>
              <w:bottom w:type="dxa" w:w="60"/>
              <w:right w:type="dxa" w:w="100"/>
            </w:tcMar>
            <w:vAlign w:val="center"/>
          </w:tcPr>
          <w:p>
            <w:pPr>
              <w:jc w:val="left"/>
            </w:pPr>
            <w:r>
              <w:rPr>
                <w:b w:val="false"/>
                <w:bCs w:val="false"/>
                <w:sz w:val="19"/>
                <w:szCs w:val="19"/>
              </w:rPr>
              <w:t xml:space="preserve">—</w:t>
            </w:r>
          </w:p>
        </w:tc>
      </w:tr>
    </w:tbl>
    <w:p>
      <w:pPr>
        <w:pageBreakBefore/>
      </w:pPr>
    </w:p>
    <w:p>
      <w:pPr>
        <w:pStyle w:val="Heading1"/>
        <w:spacing w:after="200" w:before="400"/>
      </w:pPr>
      <w:r>
        <w:t xml:space="preserve">9. Common Documents vs Structure-Specific Documents</w:t>
      </w:r>
    </w:p>
    <w:p>
      <w:pPr>
        <w:pStyle w:val="Heading2"/>
        <w:spacing w:after="150" w:before="300"/>
      </w:pPr>
      <w:r>
        <w:t xml:space="preserve">9.1 Documents common to virtually every business structure</w:t>
      </w:r>
    </w:p>
    <w:p>
      <w:pPr>
        <w:pStyle w:val="ListParagraph"/>
        <w:numPr>
          <w:ilvl w:val="0"/>
          <w:numId w:val="1"/>
        </w:numPr>
        <w:spacing w:after="80"/>
      </w:pPr>
      <w:r>
        <w:t xml:space="preserve">PAN — either of the entity (companies, LLPs, partnerships, trusts, societies, HUF) or of the individual (sole proprietor).</w:t>
      </w:r>
    </w:p>
    <w:p>
      <w:pPr>
        <w:pStyle w:val="ListParagraph"/>
        <w:numPr>
          <w:ilvl w:val="0"/>
          <w:numId w:val="1"/>
        </w:numPr>
        <w:spacing w:after="80"/>
      </w:pPr>
      <w:r>
        <w:t xml:space="preserve">Proof of identity/address of every natural person in a controlling or signing capacity, verified via Aadhaar/OVD under the RBI KYC MD Para 16 standard.</w:t>
      </w:r>
    </w:p>
    <w:p>
      <w:pPr>
        <w:pStyle w:val="ListParagraph"/>
        <w:numPr>
          <w:ilvl w:val="0"/>
          <w:numId w:val="1"/>
        </w:numPr>
        <w:spacing w:after="80"/>
      </w:pPr>
      <w:r>
        <w:t xml:space="preserve">Proof of registered/principal business address — utility bill (≤2 months), tax receipt, or rent agreement + NOC.</w:t>
      </w:r>
    </w:p>
    <w:p>
      <w:pPr>
        <w:pStyle w:val="ListParagraph"/>
        <w:numPr>
          <w:ilvl w:val="0"/>
          <w:numId w:val="1"/>
        </w:numPr>
        <w:spacing w:after="80"/>
      </w:pPr>
      <w:r>
        <w:t xml:space="preserve">Passport-size photograph(s) of the proprietor/partners/directors/authorised signatory/karta, wherever an MCA or GST filing is involved.</w:t>
      </w:r>
    </w:p>
    <w:p>
      <w:pPr>
        <w:pStyle w:val="ListParagraph"/>
        <w:numPr>
          <w:ilvl w:val="0"/>
          <w:numId w:val="1"/>
        </w:numPr>
        <w:spacing w:after="80"/>
      </w:pPr>
      <w:r>
        <w:t xml:space="preserve">Bank account verification proof (cancelled cheque or bank statement/passbook extract) for GST registration, regardless of structure.</w:t>
      </w:r>
    </w:p>
    <w:p>
      <w:pPr>
        <w:pStyle w:val="Heading2"/>
        <w:spacing w:after="150" w:before="300"/>
      </w:pPr>
      <w:r>
        <w:t xml:space="preserve">9.2 Structure-specific documents (not required elsewhere)</w:t>
      </w:r>
    </w:p>
    <w:p>
      <w:pPr>
        <w:pStyle w:val="ListParagraph"/>
        <w:numPr>
          <w:ilvl w:val="0"/>
          <w:numId w:val="1"/>
        </w:numPr>
        <w:spacing w:after="80"/>
      </w:pPr>
      <w:r>
        <w:t xml:space="preserve">Sole Proprietorship: any two of the eight Para-28 business-activity proofs (Udyam, Shop &amp; Establishment licence, IEC, etc.) — a substitute for the registration certificate other structures possess.</w:t>
      </w:r>
    </w:p>
    <w:p>
      <w:pPr>
        <w:pStyle w:val="ListParagraph"/>
        <w:numPr>
          <w:ilvl w:val="0"/>
          <w:numId w:val="1"/>
        </w:numPr>
        <w:spacing w:after="80"/>
      </w:pPr>
      <w:r>
        <w:t xml:space="preserve">Partnership Firm / LLP: Partnership Deed or LLP Agreement stating profit-sharing ratio — unique to these two structures.</w:t>
      </w:r>
    </w:p>
    <w:p>
      <w:pPr>
        <w:pStyle w:val="ListParagraph"/>
        <w:numPr>
          <w:ilvl w:val="0"/>
          <w:numId w:val="1"/>
        </w:numPr>
        <w:spacing w:after="80"/>
      </w:pPr>
      <w:r>
        <w:t xml:space="preserve">Private Limited Company / OPC / Section 8 Company: MOA/AOA, DIN, DSC, SPICe+/FiLLiP-based incorporation, Form BEN-1/BEN-2 SBO filings.</w:t>
      </w:r>
    </w:p>
    <w:p>
      <w:pPr>
        <w:pStyle w:val="ListParagraph"/>
        <w:numPr>
          <w:ilvl w:val="0"/>
          <w:numId w:val="1"/>
        </w:numPr>
        <w:spacing w:after="80"/>
      </w:pPr>
      <w:r>
        <w:t xml:space="preserve">LLP specifically: FiLLiP form and RUN-LLP name-reservation, distinct from the company SPICe+ route.</w:t>
      </w:r>
    </w:p>
    <w:p>
      <w:pPr>
        <w:pStyle w:val="ListParagraph"/>
        <w:numPr>
          <w:ilvl w:val="0"/>
          <w:numId w:val="1"/>
        </w:numPr>
        <w:spacing w:after="80"/>
      </w:pPr>
      <w:r>
        <w:t xml:space="preserve">OPC specifically: Nominee consent (Form INC-3) — found in no other structure.</w:t>
      </w:r>
    </w:p>
    <w:p>
      <w:pPr>
        <w:pStyle w:val="ListParagraph"/>
        <w:numPr>
          <w:ilvl w:val="0"/>
          <w:numId w:val="1"/>
        </w:numPr>
        <w:spacing w:after="80"/>
      </w:pPr>
      <w:r>
        <w:t xml:space="preserve">Trust: Trust Deed identifying author/trustees/beneficiaries; DARPAN registration if operating as an NPO.</w:t>
      </w:r>
    </w:p>
    <w:p>
      <w:pPr>
        <w:pStyle w:val="ListParagraph"/>
        <w:numPr>
          <w:ilvl w:val="0"/>
          <w:numId w:val="1"/>
        </w:numPr>
        <w:spacing w:after="80"/>
      </w:pPr>
      <w:r>
        <w:t xml:space="preserve">Society: Registration under Societies Registration Act, 1860 (or State equivalent) and governing-body resolution.</w:t>
      </w:r>
    </w:p>
    <w:p>
      <w:pPr>
        <w:pStyle w:val="ListParagraph"/>
        <w:numPr>
          <w:ilvl w:val="0"/>
          <w:numId w:val="1"/>
        </w:numPr>
        <w:spacing w:after="80"/>
      </w:pPr>
      <w:r>
        <w:t xml:space="preserve">HUF: Separate HUF-level PAN and a Karta-centric documentation model with no dedicated RBI MD paragraph — handled by banks through internal policy, by analogy to the juridical-person provisions.</w:t>
      </w:r>
    </w:p>
    <w:p>
      <w:pPr>
        <w:pageBreakBefore/>
      </w:pPr>
    </w:p>
    <w:p>
      <w:pPr>
        <w:pStyle w:val="Heading1"/>
        <w:spacing w:after="200" w:before="400"/>
      </w:pPr>
      <w:r>
        <w:t xml:space="preserve">10. Edge Cases &amp; Exceptions</w:t>
      </w:r>
    </w:p>
    <w:p>
      <w:pPr>
        <w:pStyle w:val="ListParagraph"/>
        <w:numPr>
          <w:ilvl w:val="0"/>
          <w:numId w:val="1"/>
        </w:numPr>
        <w:spacing w:after="80"/>
      </w:pPr>
      <w:r>
        <w:t xml:space="preserve">Unregistered partnership firms are documented under RBI MD Para 33A ('unincorporated association'), not Para 31, since they lack a Registration Certificate — meaning the document set differs materially from a registered firm even though both are 'partnerships' commercially.</w:t>
      </w:r>
    </w:p>
    <w:p>
      <w:pPr>
        <w:pStyle w:val="ListParagraph"/>
        <w:numPr>
          <w:ilvl w:val="0"/>
          <w:numId w:val="1"/>
        </w:numPr>
        <w:spacing w:after="80"/>
      </w:pPr>
      <w:r>
        <w:t xml:space="preserve">Foreign directors/NRI subscribers in a Pvt Ltd/OPC/Section 8 Company require notarised and apostilled (Hague Convention countries) or Indian-Embassy-attested identity/address documents — a materially heavier package than for resident Indians, and one that typically adds 5–10 working days to incorporation timelines.</w:t>
      </w:r>
    </w:p>
    <w:p>
      <w:pPr>
        <w:pStyle w:val="ListParagraph"/>
        <w:numPr>
          <w:ilvl w:val="0"/>
          <w:numId w:val="1"/>
        </w:numPr>
        <w:spacing w:after="80"/>
      </w:pPr>
      <w:r>
        <w:t xml:space="preserve">Listed companies and their subsidiaries are expressly exempted from beneficial-owner look-through under RBI MD Para 34(1) — a rare case where a company-type customer needs less BO documentation than a private, unlisted one.</w:t>
      </w:r>
    </w:p>
    <w:p>
      <w:pPr>
        <w:pStyle w:val="ListParagraph"/>
        <w:numPr>
          <w:ilvl w:val="0"/>
          <w:numId w:val="1"/>
        </w:numPr>
        <w:spacing w:after="80"/>
      </w:pPr>
      <w:r>
        <w:t xml:space="preserve">Minors as Significant Beneficial Owners: a minor cannot independently be an SBO; their guardian is combined with the guardian's own holdings for the 10% threshold test, and a specific declaration is made in Form BEN-1 identifying the interest as belonging to the minor.</w:t>
      </w:r>
    </w:p>
    <w:p>
      <w:pPr>
        <w:pStyle w:val="ListParagraph"/>
        <w:numPr>
          <w:ilvl w:val="0"/>
          <w:numId w:val="1"/>
        </w:numPr>
        <w:spacing w:after="80"/>
      </w:pPr>
      <w:r>
        <w:t xml:space="preserve">Politically Exposed Persons (PEPs) — where a beneficial owner, director, or partner qualifies as a PEP (or their family member/close associate), REs must apply Enhanced Due Diligence: senior-management approval to open/continue the account, source-of-funds verification, and ongoing enhanced monitoring (RBI MD Para 41).</w:t>
      </w:r>
    </w:p>
    <w:p>
      <w:pPr>
        <w:pStyle w:val="ListParagraph"/>
        <w:numPr>
          <w:ilvl w:val="0"/>
          <w:numId w:val="1"/>
        </w:numPr>
        <w:spacing w:after="80"/>
      </w:pPr>
      <w:r>
        <w:t xml:space="preserve">Non-face-to-face onboarding (e.g., digital-only neobank or fintech account opening) automatically classifies the customer as high-risk and triggers Enhanced Due Diligence — positive address confirmation, PAN verification, and a mandatory first-credit transaction from an existing KYC-compliant bank account (RBI MD Para 40) — unless V-CIP (treated as equivalent to face-to-face CIP) is used instead.</w:t>
      </w:r>
    </w:p>
    <w:p>
      <w:pPr>
        <w:pStyle w:val="ListParagraph"/>
        <w:numPr>
          <w:ilvl w:val="0"/>
          <w:numId w:val="1"/>
        </w:numPr>
        <w:spacing w:after="80"/>
      </w:pPr>
      <w:r>
        <w:t xml:space="preserve">Self Help Groups (SHGs) benefit from Simplified Due Diligence: CDD of all members is not required at savings-account opening — only the office bearers need be verified, with full-member CDD deferred to the point of credit-linking (RBI MD Para 43).</w:t>
      </w:r>
    </w:p>
    <w:p>
      <w:pPr>
        <w:pStyle w:val="ListParagraph"/>
        <w:numPr>
          <w:ilvl w:val="0"/>
          <w:numId w:val="1"/>
        </w:numPr>
        <w:spacing w:after="80"/>
      </w:pPr>
      <w:r>
        <w:t xml:space="preserve">Existing customers without PAN/Form 60: RBI MD Para 39 requires REs to temporarily cease account operations (not close the account outright) until PAN/Form 60 is furnished, subject to a prior notice-and-hearing safeguard, with relaxations for customers unable to comply due to injury/illness/old-age infirmity.</w:t>
      </w:r>
    </w:p>
    <w:p>
      <w:pPr>
        <w:pStyle w:val="ListParagraph"/>
        <w:numPr>
          <w:ilvl w:val="0"/>
          <w:numId w:val="1"/>
        </w:numPr>
        <w:spacing w:after="80"/>
      </w:pPr>
      <w:r>
        <w:t xml:space="preserve">Section 8 Companies are NOT exempt from the Companies Act SBO regime — a common misconception; MCA guidance is explicit that not-for-profit status does not remove Section 90 obligations.</w:t>
      </w:r>
    </w:p>
    <w:p>
      <w:pPr>
        <w:pStyle w:val="ListParagraph"/>
        <w:numPr>
          <w:ilvl w:val="0"/>
          <w:numId w:val="1"/>
        </w:numPr>
        <w:spacing w:after="80"/>
      </w:pPr>
      <w:r>
        <w:t xml:space="preserve">Draft vs final law caution: The RBI's April 2026 Draft PPI Master Direction proposes materially different balance/debit caps and loading restrictions than the operative 2021 PPI MD; businesses relying on PPI/wallet onboarding rules should check rbi.org.in for the finalised 2026 direction before applying draft figures, since the draft comment window closed 22 May 2026 and finalisation timing was not yet confirmed as of the current knowledge position.</w:t>
      </w:r>
    </w:p>
    <w:p>
      <w:pPr>
        <w:pStyle w:val="ListParagraph"/>
        <w:numPr>
          <w:ilvl w:val="0"/>
          <w:numId w:val="1"/>
        </w:numPr>
        <w:spacing w:after="80"/>
      </w:pPr>
      <w:r>
        <w:t xml:space="preserve">Payment Aggregator small-merchant relief (≤₹40 lakh turnover / ≤₹5 lakh export turnover) is available only for merchant onboarding by PAs — it does not reduce the RBI MD's own bank-account KYC standard for that same merchant's current account, which remains at the full Para 27–31 level.</w:t>
      </w:r>
    </w:p>
    <w:p>
      <w:pPr>
        <w:pageBreakBefore/>
      </w:pPr>
    </w:p>
    <w:p>
      <w:pPr>
        <w:pStyle w:val="Heading1"/>
        <w:spacing w:after="200" w:before="400"/>
      </w:pPr>
      <w:r>
        <w:t xml:space="preserve">11. References</w:t>
      </w:r>
    </w:p>
    <w:p>
      <w:pPr>
        <w:pStyle w:val="Heading2"/>
        <w:spacing w:after="150" w:before="300"/>
      </w:pPr>
      <w:r>
        <w:t xml:space="preserve">Primary Government / Regulator Sources</w:t>
      </w:r>
    </w:p>
    <w:p>
      <w:pPr>
        <w:pStyle w:val="ListParagraph"/>
        <w:numPr>
          <w:ilvl w:val="0"/>
          <w:numId w:val="1"/>
        </w:numPr>
        <w:spacing w:after="80"/>
      </w:pPr>
      <w:r>
        <w:t xml:space="preserve">Reserve Bank of India, Master Direction – Know Your Customer (KYC) Direction, 2016 (RBI/DBR/2015-16/18, DBR.AML.BC.No.81/14.01.001/2015-16), updated as on 14 August 2025. https://www.rbi.org.in/Scripts/BS_ViewMasDirections.aspx?id=11566</w:t>
      </w:r>
    </w:p>
    <w:p>
      <w:pPr>
        <w:pStyle w:val="ListParagraph"/>
        <w:numPr>
          <w:ilvl w:val="0"/>
          <w:numId w:val="1"/>
        </w:numPr>
        <w:spacing w:after="80"/>
      </w:pPr>
      <w:r>
        <w:t xml:space="preserve">Reserve Bank of India, (Know Your Customer (KYC)) (Amendment) Directions, 2025, RBI/2025-26/51, DOR.AML.REC.30/14.01.001/2025-26, dated 12 June 2025.</w:t>
      </w:r>
    </w:p>
    <w:p>
      <w:pPr>
        <w:pStyle w:val="ListParagraph"/>
        <w:numPr>
          <w:ilvl w:val="0"/>
          <w:numId w:val="1"/>
        </w:numPr>
        <w:spacing w:after="80"/>
      </w:pPr>
      <w:r>
        <w:t xml:space="preserve">Reserve Bank of India, (Know Your Customer (KYC)) (2nd Amendment) Directions, 2025, RBI/2025-26/75, DOR.AML.REC.46/14.01.001/2025-26, dated 14 August 2025.</w:t>
      </w:r>
    </w:p>
    <w:p>
      <w:pPr>
        <w:pStyle w:val="ListParagraph"/>
        <w:numPr>
          <w:ilvl w:val="0"/>
          <w:numId w:val="1"/>
        </w:numPr>
        <w:spacing w:after="80"/>
      </w:pPr>
      <w:r>
        <w:t xml:space="preserve">Reserve Bank of India, (Regulation of Payment Aggregators) Directions, 2025, dated 15 September 2025.</w:t>
      </w:r>
    </w:p>
    <w:p>
      <w:pPr>
        <w:pStyle w:val="ListParagraph"/>
        <w:numPr>
          <w:ilvl w:val="0"/>
          <w:numId w:val="1"/>
        </w:numPr>
        <w:spacing w:after="80"/>
      </w:pPr>
      <w:r>
        <w:t xml:space="preserve">Reserve Bank of India, Master Directions on Prepaid Payment Instruments (PPIs), 2021 (as operative); Draft Master Direction on Prepaid Payment Instruments (PPIs), 2026, released 22 April 2026 (comments closed 22 May 2026, not yet finalised).</w:t>
      </w:r>
    </w:p>
    <w:p>
      <w:pPr>
        <w:pStyle w:val="ListParagraph"/>
        <w:numPr>
          <w:ilvl w:val="0"/>
          <w:numId w:val="1"/>
        </w:numPr>
        <w:spacing w:after="80"/>
      </w:pPr>
      <w:r>
        <w:t xml:space="preserve">Prevention of Money-Laundering Act, 2002, and Prevention of Money-Laundering (Maintenance of Records) Rules, 2005 (Government of India), as amended.</w:t>
      </w:r>
    </w:p>
    <w:p>
      <w:pPr>
        <w:pStyle w:val="ListParagraph"/>
        <w:numPr>
          <w:ilvl w:val="0"/>
          <w:numId w:val="1"/>
        </w:numPr>
        <w:spacing w:after="80"/>
      </w:pPr>
      <w:r>
        <w:t xml:space="preserve">Ministry of Corporate Affairs, Companies Act, 2013 — Section 90 (Register of Significant Beneficial Owners) and Companies (Significant Beneficial Owners) Rules, 2018, as amended by the Companies (Significant Beneficial Owners) Amendment Rules, 2019 and 2024.</w:t>
      </w:r>
    </w:p>
    <w:p>
      <w:pPr>
        <w:pStyle w:val="ListParagraph"/>
        <w:numPr>
          <w:ilvl w:val="0"/>
          <w:numId w:val="1"/>
        </w:numPr>
        <w:spacing w:after="80"/>
      </w:pPr>
      <w:r>
        <w:t xml:space="preserve">Ministry of Corporate Affairs, FAQs on Incorporation and Allied Matters (SPICe+ and linked filings), mca.gov.in. https://www.mca.gov.in/content/dam/mca/pdf/SPICEplus-and-linked-filings-FAQs-V3-20230122.pdf</w:t>
      </w:r>
    </w:p>
    <w:p>
      <w:pPr>
        <w:pStyle w:val="ListParagraph"/>
        <w:numPr>
          <w:ilvl w:val="0"/>
          <w:numId w:val="1"/>
        </w:numPr>
        <w:spacing w:after="80"/>
      </w:pPr>
      <w:r>
        <w:t xml:space="preserve">Goods and Services Tax Network, Check-list of Documents Required For GST Registration Purpose (official GSTN training-portal document checklist). https://tutorial.gst.gov.in/cbt/registration/gstregistration/course/story_content/external_files/GST_Registration_Document_Checklist.pdf</w:t>
      </w:r>
    </w:p>
    <w:p>
      <w:pPr>
        <w:pStyle w:val="ListParagraph"/>
        <w:numPr>
          <w:ilvl w:val="0"/>
          <w:numId w:val="1"/>
        </w:numPr>
        <w:spacing w:after="80"/>
      </w:pPr>
      <w:r>
        <w:t xml:space="preserve">Aadhaar (Targeted Delivery of Financial and Other Subsidies, Benefits and Services) Act, 2016 (UIDAI legal framework), as referenced within the RBI KYC Master Direction.</w:t>
      </w:r>
    </w:p>
    <w:p>
      <w:pPr>
        <w:pStyle w:val="ListParagraph"/>
        <w:numPr>
          <w:ilvl w:val="0"/>
          <w:numId w:val="1"/>
        </w:numPr>
        <w:spacing w:after="80"/>
      </w:pPr>
      <w:r>
        <w:t xml:space="preserve">Limited Liability Partnership Act, 2008, and LLP (Incorporation) Rules — FiLLiP form framework.</w:t>
      </w:r>
    </w:p>
    <w:p>
      <w:pPr>
        <w:pStyle w:val="Heading2"/>
        <w:spacing w:after="150" w:before="300"/>
      </w:pPr>
      <w:r>
        <w:t xml:space="preserve">Secondary Sources (used to explain/corroborate primary regulation)</w:t>
      </w:r>
    </w:p>
    <w:p>
      <w:pPr>
        <w:pStyle w:val="ListParagraph"/>
        <w:numPr>
          <w:ilvl w:val="0"/>
          <w:numId w:val="1"/>
        </w:numPr>
        <w:spacing w:after="80"/>
      </w:pPr>
      <w:r>
        <w:t xml:space="preserve">S.S. Rana &amp; Co., 'KYC Simplified: RBI's customer centric KYC Amendment explained' (2025).</w:t>
      </w:r>
    </w:p>
    <w:p>
      <w:pPr>
        <w:pStyle w:val="ListParagraph"/>
        <w:numPr>
          <w:ilvl w:val="0"/>
          <w:numId w:val="1"/>
        </w:numPr>
        <w:spacing w:after="80"/>
      </w:pPr>
      <w:r>
        <w:t xml:space="preserve">AKA &amp; Partners, 'RBI Issues New KYC Amendment Directions, 2025' (2025).</w:t>
      </w:r>
    </w:p>
    <w:p>
      <w:pPr>
        <w:pStyle w:val="ListParagraph"/>
        <w:numPr>
          <w:ilvl w:val="0"/>
          <w:numId w:val="1"/>
        </w:numPr>
        <w:spacing w:after="80"/>
      </w:pPr>
      <w:r>
        <w:t xml:space="preserve">AZB &amp; Partners, 'RBI Issues Consolidated Reserve Bank of India (Regulation of Payment Aggregators) Directions, 2025' (2025).</w:t>
      </w:r>
    </w:p>
    <w:p>
      <w:pPr>
        <w:pStyle w:val="ListParagraph"/>
        <w:numPr>
          <w:ilvl w:val="0"/>
          <w:numId w:val="1"/>
        </w:numPr>
        <w:spacing w:after="80"/>
      </w:pPr>
      <w:r>
        <w:t xml:space="preserve">Khaitan &amp; Co., 'Key Changes introduced in the PA Directions' client alert (October 2025).</w:t>
      </w:r>
    </w:p>
    <w:p>
      <w:pPr>
        <w:pStyle w:val="ListParagraph"/>
        <w:numPr>
          <w:ilvl w:val="0"/>
          <w:numId w:val="1"/>
        </w:numPr>
        <w:spacing w:after="80"/>
      </w:pPr>
      <w:r>
        <w:t xml:space="preserve">Juris Corp, 'RBI's New Playbook for Payment Aggregators — Highlights from the 2025 Directions' (2025).</w:t>
      </w:r>
    </w:p>
    <w:p>
      <w:pPr>
        <w:pStyle w:val="ListParagraph"/>
        <w:numPr>
          <w:ilvl w:val="0"/>
          <w:numId w:val="1"/>
        </w:numPr>
        <w:spacing w:after="80"/>
      </w:pPr>
      <w:r>
        <w:t xml:space="preserve">Trilegal, 'New Master Directions on Prepaid Payment Instruments' and 'RBI's Guidelines on Regulation of Payment Gateways and Payment Aggregators' client notes.</w:t>
      </w:r>
    </w:p>
    <w:p>
      <w:pPr>
        <w:pStyle w:val="ListParagraph"/>
        <w:numPr>
          <w:ilvl w:val="0"/>
          <w:numId w:val="1"/>
        </w:numPr>
        <w:spacing w:after="80"/>
      </w:pPr>
      <w:r>
        <w:t xml:space="preserve">K Singhania &amp; Co / Mondaq, 'Understanding Compliance: Significant Beneficial Ownership (SBO) under the Companies Act 2013: Key Cases and Insights' (2025).</w:t>
      </w:r>
    </w:p>
    <w:p>
      <w:pPr>
        <w:pStyle w:val="ListParagraph"/>
        <w:numPr>
          <w:ilvl w:val="0"/>
          <w:numId w:val="1"/>
        </w:numPr>
        <w:spacing w:after="80"/>
      </w:pPr>
      <w:r>
        <w:t xml:space="preserve">Corporate Professionals, 'Significant Beneficial Owner (SBO) Rules | Section 90 | Form BEN-1' (explanatory note).</w:t>
      </w:r>
    </w:p>
    <w:p>
      <w:pPr>
        <w:pStyle w:val="ListParagraph"/>
        <w:numPr>
          <w:ilvl w:val="0"/>
          <w:numId w:val="1"/>
        </w:numPr>
        <w:spacing w:after="80"/>
      </w:pPr>
      <w:r>
        <w:t xml:space="preserve">ICSI, 'Law and Procedure Relating to Significant Beneficial Ownership of Shares under Section 90 of the Companies Act, 2013' (February 2025).</w:t>
      </w:r>
    </w:p>
    <w:p>
      <w:pPr>
        <w:pStyle w:val="ListParagraph"/>
        <w:numPr>
          <w:ilvl w:val="0"/>
          <w:numId w:val="1"/>
        </w:numPr>
        <w:spacing w:after="80"/>
      </w:pPr>
      <w:r>
        <w:t xml:space="preserve">LegalWiz.in, Vakilsearch, ClearTax, IndiaFilings, EbizFiling, Legal Suvidha, Patron Accounting, K M Gatecha &amp; Co, TaxGuru — company-registration and GST-registration document checklists (used only for operational/practical granularity, cross-checked against MCA/GST primary sources).</w:t>
      </w:r>
    </w:p>
    <w:p>
      <w:pPr>
        <w:pStyle w:val="ListParagraph"/>
        <w:numPr>
          <w:ilvl w:val="0"/>
          <w:numId w:val="1"/>
        </w:numPr>
        <w:spacing w:after="80"/>
      </w:pPr>
      <w:r>
        <w:t xml:space="preserve">Medianama and TaxGuru, coverage of the RBI Draft Master Direction on PPIs, 2026 (April–May 2026).</w:t>
      </w:r>
    </w:p>
    <w:p>
      <w:pPr>
        <w:spacing w:after="200"/>
      </w:pPr>
      <w:r>
        <w:rPr>
          <w:i/>
          <w:iCs/>
          <w:color w:val="555555"/>
          <w:sz w:val="18"/>
          <w:szCs w:val="18"/>
        </w:rPr>
        <w:t xml:space="preserve">This report reflects the regulatory position understood as of July 2026. RBI Master Directions and MCA rules are amended frequently; readers should verify current text on rbi.org.in and mca.gov.in before relying on this document for a live compliance decision, and should treat the draft 2026 PPI Master Direction as non-final until notified.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8" w:space="4"/>
      </w:pBd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5"/>
      <w:szCs w:val="25"/>
    </w:rPr>
  </w:style>
  <w:style w:type="paragraph" w:styleId="Heading3">
    <w:name w:val="Heading 3"/>
    <w:basedOn w:val="Normal"/>
    <w:next w:val="Normal"/>
    <w:qFormat/>
    <w:pPr>
      <w:spacing w:after="100" w:before="18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2026-07-14T09:37:19.853Z</dcterms:created>
  <dcterms:modified xsi:type="dcterms:W3CDTF">2026-07-14T09:37:19.854Z</dcterms:modified>
</cp:coreProperties>
</file>

<file path=docProps/custom.xml><?xml version="1.0" encoding="utf-8"?>
<Properties xmlns="http://schemas.openxmlformats.org/officeDocument/2006/custom-properties" xmlns:vt="http://schemas.openxmlformats.org/officeDocument/2006/docPropsVTypes"/>
</file>