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PAYER ANALYSIS</w:t>
      </w:r>
    </w:p>
    <w:p>
      <w:pPr>
        <w:pStyle w:val="Heading2"/>
        <w:jc w:val="center"/>
      </w:pPr>
      <w:r>
        <w:t>Financial and Utilization Analysis Report</w:t>
      </w:r>
    </w:p>
    <w:p>
      <w:pPr>
        <w:pStyle w:val="Heading1"/>
      </w:pPr>
      <w:r>
        <w:t>Executive Summary</w:t>
      </w:r>
    </w:p>
    <w:p>
      <w:r>
        <w:t>This analysis examines medical costs across 1,338 insured members. Key findings reveal significant cost concentration among high-risk members, creating substantial opportunities for targeted interventions.</w:t>
      </w:r>
    </w:p>
    <w:p>
      <w:pPr>
        <w:pStyle w:val="Heading1"/>
      </w:pPr>
      <w:r>
        <w:t>Key Findings</w:t>
      </w:r>
    </w:p>
    <w:p>
      <w:pPr>
        <w:pStyle w:val="ListBullet"/>
      </w:pPr>
      <w:r>
        <w:t>Total Members: 1,338</w:t>
      </w:r>
    </w:p>
    <w:p>
      <w:pPr>
        <w:pStyle w:val="ListBullet"/>
      </w:pPr>
      <w:r>
        <w:t>Total Annual Medical Cost: $17,548,876</w:t>
      </w:r>
    </w:p>
    <w:p>
      <w:pPr>
        <w:pStyle w:val="ListBullet"/>
      </w:pPr>
      <w:r>
        <w:t>Average Cost per Member: $13,113</w:t>
      </w:r>
    </w:p>
    <w:p>
      <w:pPr>
        <w:pStyle w:val="ListBullet"/>
      </w:pPr>
      <w:r>
        <w:t>Cost Range: $1,122 - $63,770</w:t>
      </w:r>
    </w:p>
    <w:p>
      <w:pPr>
        <w:pStyle w:val="Heading1"/>
      </w:pPr>
      <w:r>
        <w:t>The 80/20 Rule</w:t>
      </w:r>
    </w:p>
    <w:p>
      <w:r>
        <w:t>Top 20% of members (268 people) account for 73.5% of total costs ($12.9M). This creates significant leverage for intervention.</w:t>
      </w:r>
    </w:p>
    <w:p>
      <w:pPr>
        <w:pStyle w:val="Heading1"/>
      </w:pPr>
      <w:r>
        <w:t>Cost Drivers</w:t>
      </w:r>
    </w:p>
    <w:p>
      <w:pPr>
        <w:pStyle w:val="Heading2"/>
      </w:pPr>
      <w:r>
        <w:t>Smoking: 3.8x Cost Multiplier</w:t>
      </w:r>
    </w:p>
    <w:p>
      <w:r>
        <w:t>Smokers cost significantly more: $32,050 vs $8,434 for non-smokers</w:t>
      </w:r>
    </w:p>
    <w:p>
      <w:pPr>
        <w:pStyle w:val="Heading2"/>
      </w:pPr>
      <w:r>
        <w:t>Age: 5.6x Cost Multiplier</w:t>
      </w:r>
    </w:p>
    <w:p>
      <w:r>
        <w:t>Members 60+ cost much more: $21,178 vs $3,749 for members 18-29</w:t>
      </w:r>
    </w:p>
    <w:p>
      <w:pPr>
        <w:pStyle w:val="Heading2"/>
      </w:pPr>
      <w:r>
        <w:t>BMI: 3.0x Cost Multiplier</w:t>
      </w:r>
    </w:p>
    <w:p>
      <w:r>
        <w:t>Obese members cost more: $15,552 vs $5,176 for normal BMI</w:t>
      </w:r>
    </w:p>
    <w:p>
      <w:pPr>
        <w:pStyle w:val="Heading1"/>
      </w:pPr>
      <w:r>
        <w:t>Recommended Interventions</w:t>
      </w:r>
    </w:p>
    <w:p>
      <w:pPr>
        <w:pStyle w:val="Heading2"/>
      </w:pPr>
      <w:r>
        <w:t>Care Coordination</w:t>
      </w:r>
    </w:p>
    <w:p>
      <w:pPr>
        <w:pStyle w:val="ListBullet"/>
      </w:pPr>
      <w:r>
        <w:t>Target: Top 10% (134 members)</w:t>
      </w:r>
    </w:p>
    <w:p>
      <w:pPr>
        <w:pStyle w:val="ListBullet"/>
      </w:pPr>
      <w:r>
        <w:t>Investment: $408K investment</w:t>
      </w:r>
    </w:p>
    <w:p>
      <w:pPr>
        <w:pStyle w:val="ListBullet"/>
      </w:pPr>
      <w:r>
        <w:t>Expected Reduction: 15% reduction</w:t>
      </w:r>
    </w:p>
    <w:p>
      <w:pPr>
        <w:pStyle w:val="Heading2"/>
      </w:pPr>
      <w:r>
        <w:t>Disease Management</w:t>
      </w:r>
    </w:p>
    <w:p>
      <w:pPr>
        <w:pStyle w:val="ListBullet"/>
      </w:pPr>
      <w:r>
        <w:t>Target: Top 20% (268 members)</w:t>
      </w:r>
    </w:p>
    <w:p>
      <w:pPr>
        <w:pStyle w:val="ListBullet"/>
      </w:pPr>
      <w:r>
        <w:t>Investment: $160K investment</w:t>
      </w:r>
    </w:p>
    <w:p>
      <w:pPr>
        <w:pStyle w:val="ListBullet"/>
      </w:pPr>
      <w:r>
        <w:t>Expected Reduction: 10% reduction</w:t>
      </w:r>
    </w:p>
    <w:p>
      <w:pPr>
        <w:pStyle w:val="Heading2"/>
      </w:pPr>
      <w:r>
        <w:t>Smoking Cessation</w:t>
      </w:r>
    </w:p>
    <w:p>
      <w:pPr>
        <w:pStyle w:val="ListBullet"/>
      </w:pPr>
      <w:r>
        <w:t>Target: 614 smokers</w:t>
      </w:r>
    </w:p>
    <w:p>
      <w:pPr>
        <w:pStyle w:val="ListBullet"/>
      </w:pPr>
      <w:r>
        <w:t>Investment: $245K investment</w:t>
      </w:r>
    </w:p>
    <w:p>
      <w:pPr>
        <w:pStyle w:val="ListBullet"/>
      </w:pPr>
      <w:r>
        <w:t>Expected Reduction: 12% reduction</w:t>
      </w:r>
    </w:p>
    <w:p>
      <w:pPr>
        <w:pStyle w:val="Heading2"/>
      </w:pPr>
      <w:r>
        <w:t>Weight Management</w:t>
      </w:r>
    </w:p>
    <w:p>
      <w:pPr>
        <w:pStyle w:val="ListBullet"/>
      </w:pPr>
      <w:r>
        <w:t>Target: 549 obese members</w:t>
      </w:r>
    </w:p>
    <w:p>
      <w:pPr>
        <w:pStyle w:val="ListBullet"/>
      </w:pPr>
      <w:r>
        <w:t>Investment: $164K investment</w:t>
      </w:r>
    </w:p>
    <w:p>
      <w:pPr>
        <w:pStyle w:val="ListBullet"/>
      </w:pPr>
      <w:r>
        <w:t>Expected Reduction: 8% reduction</w:t>
      </w:r>
    </w:p>
    <w:p>
      <w:pPr>
        <w:pStyle w:val="Heading1"/>
      </w:pPr>
      <w:r>
        <w:t>Financial Impact</w:t>
      </w:r>
    </w:p>
    <w:p>
      <w:pPr>
        <w:pStyle w:val="ListBullet"/>
      </w:pPr>
      <w:r>
        <w:t>Total Program Investment: $979,100</w:t>
      </w:r>
    </w:p>
    <w:p>
      <w:pPr>
        <w:pStyle w:val="ListBullet"/>
      </w:pPr>
      <w:r>
        <w:t>Expected Annual Savings: $2,124,000</w:t>
      </w:r>
    </w:p>
    <w:p>
      <w:pPr>
        <w:pStyle w:val="ListBullet"/>
      </w:pPr>
      <w:r>
        <w:t>Return on Investment: 2.2x</w:t>
      </w:r>
    </w:p>
    <w:p>
      <w:pPr>
        <w:pStyle w:val="ListBullet"/>
      </w:pPr>
      <w:r>
        <w:t>Net Benefit: $1,144,900</w:t>
      </w:r>
    </w:p>
    <w:p>
      <w:pPr>
        <w:pStyle w:val="Heading1"/>
      </w:pPr>
      <w:r>
        <w:t>Conclusion</w:t>
      </w:r>
    </w:p>
    <w:p>
      <w:r>
        <w:t>The analysis reveals significant financial opportunities through targeted interventions on high-cost members. With 73.5% of costs concentrated in 20% of members, focused programs can deliver substantial ROI.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