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E0" w:rsidRPr="0000330B" w:rsidRDefault="00DC78E0" w:rsidP="00DC78E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DC78E0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</w:t>
      </w:r>
      <w:r w:rsidRPr="0000330B">
        <w:rPr>
          <w:rFonts w:ascii="Times New Roman" w:hAnsi="Times New Roman" w:cs="Times New Roman"/>
          <w:b/>
          <w:bCs/>
          <w:sz w:val="56"/>
          <w:szCs w:val="56"/>
        </w:rPr>
        <w:t>Problem Statement</w:t>
      </w:r>
    </w:p>
    <w:p w:rsidR="00D16859" w:rsidRPr="00DC78E0" w:rsidRDefault="00DC78E0" w:rsidP="00DC78E0">
      <w:pPr>
        <w:pStyle w:val="Heading1"/>
        <w:rPr>
          <w:color w:val="000000" w:themeColor="text1"/>
        </w:rPr>
      </w:pPr>
      <w:r w:rsidRPr="00DC78E0">
        <w:rPr>
          <w:color w:val="000000" w:themeColor="text1"/>
        </w:rPr>
        <w:t>M</w:t>
      </w:r>
      <w:r w:rsidR="001E6A82" w:rsidRPr="00DC78E0">
        <w:rPr>
          <w:color w:val="000000" w:themeColor="text1"/>
        </w:rPr>
        <w:t>easuring the Pulse of Prosperity: An Index of Economic Freedom Analysis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DC78E0" w:rsidRPr="00470B08" w:rsidTr="00742E75">
        <w:trPr>
          <w:trHeight w:val="401"/>
        </w:trPr>
        <w:tc>
          <w:tcPr>
            <w:tcW w:w="2122" w:type="dxa"/>
          </w:tcPr>
          <w:p w:rsidR="00DC78E0" w:rsidRPr="00DC78E0" w:rsidRDefault="00DC78E0" w:rsidP="00742E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8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654" w:type="dxa"/>
          </w:tcPr>
          <w:p w:rsidR="00DC78E0" w:rsidRPr="00DC78E0" w:rsidRDefault="00DC78E0" w:rsidP="00742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8E0">
              <w:rPr>
                <w:rFonts w:ascii="Times New Roman" w:hAnsi="Times New Roman" w:cs="Times New Roman"/>
                <w:sz w:val="24"/>
                <w:szCs w:val="24"/>
              </w:rPr>
              <w:t>16-06-2025</w:t>
            </w:r>
          </w:p>
        </w:tc>
      </w:tr>
      <w:tr w:rsidR="00DC78E0" w:rsidRPr="00470B08" w:rsidTr="00742E75">
        <w:trPr>
          <w:trHeight w:val="401"/>
        </w:trPr>
        <w:tc>
          <w:tcPr>
            <w:tcW w:w="2122" w:type="dxa"/>
          </w:tcPr>
          <w:p w:rsidR="00DC78E0" w:rsidRPr="00DC78E0" w:rsidRDefault="00DC78E0" w:rsidP="00742E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8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654" w:type="dxa"/>
          </w:tcPr>
          <w:p w:rsidR="00DC78E0" w:rsidRPr="00DC78E0" w:rsidRDefault="00DC78E0" w:rsidP="00742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8E0">
              <w:rPr>
                <w:rFonts w:ascii="Times New Roman" w:hAnsi="Times New Roman" w:cs="Times New Roman"/>
                <w:sz w:val="24"/>
                <w:szCs w:val="24"/>
              </w:rPr>
              <w:t>LTVIP2025TMID482</w:t>
            </w:r>
            <w:r w:rsidRPr="00DC78E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C78E0" w:rsidRPr="00470B08" w:rsidTr="00742E75">
        <w:trPr>
          <w:trHeight w:val="418"/>
        </w:trPr>
        <w:tc>
          <w:tcPr>
            <w:tcW w:w="2122" w:type="dxa"/>
          </w:tcPr>
          <w:p w:rsidR="00DC78E0" w:rsidRPr="00DC78E0" w:rsidRDefault="00DC78E0" w:rsidP="00742E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8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54" w:type="dxa"/>
          </w:tcPr>
          <w:p w:rsidR="00DC78E0" w:rsidRPr="00470B08" w:rsidRDefault="00DC78E0" w:rsidP="00DC78E0">
            <w:pPr>
              <w:rPr>
                <w:rFonts w:ascii="Times New Roman" w:hAnsi="Times New Roman" w:cs="Times New Roman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Measuring the Pulse of Prosperity: An Index of Economic Freedom Analysis</w:t>
            </w:r>
          </w:p>
        </w:tc>
      </w:tr>
      <w:tr w:rsidR="00DC78E0" w:rsidRPr="00470B08" w:rsidTr="00742E75">
        <w:trPr>
          <w:trHeight w:val="418"/>
        </w:trPr>
        <w:tc>
          <w:tcPr>
            <w:tcW w:w="2122" w:type="dxa"/>
          </w:tcPr>
          <w:p w:rsidR="00DC78E0" w:rsidRPr="00DC78E0" w:rsidRDefault="00DC78E0" w:rsidP="00742E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8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7654" w:type="dxa"/>
          </w:tcPr>
          <w:p w:rsidR="00DC78E0" w:rsidRPr="00DC78E0" w:rsidRDefault="00DC78E0" w:rsidP="00742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8E0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DC78E0" w:rsidRDefault="00DC78E0"/>
    <w:p w:rsidR="00D16859" w:rsidRPr="00DC78E0" w:rsidRDefault="001E6A82">
      <w:pPr>
        <w:rPr>
          <w:sz w:val="24"/>
          <w:szCs w:val="24"/>
        </w:rPr>
      </w:pPr>
      <w:r w:rsidRPr="00DC78E0">
        <w:rPr>
          <w:sz w:val="24"/>
          <w:szCs w:val="24"/>
        </w:rPr>
        <w:t xml:space="preserve">In the pursuit of global economic development and </w:t>
      </w:r>
      <w:r w:rsidRPr="00DC78E0">
        <w:rPr>
          <w:sz w:val="24"/>
          <w:szCs w:val="24"/>
        </w:rPr>
        <w:t xml:space="preserve">prosperity, measuring economic freedom has become a key indicator of a nation’s ability to foster growth, stability, and opportunity for its citizens. Despite numerous sources of economic data, many policymakers, investors, and analysts face difficulty in </w:t>
      </w:r>
      <w:r w:rsidRPr="00DC78E0">
        <w:rPr>
          <w:sz w:val="24"/>
          <w:szCs w:val="24"/>
        </w:rPr>
        <w:t>drawing actionable insights due to fragmented datasets, lack of dynamic visual tools, and limited contextual comparison.</w:t>
      </w:r>
    </w:p>
    <w:p w:rsidR="00D16859" w:rsidRPr="00DC78E0" w:rsidRDefault="001E6A82">
      <w:pPr>
        <w:rPr>
          <w:sz w:val="24"/>
          <w:szCs w:val="24"/>
        </w:rPr>
      </w:pPr>
      <w:r w:rsidRPr="00DC78E0">
        <w:rPr>
          <w:sz w:val="24"/>
          <w:szCs w:val="24"/>
        </w:rPr>
        <w:t>Countries and economic analysts often struggle with answering critical questions such as: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>How does our country’s economic freedom sco</w:t>
      </w:r>
      <w:r w:rsidRPr="00DC78E0">
        <w:rPr>
          <w:sz w:val="24"/>
          <w:szCs w:val="24"/>
        </w:rPr>
        <w:t>re compare with global and regional peers?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 xml:space="preserve"> Which of the 12 pillars (e.g., rule of law, government size, regulatory efficiency, open markets) are dragging down overall scores?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>What is the relationship between unemployment, population, or financial freed</w:t>
      </w:r>
      <w:r w:rsidRPr="00DC78E0">
        <w:rPr>
          <w:sz w:val="24"/>
          <w:szCs w:val="24"/>
        </w:rPr>
        <w:t>om and economic performance?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>How have our economic freedom indicators changed over the last five years?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>How can the Index insights be made accessible to non-technical stakeholders and policy advocates?</w:t>
      </w:r>
    </w:p>
    <w:p w:rsidR="00D16859" w:rsidRPr="00DC78E0" w:rsidRDefault="001E6A82">
      <w:pPr>
        <w:rPr>
          <w:sz w:val="24"/>
          <w:szCs w:val="24"/>
        </w:rPr>
      </w:pPr>
      <w:r w:rsidRPr="00DC78E0">
        <w:rPr>
          <w:sz w:val="24"/>
          <w:szCs w:val="24"/>
        </w:rPr>
        <w:t>Additionally, many organizations rely on static re</w:t>
      </w:r>
      <w:r w:rsidRPr="00DC78E0">
        <w:rPr>
          <w:sz w:val="24"/>
          <w:szCs w:val="24"/>
        </w:rPr>
        <w:t>ports or basic charts, which restrict deep exploration of underlying patterns, comparative benchmarking, and interactive storytelling required for informed policy and investment decisions.</w:t>
      </w:r>
    </w:p>
    <w:p w:rsidR="00D16859" w:rsidRPr="00DC78E0" w:rsidRDefault="001E6A82">
      <w:pPr>
        <w:rPr>
          <w:sz w:val="24"/>
          <w:szCs w:val="24"/>
        </w:rPr>
      </w:pPr>
      <w:r w:rsidRPr="00DC78E0">
        <w:rPr>
          <w:sz w:val="24"/>
          <w:szCs w:val="24"/>
        </w:rPr>
        <w:t xml:space="preserve">To address these challenges, this project proposes a visualization </w:t>
      </w:r>
      <w:r w:rsidRPr="00DC78E0">
        <w:rPr>
          <w:sz w:val="24"/>
          <w:szCs w:val="24"/>
        </w:rPr>
        <w:t>solution using Tableau to provide dynamic, multi-dimensional analysis of the Index of Economic Freedom. The project includes web-based deployment using Flask to ensure broader accessibility. Our solution enables stakeholders to: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lastRenderedPageBreak/>
        <w:t xml:space="preserve">Analyze economic freedom </w:t>
      </w:r>
      <w:r w:rsidRPr="00DC78E0">
        <w:rPr>
          <w:sz w:val="24"/>
          <w:szCs w:val="24"/>
        </w:rPr>
        <w:t>by country and pillar to detect strengths and weaknesses.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>Correlate economic indicators (unemployment rate, financial freedom, population, etc.) with overall index scores.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 xml:space="preserve">Track year-on-year performance trends over five years to identify policy </w:t>
      </w:r>
      <w:r w:rsidRPr="00DC78E0">
        <w:rPr>
          <w:sz w:val="24"/>
          <w:szCs w:val="24"/>
        </w:rPr>
        <w:t>impacts.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>Compare economic freedom scores of countries within the same region or income level.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>Deliver insights through a visually compelling dashboard and story-driven experience built in Tableau.</w:t>
      </w:r>
    </w:p>
    <w:p w:rsidR="00D16859" w:rsidRPr="00DC78E0" w:rsidRDefault="001E6A82">
      <w:pPr>
        <w:pStyle w:val="ListBullet"/>
        <w:rPr>
          <w:sz w:val="24"/>
          <w:szCs w:val="24"/>
        </w:rPr>
      </w:pPr>
      <w:r w:rsidRPr="00DC78E0">
        <w:rPr>
          <w:sz w:val="24"/>
          <w:szCs w:val="24"/>
        </w:rPr>
        <w:t xml:space="preserve"> Provide public access via Flask-based web integration</w:t>
      </w:r>
      <w:r w:rsidRPr="00DC78E0">
        <w:rPr>
          <w:sz w:val="24"/>
          <w:szCs w:val="24"/>
        </w:rPr>
        <w:t xml:space="preserve"> for wider policy, academic, and media engagement.</w:t>
      </w:r>
    </w:p>
    <w:p w:rsidR="00D16859" w:rsidRPr="00DC78E0" w:rsidRDefault="001E6A82">
      <w:pPr>
        <w:rPr>
          <w:sz w:val="24"/>
          <w:szCs w:val="24"/>
        </w:rPr>
      </w:pPr>
      <w:r w:rsidRPr="00DC78E0">
        <w:rPr>
          <w:sz w:val="24"/>
          <w:szCs w:val="24"/>
        </w:rPr>
        <w:t>By transforming complex index data into an interactive, accessible visualization experience, this project bridges the gap between data and insight—enabling smarter economic planning, better global comparis</w:t>
      </w:r>
      <w:r w:rsidRPr="00DC78E0">
        <w:rPr>
          <w:sz w:val="24"/>
          <w:szCs w:val="24"/>
        </w:rPr>
        <w:t>ons, and more transparent policymaking.</w:t>
      </w:r>
    </w:p>
    <w:sectPr w:rsidR="00D16859" w:rsidRPr="00DC78E0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A82" w:rsidRDefault="001E6A82" w:rsidP="00DC78E0">
      <w:pPr>
        <w:spacing w:after="0" w:line="240" w:lineRule="auto"/>
      </w:pPr>
      <w:r>
        <w:separator/>
      </w:r>
    </w:p>
  </w:endnote>
  <w:endnote w:type="continuationSeparator" w:id="0">
    <w:p w:rsidR="001E6A82" w:rsidRDefault="001E6A82" w:rsidP="00D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A82" w:rsidRDefault="001E6A82" w:rsidP="00DC78E0">
      <w:pPr>
        <w:spacing w:after="0" w:line="240" w:lineRule="auto"/>
      </w:pPr>
      <w:r>
        <w:separator/>
      </w:r>
    </w:p>
  </w:footnote>
  <w:footnote w:type="continuationSeparator" w:id="0">
    <w:p w:rsidR="001E6A82" w:rsidRDefault="001E6A82" w:rsidP="00D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8E0" w:rsidRDefault="00DC78E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59011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EF76A4812F6E44D3AC65D7FC1C8E504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645BD">
          <w:rPr>
            <w:color w:val="4F81BD" w:themeColor="accent1"/>
            <w:sz w:val="20"/>
            <w:szCs w:val="20"/>
          </w:rPr>
          <w:t>[Document title]</w:t>
        </w:r>
      </w:sdtContent>
    </w:sdt>
  </w:p>
  <w:p w:rsidR="00DC78E0" w:rsidRDefault="00DC7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6A82"/>
    <w:rsid w:val="0029639D"/>
    <w:rsid w:val="00326F90"/>
    <w:rsid w:val="00533CB2"/>
    <w:rsid w:val="00AA1D8D"/>
    <w:rsid w:val="00B47730"/>
    <w:rsid w:val="00CB0664"/>
    <w:rsid w:val="00D16859"/>
    <w:rsid w:val="00DC78E0"/>
    <w:rsid w:val="00E16E8F"/>
    <w:rsid w:val="00E645BD"/>
    <w:rsid w:val="00FC693F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561CB"/>
  <w14:defaultImageDpi w14:val="300"/>
  <w15:docId w15:val="{B9D0DF99-3184-4C8D-B9F5-39C6F74D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76A4812F6E44D3AC65D7FC1C8E5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FA5E1-1172-4777-ADCA-A4622DD753D1}"/>
      </w:docPartPr>
      <w:docPartBody>
        <w:p w:rsidR="00000000" w:rsidRDefault="00E8612B" w:rsidP="00E8612B">
          <w:pPr>
            <w:pStyle w:val="EF76A4812F6E44D3AC65D7FC1C8E504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2B"/>
    <w:rsid w:val="002D358A"/>
    <w:rsid w:val="00E8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76A4812F6E44D3AC65D7FC1C8E5047">
    <w:name w:val="EF76A4812F6E44D3AC65D7FC1C8E5047"/>
    <w:rsid w:val="00E86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491F51-CC53-4990-829C-4F8B2AE9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2025-07-03T15:54:00Z</dcterms:created>
  <dcterms:modified xsi:type="dcterms:W3CDTF">2025-07-03T15:54:00Z</dcterms:modified>
  <cp:category/>
</cp:coreProperties>
</file>