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779" w:rsidRPr="004C0779" w:rsidRDefault="004C0779" w:rsidP="004C0779">
      <w:pPr>
        <w:rPr>
          <w:rFonts w:ascii="Times New Roman" w:hAnsi="Times New Roman" w:cs="Times New Roman"/>
          <w:b/>
          <w:bCs/>
          <w:sz w:val="28"/>
          <w:szCs w:val="28"/>
        </w:rPr>
      </w:pPr>
      <w:r w:rsidRPr="004C0779">
        <w:rPr>
          <w:rFonts w:ascii="Times New Roman" w:hAnsi="Times New Roman" w:cs="Times New Roman"/>
          <w:b/>
          <w:bCs/>
          <w:sz w:val="28"/>
          <w:szCs w:val="28"/>
        </w:rPr>
        <w:t>Solution Require</w:t>
      </w:r>
      <w:bookmarkStart w:id="0" w:name="_GoBack"/>
      <w:bookmarkEnd w:id="0"/>
      <w:r w:rsidRPr="004C0779">
        <w:rPr>
          <w:rFonts w:ascii="Times New Roman" w:hAnsi="Times New Roman" w:cs="Times New Roman"/>
          <w:b/>
          <w:bCs/>
          <w:sz w:val="28"/>
          <w:szCs w:val="28"/>
        </w:rPr>
        <w:t>ments</w:t>
      </w:r>
    </w:p>
    <w:p w:rsidR="00850CAB" w:rsidRPr="004C0779" w:rsidRDefault="00045BC9">
      <w:pPr>
        <w:rPr>
          <w:sz w:val="24"/>
          <w:szCs w:val="24"/>
        </w:rPr>
      </w:pPr>
      <w:r w:rsidRPr="004C0779">
        <w:rPr>
          <w:sz w:val="24"/>
          <w:szCs w:val="24"/>
        </w:rPr>
        <w:t>Economic freedom represents each individual’s right to control their own labor and property. The Heritage Foundation’s Index of Economic Freedom measures this principle across 12 factors, grouped into four pillars: Rule of Law, Government Size, Regulatory Efficiency, and Open Markets. Our analytics solution ingests the Index data, enriches it with macro‑economic indicators, and delivers actionable insights for policy makers and researchers.</w:t>
      </w:r>
    </w:p>
    <w:p w:rsidR="00850CAB" w:rsidRPr="004C0779" w:rsidRDefault="00045BC9">
      <w:pPr>
        <w:pStyle w:val="Heading1"/>
        <w:rPr>
          <w:color w:val="000000" w:themeColor="text1"/>
        </w:rPr>
      </w:pPr>
      <w:r w:rsidRPr="004C0779">
        <w:rPr>
          <w:color w:val="000000" w:themeColor="text1"/>
        </w:rPr>
        <w:t>Functional Requirements</w:t>
      </w:r>
    </w:p>
    <w:tbl>
      <w:tblPr>
        <w:tblStyle w:val="TableGrid"/>
        <w:tblW w:w="0" w:type="auto"/>
        <w:tblLook w:val="04A0" w:firstRow="1" w:lastRow="0" w:firstColumn="1" w:lastColumn="0" w:noHBand="0" w:noVBand="1"/>
      </w:tblPr>
      <w:tblGrid>
        <w:gridCol w:w="2880"/>
        <w:gridCol w:w="2880"/>
        <w:gridCol w:w="2880"/>
      </w:tblGrid>
      <w:tr w:rsidR="00850CAB">
        <w:tc>
          <w:tcPr>
            <w:tcW w:w="2880" w:type="dxa"/>
          </w:tcPr>
          <w:p w:rsidR="00850CAB" w:rsidRDefault="00045BC9">
            <w:r>
              <w:t>FR No.</w:t>
            </w:r>
          </w:p>
        </w:tc>
        <w:tc>
          <w:tcPr>
            <w:tcW w:w="2880" w:type="dxa"/>
          </w:tcPr>
          <w:p w:rsidR="00850CAB" w:rsidRDefault="00045BC9">
            <w:r>
              <w:t>Functional Requirement (Epic)</w:t>
            </w:r>
          </w:p>
        </w:tc>
        <w:tc>
          <w:tcPr>
            <w:tcW w:w="2880" w:type="dxa"/>
          </w:tcPr>
          <w:p w:rsidR="00850CAB" w:rsidRDefault="00045BC9">
            <w:r>
              <w:t>Sub‑Requirement (Story / Task)</w:t>
            </w:r>
          </w:p>
        </w:tc>
      </w:tr>
      <w:tr w:rsidR="00850CAB">
        <w:tc>
          <w:tcPr>
            <w:tcW w:w="2880" w:type="dxa"/>
          </w:tcPr>
          <w:p w:rsidR="00850CAB" w:rsidRDefault="00045BC9">
            <w:r>
              <w:t>FR‑1</w:t>
            </w:r>
          </w:p>
        </w:tc>
        <w:tc>
          <w:tcPr>
            <w:tcW w:w="2880" w:type="dxa"/>
          </w:tcPr>
          <w:p w:rsidR="00850CAB" w:rsidRDefault="00045BC9">
            <w:r>
              <w:t>Data Collection &amp; Import</w:t>
            </w:r>
          </w:p>
        </w:tc>
        <w:tc>
          <w:tcPr>
            <w:tcW w:w="2880" w:type="dxa"/>
          </w:tcPr>
          <w:p w:rsidR="00850CAB" w:rsidRDefault="00045BC9">
            <w:r>
              <w:t>- Import Index CSV/API plus World Bank &amp; IMF datasets</w:t>
            </w:r>
            <w:r>
              <w:br/>
              <w:t>- Automated validation for country codes &amp; missing years</w:t>
            </w:r>
          </w:p>
        </w:tc>
      </w:tr>
      <w:tr w:rsidR="00850CAB">
        <w:tc>
          <w:tcPr>
            <w:tcW w:w="2880" w:type="dxa"/>
          </w:tcPr>
          <w:p w:rsidR="00850CAB" w:rsidRDefault="00045BC9">
            <w:r>
              <w:t>FR‑2</w:t>
            </w:r>
          </w:p>
        </w:tc>
        <w:tc>
          <w:tcPr>
            <w:tcW w:w="2880" w:type="dxa"/>
          </w:tcPr>
          <w:p w:rsidR="00850CAB" w:rsidRDefault="00045BC9">
            <w:r>
              <w:t>Data Cleaning &amp; Harmonization</w:t>
            </w:r>
          </w:p>
        </w:tc>
        <w:tc>
          <w:tcPr>
            <w:tcW w:w="2880" w:type="dxa"/>
          </w:tcPr>
          <w:p w:rsidR="00850CAB" w:rsidRDefault="00045BC9">
            <w:r>
              <w:t>- Standardise ISO country codes &amp; region tags</w:t>
            </w:r>
            <w:r>
              <w:br/>
              <w:t>- Handle missing values, outliers, and scale differences</w:t>
            </w:r>
          </w:p>
        </w:tc>
      </w:tr>
      <w:tr w:rsidR="00850CAB">
        <w:tc>
          <w:tcPr>
            <w:tcW w:w="2880" w:type="dxa"/>
          </w:tcPr>
          <w:p w:rsidR="00850CAB" w:rsidRDefault="00045BC9">
            <w:r>
              <w:t>FR‑3</w:t>
            </w:r>
          </w:p>
        </w:tc>
        <w:tc>
          <w:tcPr>
            <w:tcW w:w="2880" w:type="dxa"/>
          </w:tcPr>
          <w:p w:rsidR="00850CAB" w:rsidRDefault="00045BC9">
            <w:r>
              <w:t>User Authentication &amp; Security</w:t>
            </w:r>
          </w:p>
        </w:tc>
        <w:tc>
          <w:tcPr>
            <w:tcW w:w="2880" w:type="dxa"/>
          </w:tcPr>
          <w:p w:rsidR="00850CAB" w:rsidRDefault="00045BC9">
            <w:r>
              <w:t>- Secure login (Flask/Django)</w:t>
            </w:r>
            <w:r>
              <w:br/>
              <w:t>- Roles: Analyst, Policy‑Maker, Viewer</w:t>
            </w:r>
            <w:r>
              <w:br/>
              <w:t>- Row‑level security on sensitive metrics</w:t>
            </w:r>
          </w:p>
        </w:tc>
      </w:tr>
      <w:tr w:rsidR="00850CAB">
        <w:tc>
          <w:tcPr>
            <w:tcW w:w="2880" w:type="dxa"/>
          </w:tcPr>
          <w:p w:rsidR="00850CAB" w:rsidRDefault="00045BC9">
            <w:r>
              <w:t>FR‑4</w:t>
            </w:r>
          </w:p>
        </w:tc>
        <w:tc>
          <w:tcPr>
            <w:tcW w:w="2880" w:type="dxa"/>
          </w:tcPr>
          <w:p w:rsidR="00850CAB" w:rsidRDefault="00045BC9">
            <w:r>
              <w:t>Data Segmentation</w:t>
            </w:r>
          </w:p>
        </w:tc>
        <w:tc>
          <w:tcPr>
            <w:tcW w:w="2880" w:type="dxa"/>
          </w:tcPr>
          <w:p w:rsidR="00850CAB" w:rsidRDefault="00045BC9">
            <w:r>
              <w:t>- Filters: Year, Region, Income Group, Pillar</w:t>
            </w:r>
            <w:r>
              <w:br/>
              <w:t>- Custom country group comparisons (e.g., OECD, BRICS)</w:t>
            </w:r>
          </w:p>
        </w:tc>
      </w:tr>
      <w:tr w:rsidR="00850CAB">
        <w:tc>
          <w:tcPr>
            <w:tcW w:w="2880" w:type="dxa"/>
          </w:tcPr>
          <w:p w:rsidR="00850CAB" w:rsidRDefault="00045BC9">
            <w:r>
              <w:t>FR‑5</w:t>
            </w:r>
          </w:p>
        </w:tc>
        <w:tc>
          <w:tcPr>
            <w:tcW w:w="2880" w:type="dxa"/>
          </w:tcPr>
          <w:p w:rsidR="00850CAB" w:rsidRDefault="00045BC9">
            <w:r>
              <w:t>Dynamic Visualization</w:t>
            </w:r>
          </w:p>
        </w:tc>
        <w:tc>
          <w:tcPr>
            <w:tcW w:w="2880" w:type="dxa"/>
          </w:tcPr>
          <w:p w:rsidR="00850CAB" w:rsidRDefault="00045BC9">
            <w:r>
              <w:t>- Choropleth maps, radar charts, heatmaps, trend lines</w:t>
            </w:r>
            <w:r>
              <w:br/>
              <w:t>- Interactive tooltips &amp; drill‑downs</w:t>
            </w:r>
          </w:p>
        </w:tc>
      </w:tr>
      <w:tr w:rsidR="00850CAB">
        <w:tc>
          <w:tcPr>
            <w:tcW w:w="2880" w:type="dxa"/>
          </w:tcPr>
          <w:p w:rsidR="00850CAB" w:rsidRDefault="00045BC9">
            <w:r>
              <w:t>FR‑6</w:t>
            </w:r>
          </w:p>
        </w:tc>
        <w:tc>
          <w:tcPr>
            <w:tcW w:w="2880" w:type="dxa"/>
          </w:tcPr>
          <w:p w:rsidR="00850CAB" w:rsidRDefault="00045BC9">
            <w:r>
              <w:t>Dashboard Customization</w:t>
            </w:r>
          </w:p>
        </w:tc>
        <w:tc>
          <w:tcPr>
            <w:tcW w:w="2880" w:type="dxa"/>
          </w:tcPr>
          <w:p w:rsidR="00850CAB" w:rsidRDefault="00045BC9">
            <w:r>
              <w:t>- Drag‑and‑drop layout in Tableau / Power BI</w:t>
            </w:r>
            <w:r>
              <w:br/>
              <w:t>- Save personal views &amp; bookmarks</w:t>
            </w:r>
          </w:p>
        </w:tc>
      </w:tr>
      <w:tr w:rsidR="00850CAB">
        <w:tc>
          <w:tcPr>
            <w:tcW w:w="2880" w:type="dxa"/>
          </w:tcPr>
          <w:p w:rsidR="00850CAB" w:rsidRDefault="00045BC9">
            <w:r>
              <w:t>FR‑7</w:t>
            </w:r>
          </w:p>
        </w:tc>
        <w:tc>
          <w:tcPr>
            <w:tcW w:w="2880" w:type="dxa"/>
          </w:tcPr>
          <w:p w:rsidR="00850CAB" w:rsidRDefault="00045BC9">
            <w:r>
              <w:t>Storyline Presentation</w:t>
            </w:r>
          </w:p>
        </w:tc>
        <w:tc>
          <w:tcPr>
            <w:tcW w:w="2880" w:type="dxa"/>
          </w:tcPr>
          <w:p w:rsidR="00850CAB" w:rsidRDefault="00045BC9">
            <w:r>
              <w:t>- Multi‑slide story from global to country views</w:t>
            </w:r>
            <w:r>
              <w:br/>
              <w:t>- Annotated insights &amp; policy notes</w:t>
            </w:r>
          </w:p>
        </w:tc>
      </w:tr>
      <w:tr w:rsidR="00850CAB">
        <w:tc>
          <w:tcPr>
            <w:tcW w:w="2880" w:type="dxa"/>
          </w:tcPr>
          <w:p w:rsidR="00850CAB" w:rsidRDefault="00045BC9">
            <w:r>
              <w:lastRenderedPageBreak/>
              <w:t>FR‑8</w:t>
            </w:r>
          </w:p>
        </w:tc>
        <w:tc>
          <w:tcPr>
            <w:tcW w:w="2880" w:type="dxa"/>
          </w:tcPr>
          <w:p w:rsidR="00850CAB" w:rsidRDefault="00045BC9">
            <w:r>
              <w:t>Stakeholder Communication</w:t>
            </w:r>
          </w:p>
        </w:tc>
        <w:tc>
          <w:tcPr>
            <w:tcW w:w="2880" w:type="dxa"/>
          </w:tcPr>
          <w:p w:rsidR="00850CAB" w:rsidRDefault="00045BC9">
            <w:r>
              <w:t>- Schedule weekly email briefs with latest scores</w:t>
            </w:r>
            <w:r>
              <w:br/>
              <w:t>- Auto‑generate PDF summaries</w:t>
            </w:r>
          </w:p>
        </w:tc>
      </w:tr>
      <w:tr w:rsidR="00850CAB">
        <w:tc>
          <w:tcPr>
            <w:tcW w:w="2880" w:type="dxa"/>
          </w:tcPr>
          <w:p w:rsidR="00850CAB" w:rsidRDefault="00045BC9">
            <w:r>
              <w:t>FR‑9</w:t>
            </w:r>
          </w:p>
        </w:tc>
        <w:tc>
          <w:tcPr>
            <w:tcW w:w="2880" w:type="dxa"/>
          </w:tcPr>
          <w:p w:rsidR="00850CAB" w:rsidRDefault="00045BC9">
            <w:r>
              <w:t>Publication &amp; Embedding</w:t>
            </w:r>
          </w:p>
        </w:tc>
        <w:tc>
          <w:tcPr>
            <w:tcW w:w="2880" w:type="dxa"/>
          </w:tcPr>
          <w:p w:rsidR="00850CAB" w:rsidRDefault="00045BC9">
            <w:r>
              <w:t>- Embed dashboards into a policy portal via iframe/API</w:t>
            </w:r>
            <w:r>
              <w:br/>
              <w:t>- Serve via HTTPS behind SSO</w:t>
            </w:r>
          </w:p>
        </w:tc>
      </w:tr>
      <w:tr w:rsidR="00850CAB">
        <w:tc>
          <w:tcPr>
            <w:tcW w:w="2880" w:type="dxa"/>
          </w:tcPr>
          <w:p w:rsidR="00850CAB" w:rsidRDefault="00045BC9">
            <w:r>
              <w:t>FR‑10</w:t>
            </w:r>
          </w:p>
        </w:tc>
        <w:tc>
          <w:tcPr>
            <w:tcW w:w="2880" w:type="dxa"/>
          </w:tcPr>
          <w:p w:rsidR="00850CAB" w:rsidRDefault="00045BC9">
            <w:r>
              <w:t>Iteration &amp; Feedback Integration</w:t>
            </w:r>
          </w:p>
        </w:tc>
        <w:tc>
          <w:tcPr>
            <w:tcW w:w="2880" w:type="dxa"/>
          </w:tcPr>
          <w:p w:rsidR="00850CAB" w:rsidRDefault="00045BC9">
            <w:r>
              <w:t>- Collect user feedback, version dashboards</w:t>
            </w:r>
            <w:r>
              <w:br/>
              <w:t>- Provide sandbox mode for analyst experiments</w:t>
            </w:r>
          </w:p>
        </w:tc>
      </w:tr>
    </w:tbl>
    <w:p w:rsidR="00850CAB" w:rsidRDefault="00045BC9">
      <w:pPr>
        <w:pStyle w:val="Heading1"/>
        <w:rPr>
          <w:color w:val="000000" w:themeColor="text1"/>
        </w:rPr>
      </w:pPr>
      <w:r w:rsidRPr="004C0779">
        <w:rPr>
          <w:color w:val="000000" w:themeColor="text1"/>
        </w:rPr>
        <w:t>Non‑Functional Requirements</w:t>
      </w:r>
    </w:p>
    <w:p w:rsidR="004C0779" w:rsidRPr="004C0779" w:rsidRDefault="004C0779" w:rsidP="004C0779"/>
    <w:tbl>
      <w:tblPr>
        <w:tblStyle w:val="TableGrid"/>
        <w:tblW w:w="0" w:type="auto"/>
        <w:tblLook w:val="04A0" w:firstRow="1" w:lastRow="0" w:firstColumn="1" w:lastColumn="0" w:noHBand="0" w:noVBand="1"/>
      </w:tblPr>
      <w:tblGrid>
        <w:gridCol w:w="2880"/>
        <w:gridCol w:w="2880"/>
        <w:gridCol w:w="2880"/>
      </w:tblGrid>
      <w:tr w:rsidR="00850CAB">
        <w:tc>
          <w:tcPr>
            <w:tcW w:w="2880" w:type="dxa"/>
          </w:tcPr>
          <w:p w:rsidR="00850CAB" w:rsidRDefault="00045BC9">
            <w:r>
              <w:t>NFR No.</w:t>
            </w:r>
          </w:p>
        </w:tc>
        <w:tc>
          <w:tcPr>
            <w:tcW w:w="2880" w:type="dxa"/>
          </w:tcPr>
          <w:p w:rsidR="00850CAB" w:rsidRDefault="00045BC9">
            <w:r>
              <w:t>Non‑Functional Requirement</w:t>
            </w:r>
          </w:p>
        </w:tc>
        <w:tc>
          <w:tcPr>
            <w:tcW w:w="2880" w:type="dxa"/>
          </w:tcPr>
          <w:p w:rsidR="00850CAB" w:rsidRDefault="00045BC9">
            <w:r>
              <w:t>Description</w:t>
            </w:r>
          </w:p>
        </w:tc>
      </w:tr>
      <w:tr w:rsidR="00850CAB">
        <w:tc>
          <w:tcPr>
            <w:tcW w:w="2880" w:type="dxa"/>
          </w:tcPr>
          <w:p w:rsidR="00850CAB" w:rsidRDefault="00045BC9">
            <w:r>
              <w:t>NFR‑1</w:t>
            </w:r>
          </w:p>
        </w:tc>
        <w:tc>
          <w:tcPr>
            <w:tcW w:w="2880" w:type="dxa"/>
          </w:tcPr>
          <w:p w:rsidR="00850CAB" w:rsidRDefault="00045BC9">
            <w:r>
              <w:t>Usability</w:t>
            </w:r>
          </w:p>
        </w:tc>
        <w:tc>
          <w:tcPr>
            <w:tcW w:w="2880" w:type="dxa"/>
          </w:tcPr>
          <w:p w:rsidR="00850CAB" w:rsidRDefault="00045BC9">
            <w:r>
              <w:t>Dashboards intuitive for business users; advanced options available for analysts.</w:t>
            </w:r>
          </w:p>
        </w:tc>
      </w:tr>
      <w:tr w:rsidR="00850CAB">
        <w:tc>
          <w:tcPr>
            <w:tcW w:w="2880" w:type="dxa"/>
          </w:tcPr>
          <w:p w:rsidR="00850CAB" w:rsidRDefault="00045BC9">
            <w:r>
              <w:t>NFR‑2</w:t>
            </w:r>
          </w:p>
        </w:tc>
        <w:tc>
          <w:tcPr>
            <w:tcW w:w="2880" w:type="dxa"/>
          </w:tcPr>
          <w:p w:rsidR="00850CAB" w:rsidRDefault="00045BC9">
            <w:r>
              <w:t>Performance</w:t>
            </w:r>
          </w:p>
        </w:tc>
        <w:tc>
          <w:tcPr>
            <w:tcW w:w="2880" w:type="dxa"/>
          </w:tcPr>
          <w:p w:rsidR="00850CAB" w:rsidRDefault="00045BC9">
            <w:r>
              <w:t>Render maps &amp; filters within 3 s for 30 years × 190 countries dataset.</w:t>
            </w:r>
          </w:p>
        </w:tc>
      </w:tr>
      <w:tr w:rsidR="00850CAB">
        <w:tc>
          <w:tcPr>
            <w:tcW w:w="2880" w:type="dxa"/>
          </w:tcPr>
          <w:p w:rsidR="00850CAB" w:rsidRDefault="00045BC9">
            <w:r>
              <w:t>NFR‑3</w:t>
            </w:r>
          </w:p>
        </w:tc>
        <w:tc>
          <w:tcPr>
            <w:tcW w:w="2880" w:type="dxa"/>
          </w:tcPr>
          <w:p w:rsidR="00850CAB" w:rsidRDefault="00045BC9">
            <w:r>
              <w:t>Security</w:t>
            </w:r>
          </w:p>
        </w:tc>
        <w:tc>
          <w:tcPr>
            <w:tcW w:w="2880" w:type="dxa"/>
          </w:tcPr>
          <w:p w:rsidR="00850CAB" w:rsidRDefault="00045BC9">
            <w:r>
              <w:t>Role‑based access control; HTTPS encryption; secure credential storage.</w:t>
            </w:r>
          </w:p>
        </w:tc>
      </w:tr>
      <w:tr w:rsidR="00850CAB">
        <w:tc>
          <w:tcPr>
            <w:tcW w:w="2880" w:type="dxa"/>
          </w:tcPr>
          <w:p w:rsidR="00850CAB" w:rsidRDefault="00045BC9">
            <w:r>
              <w:t>NFR‑4</w:t>
            </w:r>
          </w:p>
        </w:tc>
        <w:tc>
          <w:tcPr>
            <w:tcW w:w="2880" w:type="dxa"/>
          </w:tcPr>
          <w:p w:rsidR="00850CAB" w:rsidRDefault="00045BC9">
            <w:r>
              <w:t>Availability</w:t>
            </w:r>
          </w:p>
        </w:tc>
        <w:tc>
          <w:tcPr>
            <w:tcW w:w="2880" w:type="dxa"/>
          </w:tcPr>
          <w:p w:rsidR="00850CAB" w:rsidRDefault="00045BC9">
            <w:r>
              <w:t>99 % uptime during business hours; scheduled nightly backups.</w:t>
            </w:r>
          </w:p>
        </w:tc>
      </w:tr>
      <w:tr w:rsidR="00850CAB">
        <w:tc>
          <w:tcPr>
            <w:tcW w:w="2880" w:type="dxa"/>
          </w:tcPr>
          <w:p w:rsidR="00850CAB" w:rsidRDefault="00045BC9">
            <w:r>
              <w:t>NFR‑5</w:t>
            </w:r>
          </w:p>
        </w:tc>
        <w:tc>
          <w:tcPr>
            <w:tcW w:w="2880" w:type="dxa"/>
          </w:tcPr>
          <w:p w:rsidR="00850CAB" w:rsidRDefault="00045BC9">
            <w:r>
              <w:t>Maintainability</w:t>
            </w:r>
          </w:p>
        </w:tc>
        <w:tc>
          <w:tcPr>
            <w:tcW w:w="2880" w:type="dxa"/>
          </w:tcPr>
          <w:p w:rsidR="00850CAB" w:rsidRDefault="00045BC9">
            <w:r>
              <w:t>Modular ETL scripts and parameterised dashboards enable rapid updates.</w:t>
            </w:r>
          </w:p>
        </w:tc>
      </w:tr>
      <w:tr w:rsidR="00850CAB">
        <w:tc>
          <w:tcPr>
            <w:tcW w:w="2880" w:type="dxa"/>
          </w:tcPr>
          <w:p w:rsidR="00850CAB" w:rsidRDefault="00045BC9">
            <w:r>
              <w:t>NFR‑6</w:t>
            </w:r>
          </w:p>
        </w:tc>
        <w:tc>
          <w:tcPr>
            <w:tcW w:w="2880" w:type="dxa"/>
          </w:tcPr>
          <w:p w:rsidR="00850CAB" w:rsidRDefault="00045BC9">
            <w:r>
              <w:t>Auditability</w:t>
            </w:r>
          </w:p>
        </w:tc>
        <w:tc>
          <w:tcPr>
            <w:tcW w:w="2880" w:type="dxa"/>
          </w:tcPr>
          <w:p w:rsidR="00850CAB" w:rsidRDefault="00045BC9">
            <w:r>
              <w:t>All data transformations &amp; dashboard versions logged for rollback and traceability.</w:t>
            </w:r>
          </w:p>
        </w:tc>
      </w:tr>
      <w:tr w:rsidR="00850CAB">
        <w:tc>
          <w:tcPr>
            <w:tcW w:w="2880" w:type="dxa"/>
          </w:tcPr>
          <w:p w:rsidR="00850CAB" w:rsidRDefault="00045BC9">
            <w:r>
              <w:t>NFR‑7</w:t>
            </w:r>
          </w:p>
        </w:tc>
        <w:tc>
          <w:tcPr>
            <w:tcW w:w="2880" w:type="dxa"/>
          </w:tcPr>
          <w:p w:rsidR="00850CAB" w:rsidRDefault="00045BC9">
            <w:r>
              <w:t>Scalability</w:t>
            </w:r>
          </w:p>
        </w:tc>
        <w:tc>
          <w:tcPr>
            <w:tcW w:w="2880" w:type="dxa"/>
          </w:tcPr>
          <w:p w:rsidR="00850CAB" w:rsidRDefault="00045BC9">
            <w:r>
              <w:t>Easily ingest additional indicators or quarterly updates without re‑engineering.</w:t>
            </w:r>
          </w:p>
        </w:tc>
      </w:tr>
      <w:tr w:rsidR="00850CAB">
        <w:tc>
          <w:tcPr>
            <w:tcW w:w="2880" w:type="dxa"/>
          </w:tcPr>
          <w:p w:rsidR="00850CAB" w:rsidRDefault="00045BC9">
            <w:r>
              <w:t>NFR‑8</w:t>
            </w:r>
          </w:p>
        </w:tc>
        <w:tc>
          <w:tcPr>
            <w:tcW w:w="2880" w:type="dxa"/>
          </w:tcPr>
          <w:p w:rsidR="00850CAB" w:rsidRDefault="00045BC9">
            <w:r>
              <w:t>Integration Compatibility</w:t>
            </w:r>
          </w:p>
        </w:tc>
        <w:tc>
          <w:tcPr>
            <w:tcW w:w="2880" w:type="dxa"/>
          </w:tcPr>
          <w:p w:rsidR="00850CAB" w:rsidRDefault="00045BC9">
            <w:r>
              <w:t>REST/GraphQL endpoints and embeddable widgets integrate with existing intranet or ERP systems.</w:t>
            </w:r>
          </w:p>
        </w:tc>
      </w:tr>
    </w:tbl>
    <w:p w:rsidR="00045BC9" w:rsidRDefault="00045BC9"/>
    <w:sectPr w:rsidR="00045BC9"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FF9" w:rsidRDefault="00E24FF9" w:rsidP="004C0779">
      <w:pPr>
        <w:spacing w:after="0" w:line="240" w:lineRule="auto"/>
      </w:pPr>
      <w:r>
        <w:separator/>
      </w:r>
    </w:p>
  </w:endnote>
  <w:endnote w:type="continuationSeparator" w:id="0">
    <w:p w:rsidR="00E24FF9" w:rsidRDefault="00E24FF9" w:rsidP="004C0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FF9" w:rsidRDefault="00E24FF9" w:rsidP="004C0779">
      <w:pPr>
        <w:spacing w:after="0" w:line="240" w:lineRule="auto"/>
      </w:pPr>
      <w:r>
        <w:separator/>
      </w:r>
    </w:p>
  </w:footnote>
  <w:footnote w:type="continuationSeparator" w:id="0">
    <w:p w:rsidR="00E24FF9" w:rsidRDefault="00E24FF9" w:rsidP="004C0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779" w:rsidRDefault="004C0779">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DB1BD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2EA04FBFB1EB4FD2AD968C6587522D4C"/>
        </w:placeholder>
        <w:dataBinding w:prefixMappings="xmlns:ns0='http://schemas.openxmlformats.org/package/2006/metadata/core-properties' xmlns:ns1='http://purl.org/dc/elements/1.1/'" w:xpath="/ns0:coreProperties[1]/ns1:title[1]" w:storeItemID="{6C3C8BC8-F283-45AE-878A-BAB7291924A1}"/>
        <w:text/>
      </w:sdtPr>
      <w:sdtEndPr/>
      <w:sdtContent>
        <w:r w:rsidR="004E6320">
          <w:rPr>
            <w:color w:val="4F81BD" w:themeColor="accent1"/>
            <w:sz w:val="20"/>
            <w:szCs w:val="20"/>
          </w:rPr>
          <w:t xml:space="preserve">   </w:t>
        </w:r>
      </w:sdtContent>
    </w:sdt>
  </w:p>
  <w:p w:rsidR="004C0779" w:rsidRDefault="004C0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BC9"/>
    <w:rsid w:val="00052535"/>
    <w:rsid w:val="0006063C"/>
    <w:rsid w:val="0015074B"/>
    <w:rsid w:val="0029639D"/>
    <w:rsid w:val="00326F90"/>
    <w:rsid w:val="00344ECD"/>
    <w:rsid w:val="00465F13"/>
    <w:rsid w:val="004C0779"/>
    <w:rsid w:val="004E6320"/>
    <w:rsid w:val="006A468F"/>
    <w:rsid w:val="00737289"/>
    <w:rsid w:val="00850CAB"/>
    <w:rsid w:val="00AA1D8D"/>
    <w:rsid w:val="00B47730"/>
    <w:rsid w:val="00C773F2"/>
    <w:rsid w:val="00CB0664"/>
    <w:rsid w:val="00D23166"/>
    <w:rsid w:val="00E24FF9"/>
    <w:rsid w:val="00E73F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5783FE"/>
  <w14:defaultImageDpi w14:val="300"/>
  <w15:docId w15:val="{B9D0DF99-3184-4C8D-B9F5-39C6F74D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A04FBFB1EB4FD2AD968C6587522D4C"/>
        <w:category>
          <w:name w:val="General"/>
          <w:gallery w:val="placeholder"/>
        </w:category>
        <w:types>
          <w:type w:val="bbPlcHdr"/>
        </w:types>
        <w:behaviors>
          <w:behavior w:val="content"/>
        </w:behaviors>
        <w:guid w:val="{5EC12F5F-D0DD-41F2-9CB0-4237029C11B4}"/>
      </w:docPartPr>
      <w:docPartBody>
        <w:p w:rsidR="00F618B5" w:rsidRDefault="006513A2" w:rsidP="006513A2">
          <w:pPr>
            <w:pStyle w:val="2EA04FBFB1EB4FD2AD968C6587522D4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A2"/>
    <w:rsid w:val="001B6A25"/>
    <w:rsid w:val="006513A2"/>
    <w:rsid w:val="00AA3C70"/>
    <w:rsid w:val="00F61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A04FBFB1EB4FD2AD968C6587522D4C">
    <w:name w:val="2EA04FBFB1EB4FD2AD968C6587522D4C"/>
    <w:rsid w:val="00651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01EA9-1054-4A70-BDC8-97A7FE87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2025-07-04T00:04:00Z</dcterms:created>
  <dcterms:modified xsi:type="dcterms:W3CDTF">2025-07-04T00:04:00Z</dcterms:modified>
  <cp:category/>
</cp:coreProperties>
</file>