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4AF7" w14:textId="77777777" w:rsidR="0053350F" w:rsidRPr="000959FF" w:rsidRDefault="0053350F" w:rsidP="000959FF">
      <w:pPr>
        <w:pStyle w:val="Title"/>
        <w:rPr>
          <w:rFonts w:ascii="Georgia" w:hAnsi="Georgia"/>
          <w:color w:val="000000"/>
          <w:sz w:val="52"/>
        </w:rPr>
        <w:keepLines/>
      </w:pPr>
      <w:r w:rsidRPr="000959FF">
        <w:rPr>
          <w:rFonts w:ascii="Georgia" w:hAnsi="Georgia"/>
          <w:noProof/>
          <w:color w:val="002060"/>
          <w:sz w:val="52"/>
          <w:lang w:eastAsia="en-GB"/>
        </w:rPr>
        <w:drawing>
          <wp:anchor distT="0" distB="0" distL="114300" distR="114300" simplePos="0" relativeHeight="251662336" behindDoc="0" locked="0" layoutInCell="1" allowOverlap="1" wp14:anchorId="45CBE5A7" wp14:editId="3A360DE9">
            <wp:simplePos x="0" y="0"/>
            <wp:positionH relativeFrom="column">
              <wp:posOffset>8063230</wp:posOffset>
            </wp:positionH>
            <wp:positionV relativeFrom="paragraph">
              <wp:posOffset>-1116280</wp:posOffset>
            </wp:positionV>
            <wp:extent cx="1714500" cy="1200150"/>
            <wp:effectExtent l="0" t="0" r="0" b="0"/>
            <wp:wrapSquare wrapText="bothSides"/>
            <wp:docPr id="1" name="Picture 1" descr="ico_master_blue_rgb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co_master_blue_rgb_"/>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4500" cy="1200150"/>
                    </a:xfrm>
                    <a:prstGeom prst="rect">
                      <a:avLst/>
                    </a:prstGeom>
                    <a:noFill/>
                  </pic:spPr>
                </pic:pic>
              </a:graphicData>
            </a:graphic>
            <wp14:sizeRelH relativeFrom="page">
              <wp14:pctWidth>0</wp14:pctWidth>
            </wp14:sizeRelH>
            <wp14:sizeRelV relativeFrom="page">
              <wp14:pctHeight>0</wp14:pctHeight>
            </wp14:sizeRelV>
          </wp:anchor>
        </w:drawing>
      </w:r>
      <w:r>
        <w:rPr>
          <w:lang w:val="es-ES"/>
          <w:color w:val="000000"/>
          <w:sz w:val="40"/>
        </w:rPr>
        <w:t>DPIA del backend de registros</w:t>
      </w:r>
    </w:p>
    <w:p w14:paraId="08A1E379" w14:textId="380E4744" w:rsidR="00251E80" w:rsidRPr="000959FF" w:rsidRDefault="0039281F" w:rsidP="0053350F">
      <w:pPr>
        <w:rPr>
          <w:szCs w:val="23"/>
          <w:lang w:val="en-US"/>
        </w:rPr>
        <w:keepLines/>
      </w:pPr>
      <w:r>
        <w:rPr>
          <w:lang w:val="es-ES"/>
        </w:rPr>
        <w:t>Vasco Diaz. DS3031 Ética y seguridad de datos. Laboratorio de fundamentos de privacidad. Fecha 24 de octubre de 2026. Evaluación del backend de registro y listado de datos personales.</w:t>
      </w:r>
    </w:p>
    <w:p w14:paraId="2F98C768" w14:textId="16D0BFF7" w:rsidR="00511C53" w:rsidRPr="000959FF" w:rsidRDefault="00511C53" w:rsidP="0053350F">
      <w:pPr>
        <w:rPr>
          <w:szCs w:val="23"/>
          <w:lang w:val="en-US"/>
        </w:rPr>
        <w:keepLines/>
      </w:pPr>
      <w:r>
        <w:rPr>
          <w:lang w:val="es-ES"/>
        </w:rPr>
        <w:t>NO LANZAR CON DATOS PERSONALES REALES. GET /registros devuelve todos los registros sin autenticación. El prototipo se ejecuta en localhost y la demostración utiliza cuatro registros ficticios. El uso real requiere implementar y verificar las restricciones de acceso, minimización, información, conservación y ejercicio de derechos descritas en esta evaluación. Las consultas parametrizadas y la validación básica de entrada no evitan la exposición del listado.</w:t>
      </w:r>
    </w:p>
    <w:p w14:paraId="148BBD69" w14:textId="48ECD825" w:rsidR="00FF5EBD" w:rsidRDefault="00FF5EBD" w:rsidP="00FF5EBD">
      <w:pPr>
        <w:pStyle w:val="Heading1"/>
        <w:keepLines/>
      </w:pPr>
      <w:r>
        <w:rPr>
          <w:lang w:val="es-ES"/>
        </w:rPr>
        <w:t>Datos del responsable</w:t>
      </w:r>
    </w:p>
    <w:tbl>
      <w:tblPr>
        <w:tblStyle w:val="TableGrid"/>
        <w:tblW w:w="0" w:type="auto"/>
        <w:tblLook w:val="04A0" w:firstRow="1" w:lastRow="0" w:firstColumn="1" w:lastColumn="0" w:noHBand="0" w:noVBand="1"/>
      </w:tblPr>
      <w:tblGrid>
        <w:gridCol w:w="4997"/>
        <w:gridCol w:w="4997"/>
      </w:tblGrid>
      <w:tr w:rsidR="00FF5EBD" w14:paraId="1090F3B5" w14:textId="77777777" w:rsidTr="00FF5EBD">
        <w:tc>
          <w:tcPr>
            <w:tcW w:w="4997" w:type="dxa"/>
          </w:tcPr>
          <w:p>
            <w:pPr>
              <w:spacing w:after="100" w:line="250" w:lineRule="auto"/>
              <w:keepNext/>
              <w:keepLines/>
            </w:pPr>
            <w:r>
              <w:rPr>
                <w:lang w:val="es-ES"/>
                <w:b/>
              </w:rPr>
              <w:t>Responsable del tratamiento</w:t>
            </w:r>
          </w:p>
        </w:tc>
        <w:tc>
          <w:tcPr>
            <w:tcW w:w="4997" w:type="dxa"/>
          </w:tcPr>
          <w:p>
            <w:pPr>
              <w:spacing w:after="100" w:line="250" w:lineRule="auto"/>
              <w:keepLines/>
            </w:pPr>
            <w:r>
              <w:rPr>
                <w:lang w:val="es-ES"/>
              </w:rPr>
              <w:t>Vasco Diaz, responsable del prototipo académico.</w:t>
            </w:r>
          </w:p>
        </w:tc>
        <w:trPr>
          <w:cantSplit/>
        </w:trPr>
      </w:tr>
      <w:tr w:rsidR="00FF5EBD" w14:paraId="10B3E05E" w14:textId="77777777" w:rsidTr="00FF5EBD">
        <w:tc>
          <w:tcPr>
            <w:tcW w:w="4997" w:type="dxa"/>
          </w:tcPr>
          <w:p>
            <w:pPr>
              <w:spacing w:after="100" w:line="250" w:lineRule="auto"/>
              <w:keepNext/>
              <w:keepLines/>
            </w:pPr>
            <w:r>
              <w:rPr>
                <w:lang w:val="es-ES"/>
                <w:b/>
              </w:rPr>
              <w:t>Función de privacidad o DPO</w:t>
            </w:r>
          </w:p>
        </w:tc>
        <w:tc>
          <w:tcPr>
            <w:tcW w:w="4997" w:type="dxa"/>
          </w:tcPr>
          <w:p>
            <w:pPr>
              <w:spacing w:after="100" w:line="250" w:lineRule="auto"/>
              <w:keepLines/>
            </w:pPr>
            <w:r>
              <w:rPr>
                <w:lang w:val="es-ES"/>
              </w:rPr>
              <w:t>No interviene un DPO en el alcance del laboratorio.</w:t>
            </w:r>
          </w:p>
        </w:tc>
        <w:trPr>
          <w:cantSplit/>
        </w:trPr>
      </w:tr>
      <w:tr w:rsidR="00FF5EBD" w14:paraId="59618284" w14:textId="77777777" w:rsidTr="00FF5EBD">
        <w:tc>
          <w:tcPr>
            <w:tcW w:w="4997" w:type="dxa"/>
          </w:tcPr>
          <w:p>
            <w:pPr>
              <w:spacing w:after="100" w:line="250" w:lineRule="auto"/>
              <w:keepNext/>
              <w:keepLines/>
            </w:pPr>
            <w:r>
              <w:rPr>
                <w:lang w:val="es-ES"/>
                <w:b/>
              </w:rPr>
              <w:t>Contacto del responsable</w:t>
            </w:r>
          </w:p>
        </w:tc>
        <w:tc>
          <w:tcPr>
            <w:tcW w:w="4997" w:type="dxa"/>
          </w:tcPr>
          <w:p>
            <w:pPr>
              <w:spacing w:after="100" w:line="250" w:lineRule="auto"/>
              <w:keepLines/>
            </w:pPr>
            <w:r>
              <w:rPr>
                <w:lang w:val="es-ES"/>
              </w:rPr>
              <w:t>Canal del proyecto: https://github.com/Vasc0D/hands-on-privacidad-ds3031</w:t>
            </w:r>
          </w:p>
        </w:tc>
        <w:trPr>
          <w:cantSplit/>
        </w:trPr>
      </w:tr>
    </w:tbl>
    <w:p w14:paraId="6642507A" w14:textId="6EC6397F" w:rsidR="00511C53" w:rsidRPr="000959FF" w:rsidRDefault="00511C53" w:rsidP="0049238C">
      <w:pPr>
        <w:pStyle w:val="Heading1"/>
        <w:keepLines/>
      </w:pPr>
      <w:r>
        <w:rPr>
          <w:lang w:val="es-ES"/>
        </w:rPr>
        <w:t>Paso 1 Necesidad de la DPIA</w:t>
      </w:r>
    </w:p>
    <w:tbl>
      <w:tblPr>
        <w:tblStyle w:val="TableGrid"/>
        <w:tblW w:w="0" w:type="auto"/>
        <w:tblLook w:val="04A0" w:firstRow="1" w:lastRow="0" w:firstColumn="1" w:lastColumn="0" w:noHBand="0" w:noVBand="1"/>
      </w:tblPr>
      <w:tblGrid>
        <w:gridCol w:w="9994"/>
      </w:tblGrid>
      <w:tr w:rsidR="00065783" w:rsidRPr="000959FF" w14:paraId="0829AB8C" w14:textId="77777777" w:rsidTr="0049238C">
        <w:tc>
          <w:tcPr>
            <w:tcW w:w="9994" w:type="dxa"/>
          </w:tcPr>
          <w:p>
            <w:pPr>
              <w:spacing w:after="100" w:line="250" w:lineRule="auto"/>
              <w:keepNext/>
              <w:keepLines/>
            </w:pPr>
            <w:r>
              <w:rPr>
                <w:lang w:val="es-ES"/>
                <w:b/>
              </w:rPr>
              <w:t>Objetivo del proyecto y justificación de la evaluación</w:t>
            </w:r>
          </w:p>
        </w:tc>
        <w:trPr>
          <w:cantSplit/>
          <w:tblHeader/>
        </w:trPr>
      </w:tr>
      <w:tr w:rsidR="0049238C" w:rsidRPr="000959FF" w14:paraId="7145BC9D" w14:textId="77777777" w:rsidTr="007E352D">
        <w:trPr>
          <w:cantSplit/>
        </w:trPr>
        <w:tc>
          <w:tcPr>
            <w:tcW w:w="9994" w:type="dxa"/>
            <w:tcBorders>
              <w:top w:val="nil"/>
              <w:bottom w:val="nil" w:sz="4" w:color="000000"/>
            </w:tcBorders>
          </w:tcPr>
          <w:p>
            <w:pPr>
              <w:spacing w:after="100" w:line="250" w:lineRule="auto"/>
              <w:keepLines/>
            </w:pPr>
            <w:r>
              <w:rPr>
                <w:lang w:val="es-ES"/>
              </w:rPr>
              <w:t>Se redacta esta DPIA antes de cualquier uso real para que el diseño del backend y sus restricciones queden vinculados a riesgos y a una decisión. La ruta GET /registros entrega todos los campos sin autenticación, por lo que el riesgo de exposición es concreto aun en una aplicación pequeña. El sistema también trata identificadores directos y no tiene descritos en el encargo el aviso, la retención o los procesos de derechos. La evaluación es una decisión docente y preventiva; no afirma por sí sola que el artículo 35 obligue legalmente a realizar una DPIA para este prototipo.</w:t>
            </w:r>
          </w:p>
        </w:tc>
      </w:tr>
      <w:tr w:rsidR="0049238C" w:rsidRPr="000959FF" w14:paraId="7145BC9D" w14:textId="77777777" w:rsidTr="007E352D">
        <w:trPr>
          <w:cantSplit/>
        </w:trPr>
        <w:tc>
          <w:tcPr>
            <w:tcW w:w="9994" w:type="dxa"/>
            <w:tcBorders>
              <w:top w:val="nil"/>
              <w:bottom w:val="nil" w:sz="4" w:color="000000"/>
            </w:tcBorders>
          </w:tcPr>
          <w:p>
            <w:pPr>
              <w:spacing w:after="100" w:line="250" w:lineRule="auto"/>
              <w:keepLines/>
            </w:pPr>
            <w:r>
              <w:rPr>
                <w:lang w:val="es-ES"/>
              </w:rPr>
              <w:t>El ejercicio pide documentar inventario, necesidad, riesgos, restricciones y decisión.</w:t>
            </w:r>
          </w:p>
        </w:tc>
      </w:tr>
      <w:tr w:rsidR="0049238C" w:rsidRPr="000959FF" w14:paraId="7145BC9D" w14:textId="77777777" w:rsidTr="007E352D">
        <w:trPr>
          <w:cantSplit/>
        </w:trPr>
        <w:tc>
          <w:tcPr>
            <w:tcW w:w="9994" w:type="dxa"/>
            <w:tcBorders>
              <w:top w:val="nil"/>
              <w:bottom w:val="nil" w:sz="4" w:color="000000"/>
            </w:tcBorders>
          </w:tcPr>
          <w:p>
            <w:pPr>
              <w:spacing w:after="100" w:line="250" w:lineRule="auto"/>
              <w:keepLines/>
            </w:pPr>
            <w:r>
              <w:rPr>
                <w:lang w:val="es-ES"/>
              </w:rPr>
              <w:t>Los campos de nombre, correo, teléfono y apellidos identifican o permiten identificar a una persona si fueran reales.</w:t>
            </w:r>
          </w:p>
        </w:tc>
      </w:tr>
      <w:tr w:rsidR="0049238C" w:rsidRPr="000959FF" w14:paraId="7145BC9D" w14:textId="77777777" w:rsidTr="007E352D">
        <w:trPr>
          <w:cantSplit/>
        </w:trPr>
        <w:tc>
          <w:tcPr>
            <w:tcW w:w="9994" w:type="dxa"/>
            <w:tcBorders>
              <w:top w:val="nil"/>
              <w:bottom w:val="nil" w:sz="4" w:color="000000"/>
            </w:tcBorders>
          </w:tcPr>
          <w:p>
            <w:pPr>
              <w:spacing w:after="100" w:line="250" w:lineRule="auto"/>
              <w:keepLines/>
            </w:pPr>
            <w:r>
              <w:rPr>
                <w:lang w:val="es-ES"/>
              </w:rPr>
              <w:t>La salida abierta de GET /registros puede divulgar registros a cualquier persona que alcance el endpoint.</w:t>
            </w:r>
          </w:p>
        </w:tc>
      </w:tr>
      <w:tr w:rsidR="0049238C" w:rsidRPr="000959FF" w14:paraId="7145BC9D" w14:textId="77777777" w:rsidTr="007E352D">
        <w:trPr>
          <w:cantSplit/>
        </w:trPr>
        <w:tc>
          <w:tcPr>
            <w:tcW w:w="9994" w:type="dxa"/>
            <w:tcBorders>
              <w:top w:val="nil"/>
              <w:bottom w:val="single" w:sz="4" w:color="000000"/>
            </w:tcBorders>
          </w:tcPr>
          <w:p>
            <w:pPr>
              <w:spacing w:after="100" w:line="250" w:lineRule="auto"/>
              <w:keepLines/>
            </w:pPr>
            <w:r>
              <w:rPr>
                <w:lang w:val="es-ES"/>
              </w:rPr>
              <w:t>La DPIA es apropiada para el ejercicio. La obligación legal en un despliegue real requiere evaluación del controlador según jurisdicción, alcance, naturaleza, contexto, fines y riesgo.</w:t>
            </w:r>
          </w:p>
        </w:tc>
      </w:tr>
    </w:tbl>
    <w:p w14:paraId="515BBFE1" w14:textId="47DCE990" w:rsidR="00CF39D4" w:rsidRPr="000959FF" w:rsidRDefault="00CF39D4" w:rsidP="000959FF">
      <w:pPr>
        <w:pStyle w:val="Heading1"/>
        <w:rPr>
          <w:lang w:eastAsia="en-GB"/>
        </w:rPr>
        <w:keepLines/>
      </w:pPr>
      <w:r>
        <w:rPr>
          <w:lang w:val="es-ES"/>
        </w:rPr>
        <w:t>Paso 2 Descripción del tratamiento</w:t>
      </w:r>
    </w:p>
    <w:tbl>
      <w:tblPr>
        <w:tblStyle w:val="TableGrid"/>
        <w:tblW w:w="0" w:type="auto"/>
        <w:tblLook w:val="04A0" w:firstRow="1" w:lastRow="0" w:firstColumn="1" w:lastColumn="0" w:noHBand="0" w:noVBand="1"/>
      </w:tblPr>
      <w:tblGrid>
        <w:gridCol w:w="9994"/>
      </w:tblGrid>
      <w:tr w:rsidR="00CF39D4" w:rsidRPr="000959FF" w14:paraId="5E6D4D3F" w14:textId="77777777" w:rsidTr="00FA2A9A">
        <w:tc>
          <w:tcPr>
            <w:tcW w:w="9994" w:type="dxa"/>
          </w:tcPr>
          <w:p>
            <w:pPr>
              <w:spacing w:after="100" w:line="250" w:lineRule="auto"/>
              <w:keepNext/>
              <w:keepLines/>
            </w:pPr>
            <w:r>
              <w:rPr>
                <w:lang w:val="es-ES"/>
                <w:b/>
              </w:rPr>
              <w:t>Naturaleza y flujo del tratamiento</w:t>
            </w:r>
          </w:p>
        </w:tc>
        <w:trPr>
          <w:cantSplit/>
          <w:tblHeader/>
        </w:trPr>
      </w:tr>
      <w:tr w:rsidR="00FA2A9A" w:rsidRPr="000959FF" w14:paraId="6C9F17CC" w14:textId="77777777" w:rsidTr="00FA2A9A">
        <w:trPr>
          <w:cantSplit/>
        </w:trPr>
        <w:tc>
          <w:tcPr>
            <w:tcW w:w="9994" w:type="dxa"/>
            <w:tcBorders>
              <w:top w:val="nil"/>
              <w:bottom w:val="nil" w:sz="4" w:color="000000"/>
            </w:tcBorders>
          </w:tcPr>
          <w:p>
            <w:pPr>
              <w:spacing w:after="100" w:line="250" w:lineRule="auto"/>
              <w:keepLines/>
            </w:pPr>
            <w:r>
              <w:rPr>
                <w:lang w:val="es-ES"/>
              </w:rPr>
              <w:t>El titular proporcionaría datos directamente por POST /registro, con alias POST /registros. nombres, apellidos y correo son obligatorios; teléfono es opcional como string o null. Flask los guarda en SQLite en backend/lab.db, creado al primer acceso; SQLite no cifra por sí mismo el archivo. La ejecución directa se liga a 127.0.0.1:5000 y backend/demo.py usa una base temporal que se elimina al terminar; el archivo lab.db no forma parte de esa demo. GET /registros devuelve todos los campos de todos los registros sin autenticación, incluidos id y created_at. El .gitignore del proyecto excluye lab.db. No se ha especificado otra fuente, interfaz, consumo posterior, envío de correo, newsletter, analítica, integración ni destinatario. No hay copias manuales confirmadas; respaldos, permisos del archivo, logs, alojamiento y proveedor deben inventariarse antes de producción.</w:t>
            </w:r>
          </w:p>
        </w:tc>
      </w:tr>
      <w:tr w:rsidR="00FA2A9A" w:rsidRPr="000959FF" w14:paraId="6C9F17CC" w14:textId="77777777" w:rsidTr="00FA2A9A">
        <w:trPr>
          <w:cantSplit/>
        </w:trPr>
        <w:tc>
          <w:tcPr>
            <w:tcW w:w="9994" w:type="dxa"/>
            <w:tcBorders>
              <w:top w:val="nil"/>
              <w:bottom w:val="nil" w:sz="4" w:color="000000"/>
            </w:tcBorders>
          </w:tcPr>
          <w:p>
            <w:pPr>
              <w:spacing w:after="100" w:line="250" w:lineRule="auto"/>
              <w:keepLines/>
            </w:pPr>
            <w:r>
              <w:rPr>
                <w:lang w:val="es-ES"/>
              </w:rPr>
              <w:t>Persona -&gt; POST /registro (alias POST /registros): nombres, apellidos y correo obligatorios; teléfono opcional string/null. La implementación valida JSON, presencia y tipo básico; no se ha especificado límite de longitud, frecuencia o política de duplicados.</w:t>
            </w:r>
          </w:p>
        </w:tc>
      </w:tr>
      <w:tr w:rsidR="00FA2A9A" w:rsidRPr="000959FF" w14:paraId="6C9F17CC" w14:textId="77777777" w:rsidTr="00FA2A9A">
        <w:trPr>
          <w:cantSplit/>
        </w:trPr>
        <w:tc>
          <w:tcPr>
            <w:tcW w:w="9994" w:type="dxa"/>
            <w:tcBorders>
              <w:top w:val="nil"/>
              <w:bottom w:val="nil" w:sz="4" w:color="000000"/>
            </w:tcBorders>
          </w:tcPr>
          <w:p>
            <w:pPr>
              <w:spacing w:after="100" w:line="250" w:lineRule="auto"/>
              <w:keepLines/>
            </w:pPr>
            <w:r>
              <w:rPr>
                <w:lang w:val="es-ES"/>
              </w:rPr>
              <w:t>Aplicación Flask -&gt; backend/lab.db: SQLite crea la tabla al primer acceso y conserva el registro con id y created_at; SQL parametrizado. El archivo ordinario no está cifrado por SQLite. La demo usa una base temporal y no deja ese archivo persistente.</w:t>
            </w:r>
          </w:p>
        </w:tc>
      </w:tr>
      <w:tr w:rsidR="00FA2A9A" w:rsidRPr="000959FF" w14:paraId="6C9F17CC" w14:textId="77777777" w:rsidTr="00FA2A9A">
        <w:trPr>
          <w:cantSplit/>
        </w:trPr>
        <w:tc>
          <w:tcPr>
            <w:tcW w:w="9994" w:type="dxa"/>
            <w:tcBorders>
              <w:top w:val="nil"/>
              <w:bottom w:val="nil" w:sz="4" w:color="000000"/>
            </w:tcBorders>
          </w:tcPr>
          <w:p>
            <w:pPr>
              <w:spacing w:after="100" w:line="250" w:lineRule="auto"/>
              <w:keepLines/>
            </w:pPr>
            <w:r>
              <w:rPr>
                <w:lang w:val="es-ES"/>
              </w:rPr>
              <w:t>Ejecución directa del backend -&gt; 127.0.0.1:5000; GET /registros devuelve todos los registros y todos los campos, incluidos id y created_at, sin autenticación a cualquier cliente/proceso que alcance la ruta local.</w:t>
            </w:r>
          </w:p>
        </w:tc>
      </w:tr>
      <w:tr w:rsidR="00FA2A9A" w:rsidRPr="000959FF" w14:paraId="6C9F17CC" w14:textId="77777777" w:rsidTr="00FA2A9A">
        <w:trPr>
          <w:cantSplit/>
        </w:trPr>
        <w:tc>
          <w:tcPr>
            <w:tcW w:w="9994" w:type="dxa"/>
            <w:tcBorders>
              <w:top w:val="nil"/>
              <w:bottom w:val="single" w:sz="4" w:color="000000"/>
            </w:tcBorders>
          </w:tcPr>
          <w:p>
            <w:pPr>
              <w:spacing w:after="100" w:line="250" w:lineRule="auto"/>
              <w:keepLines/>
            </w:pPr>
            <w:r>
              <w:rPr>
                <w:lang w:val="es-ES"/>
              </w:rPr>
              <w:t>Base SQLite -&gt; respaldos, logs, proveedor o terceros: no especificados. El .gitignore actual excluye lab.db; confirmar despliegue y flujo de copias antes de producción.</w:t>
            </w:r>
          </w:p>
        </w:tc>
      </w:tr>
    </w:tbl>
    <w:p>
      <w:pPr>
        <w:spacing w:after="40" w:line="40" w:lineRule="exact" w:before="40"/>
      </w:pPr>
      <w:r>
        <w:rPr>
          <w:lang w:val="es-ES"/>
        </w:rPr>
        <w:t/>
      </w:r>
    </w:p>
    <w:tbl>
      <w:tblPr>
        <w:tblStyle w:val="TableGrid"/>
        <w:tblW w:w="0" w:type="auto"/>
        <w:tblLook w:val="04A0" w:firstRow="1" w:lastRow="0" w:firstColumn="1" w:lastColumn="0" w:noHBand="0" w:noVBand="1"/>
      </w:tblPr>
      <w:tblGrid>
        <w:gridCol w:w="9994"/>
      </w:tblGrid>
      <w:tr w:rsidR="00CF39D4" w:rsidRPr="000959FF" w14:paraId="48784EBA" w14:textId="77777777" w:rsidTr="00FA2A9A">
        <w:tc>
          <w:tcPr>
            <w:tcW w:w="9994" w:type="dxa"/>
          </w:tcPr>
          <w:p>
            <w:pPr>
              <w:spacing w:after="100" w:line="250" w:lineRule="auto"/>
              <w:keepNext/>
              <w:keepLines/>
            </w:pPr>
            <w:r>
              <w:rPr>
                <w:lang w:val="es-ES"/>
                <w:b/>
              </w:rPr>
              <w:t>Alcance de datos personas frecuencia y conservación</w:t>
            </w:r>
          </w:p>
        </w:tc>
        <w:trPr>
          <w:cantSplit/>
          <w:tblHeader/>
        </w:trPr>
      </w:tr>
      <w:tr w:rsidR="00FA2A9A" w:rsidRPr="000959FF" w14:paraId="49644615" w14:textId="77777777" w:rsidTr="00FA2A9A">
        <w:trPr>
          <w:cantSplit/>
        </w:trPr>
        <w:tc>
          <w:tcPr>
            <w:tcW w:w="9994" w:type="dxa"/>
            <w:tcBorders>
              <w:top w:val="nil"/>
              <w:bottom w:val="nil" w:sz="4" w:color="000000"/>
            </w:tcBorders>
          </w:tcPr>
          <w:p>
            <w:pPr>
              <w:spacing w:after="100" w:line="250" w:lineRule="auto"/>
              <w:keepLines/>
            </w:pPr>
            <w:r>
              <w:rPr>
                <w:lang w:val="es-ES"/>
              </w:rPr>
              <w:t>El esquema indicado no incluye categorías especiales del artículo 9 ni datos de condenas e infracciones del artículo 10. No se conoce ningún dato adicional; no debe permitirse introducirlos en el ejercicio ni añadirse sin nueva evaluación.</w:t>
            </w:r>
          </w:p>
        </w:tc>
      </w:tr>
      <w:tr w:rsidR="00FA2A9A" w:rsidRPr="000959FF" w14:paraId="49644615" w14:textId="77777777" w:rsidTr="00FA2A9A">
        <w:trPr>
          <w:cantSplit/>
        </w:trPr>
        <w:tc>
          <w:tcPr>
            <w:tcW w:w="9994" w:type="dxa"/>
            <w:tcBorders>
              <w:top w:val="nil"/>
              <w:bottom w:val="nil" w:sz="4" w:color="000000"/>
            </w:tcBorders>
          </w:tcPr>
          <w:p>
            <w:pPr>
              <w:spacing w:after="100" w:line="250" w:lineRule="auto"/>
              <w:keepLines/>
            </w:pPr>
            <w:r>
              <w:rPr>
                <w:lang w:val="es-ES"/>
              </w:rPr>
              <w:t>La demostración incluye cuatro registros ficticios. El número de personas reales es cero en esta evaluación y cualquier escala futura es desconocida; no se extrapola a miles de usuarios. Cada uso previsto podría crear un registro por envío, pero no se dispone de una tasa real.</w:t>
            </w:r>
          </w:p>
        </w:tc>
      </w:tr>
      <w:tr w:rsidR="00FA2A9A" w:rsidRPr="000959FF" w14:paraId="49644615" w14:textId="77777777" w:rsidTr="00FA2A9A">
        <w:trPr>
          <w:cantSplit/>
        </w:trPr>
        <w:tc>
          <w:tcPr>
            <w:tcW w:w="9994" w:type="dxa"/>
            <w:tcBorders>
              <w:top w:val="nil"/>
              <w:bottom w:val="nil" w:sz="4" w:color="000000"/>
            </w:tcBorders>
          </w:tcPr>
          <w:p>
            <w:pPr>
              <w:spacing w:after="100" w:line="250" w:lineRule="auto"/>
              <w:keepLines/>
            </w:pPr>
            <w:r>
              <w:rPr>
                <w:lang w:val="es-ES"/>
              </w:rPr>
              <w:t>Demostración local en el equipo de desarrollo, con cuatro registros ficticios y sin transferencias externas.</w:t>
            </w:r>
          </w:p>
        </w:tc>
      </w:tr>
      <w:tr w:rsidR="00FA2A9A" w:rsidRPr="000959FF" w14:paraId="49644615" w14:textId="77777777" w:rsidTr="00FA2A9A">
        <w:trPr>
          <w:cantSplit/>
        </w:trPr>
        <w:tc>
          <w:tcPr>
            <w:tcW w:w="9994" w:type="dxa"/>
            <w:tcBorders>
              <w:top w:val="nil"/>
              <w:bottom w:val="single" w:sz="4" w:color="000000"/>
            </w:tcBorders>
          </w:tcPr>
          <w:p>
            <w:pPr>
              <w:spacing w:after="100" w:line="250" w:lineRule="auto"/>
              <w:keepLines/>
            </w:pPr>
            <w:r>
              <w:rPr>
                <w:lang w:val="es-ES"/>
              </w:rPr>
              <w:t>Estado observado: backend local con datos inventados. El almacenamiento de producción, las copias y los destinatarios futuros no están definidos. Los plazos de conservación propuestos figuran en el paso 4.</w:t>
            </w:r>
          </w:p>
        </w:tc>
      </w:tr>
    </w:tbl>
    <w:p>
      <w:pPr>
        <w:spacing w:after="40" w:line="40" w:lineRule="exact" w:before="40"/>
      </w:pPr>
      <w:r>
        <w:rPr>
          <w:lang w:val="es-ES"/>
        </w:rPr>
        <w:t/>
      </w:r>
    </w:p>
    <w:tbl>
      <w:tblPr>
        <w:tblStyle w:val="TableGrid"/>
        <w:tblW w:w="0" w:type="auto"/>
        <w:tblLook w:val="04A0" w:firstRow="1" w:lastRow="0" w:firstColumn="1" w:lastColumn="0" w:noHBand="0" w:noVBand="1"/>
      </w:tblPr>
      <w:tblGrid>
        <w:gridCol w:w="9994"/>
      </w:tblGrid>
      <w:tr w:rsidR="00441F5B" w:rsidRPr="000959FF" w14:paraId="318435B5" w14:textId="77777777" w:rsidTr="007E352D">
        <w:tc>
          <w:tcPr>
            <w:tcW w:w="9994" w:type="dxa"/>
          </w:tcPr>
          <w:p>
            <w:pPr>
              <w:spacing w:after="100" w:line="250" w:lineRule="auto"/>
              <w:keepNext/>
              <w:keepLines/>
            </w:pPr>
            <w:r>
              <w:rPr>
                <w:lang w:val="es-ES"/>
                <w:b/>
              </w:rPr>
              <w:t>Contexto relación con las personas y expectativas</w:t>
            </w:r>
          </w:p>
        </w:tc>
        <w:trPr>
          <w:cantSplit/>
          <w:tblHeader/>
        </w:trPr>
      </w:tr>
      <w:tr w:rsidR="007E352D" w:rsidRPr="000959FF" w14:paraId="4A9673B0" w14:textId="77777777" w:rsidTr="007E352D">
        <w:trPr>
          <w:cantSplit/>
        </w:trPr>
        <w:tc>
          <w:tcPr>
            <w:tcW w:w="9994" w:type="dxa"/>
            <w:tcBorders>
              <w:top w:val="nil"/>
              <w:bottom w:val="nil" w:sz="4" w:color="000000"/>
            </w:tcBorders>
          </w:tcPr>
          <w:p>
            <w:pPr>
              <w:spacing w:after="100" w:line="250" w:lineRule="auto"/>
              <w:keepLines/>
            </w:pPr>
            <w:r>
              <w:rPr>
                <w:lang w:val="es-ES"/>
              </w:rPr>
              <w:t>El backend se utiliza en una actividad académica con datos ficticios. No existe una relación comercial con titulares reales. Si se adapta a un servicio, la finalidad y el aviso deberán corresponder a lo que las personas esperan del registro.</w:t>
            </w:r>
          </w:p>
        </w:tc>
      </w:tr>
      <w:tr w:rsidR="007E352D" w:rsidRPr="000959FF" w14:paraId="4A9673B0" w14:textId="77777777" w:rsidTr="007E352D">
        <w:trPr>
          <w:cantSplit/>
        </w:trPr>
        <w:tc>
          <w:tcPr>
            <w:tcW w:w="9994" w:type="dxa"/>
            <w:tcBorders>
              <w:top w:val="nil"/>
              <w:bottom w:val="nil" w:sz="4" w:color="000000"/>
            </w:tcBorders>
          </w:tcPr>
          <w:p>
            <w:pPr>
              <w:spacing w:after="100" w:line="250" w:lineRule="auto"/>
              <w:keepLines/>
            </w:pPr>
            <w:r>
              <w:rPr>
                <w:lang w:val="es-ES"/>
              </w:rPr>
              <w:t>La evaluación emplea el GDPR como referencia docente y distingue la información al titular de la Ley peruana 29733. La elección del régimen aplicable a un servicio real dependerá de su alcance material y territorial.</w:t>
            </w:r>
          </w:p>
        </w:tc>
      </w:tr>
      <w:tr w:rsidR="007E352D" w:rsidRPr="000959FF" w14:paraId="4A9673B0" w14:textId="77777777" w:rsidTr="007E352D">
        <w:trPr>
          <w:cantSplit/>
        </w:trPr>
        <w:tc>
          <w:tcPr>
            <w:tcW w:w="9994" w:type="dxa"/>
            <w:tcBorders>
              <w:top w:val="nil"/>
              <w:bottom w:val="single" w:sz="4" w:color="000000"/>
            </w:tcBorders>
          </w:tcPr>
          <w:p>
            <w:pPr>
              <w:spacing w:after="100" w:line="250" w:lineRule="auto"/>
              <w:keepLines/>
            </w:pPr>
            <w:r>
              <w:rPr>
                <w:lang w:val="es-ES"/>
              </w:rPr>
              <w:t>No hay evidencia de certificaciones, códigos de conducta, incidentes previos o tecnología novedosa. No se presupone relación con menores. Cualquier cambio de población o finalidad exige revisión.</w:t>
            </w:r>
          </w:p>
        </w:tc>
      </w:tr>
    </w:tbl>
    <w:p>
      <w:pPr>
        <w:spacing w:after="40" w:line="40" w:lineRule="exact" w:before="40"/>
      </w:pPr>
      <w:r>
        <w:rPr>
          <w:lang w:val="es-ES"/>
        </w:rPr>
        <w:t/>
      </w:r>
    </w:p>
    <w:tbl>
      <w:tblPr>
        <w:tblStyle w:val="TableGrid"/>
        <w:tblW w:w="0" w:type="auto"/>
        <w:tblLook w:val="04A0" w:firstRow="1" w:lastRow="0" w:firstColumn="1" w:lastColumn="0" w:noHBand="0" w:noVBand="1"/>
      </w:tblPr>
      <w:tblGrid>
        <w:gridCol w:w="9994"/>
      </w:tblGrid>
      <w:tr w:rsidR="00441F5B" w:rsidRPr="000959FF" w14:paraId="48406D3B" w14:textId="77777777" w:rsidTr="007E352D">
        <w:tc>
          <w:tcPr>
            <w:tcW w:w="9994" w:type="dxa"/>
          </w:tcPr>
          <w:p>
            <w:pPr>
              <w:spacing w:after="100" w:line="250" w:lineRule="auto"/>
              <w:keepNext/>
              <w:keepLines/>
            </w:pPr>
            <w:r>
              <w:rPr>
                <w:lang w:val="es-ES"/>
                <w:b/>
              </w:rPr>
              <w:t>Finalidad y efectos esperados</w:t>
            </w:r>
          </w:p>
        </w:tc>
        <w:trPr>
          <w:cantSplit/>
          <w:tblHeader/>
        </w:trPr>
      </w:tr>
      <w:tr w:rsidR="007E352D" w:rsidRPr="000959FF" w14:paraId="56678D01" w14:textId="77777777" w:rsidTr="007E352D">
        <w:trPr>
          <w:cantSplit/>
        </w:trPr>
        <w:tc>
          <w:tcPr>
            <w:tcW w:w="9994" w:type="dxa"/>
            <w:tcBorders>
              <w:top w:val="nil"/>
              <w:bottom w:val="nil" w:sz="4" w:color="000000"/>
            </w:tcBorders>
          </w:tcPr>
          <w:p>
            <w:pPr>
              <w:spacing w:after="100" w:line="250" w:lineRule="auto"/>
              <w:keepLines/>
            </w:pPr>
            <w:r>
              <w:rPr>
                <w:lang w:val="es-ES"/>
              </w:rPr>
              <w:t>El objetivo docente es demostrar el alta de cuatro personas ficticias, inspeccionar el listado y evaluar sus riesgos. No hace falta recoger datos reales.</w:t>
            </w:r>
          </w:p>
        </w:tc>
      </w:tr>
      <w:tr w:rsidR="007E352D" w:rsidRPr="000959FF" w14:paraId="56678D01" w14:textId="77777777" w:rsidTr="007E352D">
        <w:trPr>
          <w:cantSplit/>
        </w:trPr>
        <w:tc>
          <w:tcPr>
            <w:tcW w:w="9994" w:type="dxa"/>
            <w:tcBorders>
              <w:top w:val="nil"/>
              <w:bottom w:val="single" w:sz="4" w:color="000000"/>
            </w:tcBorders>
          </w:tcPr>
          <w:p>
            <w:pPr>
              <w:spacing w:after="100" w:line="250" w:lineRule="auto"/>
              <w:keepLines/>
            </w:pPr>
            <w:r>
              <w:rPr>
                <w:lang w:val="es-ES"/>
              </w:rPr>
              <w:t>En un servicio futuro, el responsable deberá justificar la función de contacto o acceso antes de recoger datos. Un registro no necesita publicar la lista de titulares. La newsletter es un ejemplo de finalidad distinta y no existe en el backend.</w:t>
            </w:r>
          </w:p>
        </w:tc>
      </w:tr>
    </w:tbl>
    <w:p w14:paraId="59494A5A" w14:textId="6EA82BD2" w:rsidR="004A21D6" w:rsidRPr="000959FF" w:rsidRDefault="004A21D6" w:rsidP="000959FF">
      <w:pPr>
        <w:pStyle w:val="Heading1"/>
        <w:rPr>
          <w:lang w:eastAsia="en-GB"/>
        </w:rPr>
        <w:keepLines/>
      </w:pPr>
      <w:r>
        <w:rPr>
          <w:lang w:val="es-ES"/>
        </w:rPr>
        <w:t>Paso 3 Proceso de consulta</w:t>
      </w:r>
    </w:p>
    <w:tbl>
      <w:tblPr>
        <w:tblStyle w:val="TableGrid"/>
        <w:tblW w:w="0" w:type="auto"/>
        <w:tblLook w:val="04A0" w:firstRow="1" w:lastRow="0" w:firstColumn="1" w:lastColumn="0" w:noHBand="0" w:noVBand="1"/>
      </w:tblPr>
      <w:tblGrid>
        <w:gridCol w:w="9994"/>
      </w:tblGrid>
      <w:tr w:rsidR="004A21D6" w:rsidRPr="000959FF" w14:paraId="1B24C52B" w14:textId="77777777" w:rsidTr="007E352D">
        <w:tc>
          <w:tcPr>
            <w:tcW w:w="9994" w:type="dxa"/>
          </w:tcPr>
          <w:p>
            <w:pPr>
              <w:spacing w:after="100" w:line="250" w:lineRule="auto"/>
              <w:keepNext/>
              <w:keepLines/>
            </w:pPr>
            <w:r>
              <w:rPr>
                <w:lang w:val="es-ES"/>
                <w:b/>
              </w:rPr>
              <w:t>Personas a consultar momento método y estado</w:t>
            </w:r>
          </w:p>
        </w:tc>
        <w:trPr>
          <w:cantSplit/>
          <w:tblHeader/>
        </w:trPr>
      </w:tr>
      <w:tr w:rsidR="007E352D" w:rsidRPr="000959FF" w14:paraId="48423491" w14:textId="77777777" w:rsidTr="00C307DC">
        <w:trPr>
          <w:cantSplit/>
        </w:trPr>
        <w:tc>
          <w:tcPr>
            <w:tcW w:w="9994" w:type="dxa"/>
            <w:tcBorders>
              <w:top w:val="nil"/>
              <w:bottom w:val="nil" w:sz="4" w:color="000000"/>
            </w:tcBorders>
          </w:tcPr>
          <w:p>
            <w:pPr>
              <w:spacing w:after="100" w:line="250" w:lineRule="auto"/>
              <w:keepLines/>
            </w:pPr>
            <w:r>
              <w:rPr>
                <w:lang w:val="es-ES"/>
              </w:rPr>
              <w:t>El proceso de consulta previsto para una adaptación a uso real comprende la validación del aviso con usuarios representativos, la revisión de seguridad y la comprobación de condiciones de proveedores. Las conclusiones deberán integrarse en una nueva versión de la DPIA antes del piloto con datos reales.</w:t>
            </w:r>
          </w:p>
        </w:tc>
      </w:tr>
      <w:tr w:rsidR="007E352D" w:rsidRPr="000959FF" w14:paraId="48423491" w14:textId="77777777" w:rsidTr="00C307DC">
        <w:trPr>
          <w:cantSplit/>
        </w:trPr>
        <w:tc>
          <w:tcPr>
            <w:tcW w:w="9994" w:type="dxa"/>
            <w:tcBorders>
              <w:top w:val="nil"/>
              <w:bottom w:val="nil" w:sz="4" w:color="000000"/>
            </w:tcBorders>
          </w:tcPr>
          <w:p>
            <w:pPr>
              <w:spacing w:after="100" w:line="250" w:lineRule="auto"/>
              <w:keepLines/>
            </w:pPr>
            <w:r>
              <w:rPr>
                <w:lang w:val="es-ES"/>
              </w:rPr>
              <w:t>Usuarios representativos: evaluar la comprensión del aviso y del procedimiento de derechos antes de un piloto real, utilizando únicamente datos ficticios en las pruebas.</w:t>
            </w:r>
          </w:p>
        </w:tc>
      </w:tr>
      <w:tr w:rsidR="007E352D" w:rsidRPr="000959FF" w14:paraId="48423491" w14:textId="77777777" w:rsidTr="00C307DC">
        <w:trPr>
          <w:cantSplit/>
        </w:trPr>
        <w:tc>
          <w:tcPr>
            <w:tcW w:w="9994" w:type="dxa"/>
            <w:tcBorders>
              <w:top w:val="nil"/>
              <w:bottom w:val="nil" w:sz="4" w:color="000000"/>
            </w:tcBorders>
          </w:tcPr>
          <w:p>
            <w:pPr>
              <w:spacing w:after="100" w:line="250" w:lineRule="auto"/>
              <w:keepLines/>
            </w:pPr>
            <w:r>
              <w:rPr>
                <w:lang w:val="es-ES"/>
              </w:rPr>
              <w:t>Asesoría de privacidad: revisar la base jurídica por finalidad, la necesidad de los campos, la conservación y el riesgo residual antes de habilitar un servicio real.</w:t>
            </w:r>
          </w:p>
        </w:tc>
      </w:tr>
      <w:tr w:rsidR="007E352D" w:rsidRPr="000959FF" w14:paraId="48423491" w14:textId="77777777" w:rsidTr="00C307DC">
        <w:trPr>
          <w:cantSplit/>
        </w:trPr>
        <w:tc>
          <w:tcPr>
            <w:tcW w:w="9994" w:type="dxa"/>
            <w:tcBorders>
              <w:top w:val="nil"/>
              <w:bottom w:val="nil" w:sz="4" w:color="000000"/>
            </w:tcBorders>
          </w:tcPr>
          <w:p>
            <w:pPr>
              <w:spacing w:after="100" w:line="250" w:lineRule="auto"/>
              <w:keepLines/>
            </w:pPr>
            <w:r>
              <w:rPr>
                <w:lang w:val="es-ES"/>
              </w:rPr>
              <w:t>Desarrollo y seguridad: contrastar rutas, permisos, almacenamiento, transporte, copias y pruebas de aceptación de C01–C11 antes de un uso real.</w:t>
            </w:r>
          </w:p>
        </w:tc>
      </w:tr>
      <w:tr w:rsidR="007E352D" w:rsidRPr="000959FF" w14:paraId="48423491" w14:textId="77777777" w:rsidTr="00C307DC">
        <w:trPr>
          <w:cantSplit/>
        </w:trPr>
        <w:tc>
          <w:tcPr>
            <w:tcW w:w="9994" w:type="dxa"/>
            <w:tcBorders>
              <w:top w:val="nil"/>
              <w:bottom w:val="single" w:sz="4" w:color="000000"/>
            </w:tcBorders>
          </w:tcPr>
          <w:p>
            <w:pPr>
              <w:spacing w:after="100" w:line="250" w:lineRule="auto"/>
              <w:keepLines/>
            </w:pPr>
            <w:r>
              <w:rPr>
                <w:lang w:val="es-ES"/>
              </w:rPr>
              <w:t>Proveedor, si se contrata: verificar ubicación, subencargados, acceso, borrado y respuesta a incidentes antes de transferir datos.</w:t>
            </w:r>
          </w:p>
        </w:tc>
      </w:tr>
    </w:tbl>
    <w:p w14:paraId="77699581" w14:textId="58B60E3A" w:rsidR="004A21D6" w:rsidRPr="000959FF" w:rsidRDefault="004A21D6" w:rsidP="000959FF">
      <w:pPr>
        <w:pStyle w:val="Heading1"/>
        <w:rPr>
          <w:lang w:eastAsia="en-GB"/>
        </w:rPr>
        <w:keepLines/>
      </w:pPr>
      <w:r>
        <w:rPr>
          <w:lang w:val="es-ES"/>
        </w:rPr>
        <w:t>Paso 4 Necesidad y proporcionalidad</w:t>
      </w:r>
    </w:p>
    <w:tbl>
      <w:tblPr>
        <w:tblStyle w:val="TableGrid"/>
        <w:tblW w:w="0" w:type="auto"/>
        <w:tblLook w:val="04A0" w:firstRow="1" w:lastRow="0" w:firstColumn="1" w:lastColumn="0" w:noHBand="0" w:noVBand="1"/>
      </w:tblPr>
      <w:tblGrid>
        <w:gridCol w:w="9994"/>
      </w:tblGrid>
      <w:tr w:rsidR="004A21D6" w:rsidRPr="000959FF" w14:paraId="70378E22" w14:textId="77777777" w:rsidTr="00C307DC">
        <w:tc>
          <w:tcPr>
            <w:tcW w:w="9994" w:type="dxa"/>
          </w:tcPr>
          <w:p>
            <w:pPr>
              <w:spacing w:after="100" w:line="250" w:lineRule="auto"/>
              <w:keepNext/>
              <w:keepLines/>
            </w:pPr>
            <w:r>
              <w:rPr>
                <w:lang w:val="es-ES"/>
                <w:b/>
              </w:rPr>
              <w:t>Justificación de necesidad bases jurídicas y garantías</w:t>
            </w:r>
          </w:p>
        </w:tc>
        <w:trPr>
          <w:cantSplit/>
          <w:tblHeader/>
        </w:trPr>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Para una demostración del flujo de registro bastan registros sintéticos. En un servicio real, el correo solo se conserva si es necesario para una función de contacto o acceso definida. El nombre puede ser opcional si la finalidad se logra con un identificador o correo. Apellidos y teléfono no tienen una finalidad demostrada en el encargo y se propone eliminarlos del mínimo. created_at se limita a una necesidad operativa documentada y no se expone por defecto. No hay envío de newsletter implementado: si se añadiera, correo para newsletter sería una finalidad distinta, con consentimiento separado, opcional y demostrable cuando esa sea la base elegida. La base jurídica para el registro del servicio no se puede fijar con los datos disponibles; el controlador debe seleccionar una base válida conforme al artículo 6 y explicar la finalidad y base en el aviso. No se presume que el consentimiento sea la base del servicio ni que exista contrato.</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Next/>
              <w:keepLines/>
            </w:pPr>
            <w:r>
              <w:rPr>
                <w:lang w:val="es-ES"/>
                <w:b/>
              </w:rPr>
              <w:t>Alternativas y límites de finalidad</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Usar únicamente datos sintéticos para la evaluación del backend.</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En un registro real, limitarse al dato de contacto o identificador que la función necesite; conservar nombre solo si se justifica.</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Eliminar apellidos y teléfono del esquema inicial; permitir añadir un dato después solo tras justificarlo y revisar esta DPIA.</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No publicar un listado global; devolver al titular únicamente el resultado necesario o reservar listados mínimos a un rol autenticado.</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No reutilizar el correo para marketing. Si se crea newsletter, tratarla como una operación separada con elección libre, casilla desmarcada, prueba de consentimiento y retirada sencilla.</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No incorporar analítica, perfilado, marketing, enriquecimiento, exportación ni combinación con otras fuentes sin identificar finalidad y base, informar a las personas cuando corresponda y reevaluar esta DPIA.</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Next/>
              <w:keepLines/>
            </w:pPr>
            <w:r>
              <w:rPr>
                <w:lang w:val="es-ES"/>
                <w:b/>
              </w:rPr>
              <w:t>Conservación propuesta</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Cuenta o registro de servicio: Conservar solo mientras exista la relación o finalidad activa. Propuesta para validar: eliminar o anonimizar tras 12 meses de inactividad, salvo que una necesidad documentada o una obligación jurídica aplicable exija otro plazo.</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Cierre o solicitud de borrado: Eliminar del sistema activo dentro de 30 días, salvo conservación mínima exigida por una obligación aplicable, que debe quedar aislada y justificada.</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Copias de respaldo: Definir un ciclo máximo de 30 días; expirar las copias y re-aplicar una lista de borrados tras cualquier restauración para que los datos ya eliminados no reaparezcan.</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Newsletter si se crea: No se crea ni se envía en el alcance actual. Si se añade, detener envíos al retirar el consentimiento y conservar solo la evidencia mínima de la elección y retirada durante un plazo que el controlador justifique.</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Aprobacion: Estos plazos son propuestas académicas, no plazos legales universales ni reglas actualmente configuradas.</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Next/>
              <w:keepLines/>
            </w:pPr>
            <w:r>
              <w:rPr>
                <w:lang w:val="es-ES"/>
                <w:b/>
              </w:rPr>
              <w:t>Información y derechos</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Finalidad de servicio y finalidad de newsletter se documentan por separado.</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El aviso se presenta antes de la recogida e indica controlador, propósitos, base, destinatarios, retención, derechos y si aportar cada dato es obligatorio.</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Se comprueba exactitud y se ofrece una ruta para corregir o borrar datos.</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El acceso se limita por rol y necesidad; no se permite una exportación pública global.</w:t>
            </w:r>
          </w:p>
        </w:tc>
      </w:tr>
      <w:tr w:rsidR="00C307DC" w:rsidRPr="000959FF" w14:paraId="635B0821" w14:textId="77777777" w:rsidTr="00C307DC">
        <w:trPr>
          <w:cantSplit/>
        </w:trPr>
        <w:tc>
          <w:tcPr>
            <w:tcW w:w="9994" w:type="dxa"/>
            <w:tcBorders>
              <w:top w:val="nil"/>
              <w:bottom w:val="nil" w:sz="4" w:color="000000"/>
            </w:tcBorders>
          </w:tcPr>
          <w:p>
            <w:pPr>
              <w:spacing w:after="100" w:line="250" w:lineRule="auto"/>
              <w:keepLines/>
            </w:pPr>
            <w:r>
              <w:rPr>
                <w:lang w:val="es-ES"/>
              </w:rPr>
              <w:t>La propuesta de retención cubre registros activos, inactividad, solicitudes de borrado y ciclo de copias.</w:t>
            </w:r>
          </w:p>
        </w:tc>
      </w:tr>
      <w:tr w:rsidR="00C307DC" w:rsidRPr="000959FF" w14:paraId="635B0821" w14:textId="77777777" w:rsidTr="00C307DC">
        <w:trPr>
          <w:cantSplit/>
        </w:trPr>
        <w:tc>
          <w:tcPr>
            <w:tcW w:w="9994" w:type="dxa"/>
            <w:tcBorders>
              <w:top w:val="nil"/>
              <w:bottom w:val="single" w:sz="4" w:color="000000"/>
            </w:tcBorders>
          </w:tcPr>
          <w:p>
            <w:pPr>
              <w:spacing w:after="100" w:line="250" w:lineRule="auto"/>
              <w:keepLines/>
            </w:pPr>
            <w:r>
              <w:rPr>
                <w:lang w:val="es-ES"/>
              </w:rPr>
              <w:t>Las garantías para encargados y transferencias se concretan en C10. El art. 13 GDPR se utiliza si ese marco aplica. La diapositiva 28 remite al derecho de información del art. 18 de la Ley peruana 29733, que debe evaluarse por separado cuando corresponda.</w:t>
            </w:r>
          </w:p>
        </w:tc>
      </w:tr>
    </w:tbl>
    <w:p>
      <w:pPr>
        <w:spacing w:after="100" w:line="250" w:lineRule="auto"/>
        <w:pStyle w:val="Heading2"/>
        <w:keepNext/>
        <w:keepLines/>
      </w:pPr>
      <w:r>
        <w:rPr>
          <w:lang w:val="es-ES"/>
          <w:b/>
        </w:rPr>
        <w:t>Inventario de datos por finalidad</w:t>
      </w:r>
    </w:p>
    <w:p>
      <w:pPr>
        <w:spacing w:after="100" w:line="250" w:lineRule="auto"/>
        <w:keepLines/>
      </w:pPr>
      <w:r>
        <w:rPr>
          <w:lang w:val="es-ES"/>
        </w:rPr>
        <w:t>Actualmente GET expone todos los campos a cualquier cliente que alcance la ruta. El acceso descrito por campo es el acceso propuesto tras aplicar restricciones. La retención actual es indefinida mientras no se intervenga la base. Los plazos siguientes son propuestas de diseño.</w:t>
      </w:r>
    </w:p>
    <w:p>
      <w:pPr>
        <w:spacing w:after="100" w:line="250" w:lineRule="auto"/>
        <w:keepNext/>
        <w:keepLines/>
      </w:pPr>
      <w:r>
        <w:rPr>
          <w:lang w:val="es-ES"/>
          <w:b/>
        </w:rPr>
        <w:t>D01 id</w:t>
      </w:r>
    </w:p>
    <w:p>
      <w:pPr>
        <w:spacing w:after="100" w:line="250" w:lineRule="auto"/>
        <w:keepLines/>
      </w:pPr>
      <w:r>
        <w:rPr>
          <w:lang w:val="es-ES"/>
        </w:rPr>
        <w:t>Origen: Generado por la aplicación como identificador de fila</w:t>
      </w:r>
    </w:p>
    <w:p>
      <w:pPr>
        <w:spacing w:after="100" w:line="250" w:lineRule="auto"/>
        <w:keepLines/>
      </w:pPr>
      <w:r>
        <w:rPr>
          <w:lang w:val="es-ES"/>
        </w:rPr>
        <w:t>Tipo: Identificador técnico vinculado al registro; puede singlar una fila.</w:t>
      </w:r>
    </w:p>
    <w:p>
      <w:pPr>
        <w:spacing w:after="100" w:line="250" w:lineRule="auto"/>
        <w:keepLines/>
      </w:pPr>
      <w:r>
        <w:rPr>
          <w:lang w:val="es-ES"/>
        </w:rPr>
        <w:t>Finalidad: Referenciar un registro en almacenamiento y operaciones administrativas.</w:t>
      </w:r>
    </w:p>
    <w:p>
      <w:pPr>
        <w:spacing w:after="100" w:line="250" w:lineRule="auto"/>
        <w:keepLines/>
      </w:pPr>
      <w:r>
        <w:rPr>
          <w:lang w:val="es-ES"/>
        </w:rPr>
        <w:t>Obligatoriedad actual: Sí según el esquema descrito; su uso en respuestas no está restringido.</w:t>
      </w:r>
    </w:p>
    <w:p>
      <w:pPr>
        <w:spacing w:after="100" w:line="250" w:lineRule="auto"/>
        <w:keepLines/>
      </w:pPr>
      <w:r>
        <w:rPr>
          <w:lang w:val="es-ES"/>
        </w:rPr>
        <w:t>Base jurídica: comparte la finalidad del registro al que identifica. No se tratan datos personales reales en la demostración.</w:t>
      </w:r>
    </w:p>
    <w:p>
      <w:pPr>
        <w:spacing w:after="100" w:line="250" w:lineRule="auto"/>
        <w:keepLines/>
      </w:pPr>
      <w:r>
        <w:rPr>
          <w:lang w:val="es-ES"/>
        </w:rPr>
        <w:t>Necesidad: Puede ser necesario para operaciones internas; no debe exponerse en listados públicos ni codificar información personal.</w:t>
      </w:r>
    </w:p>
    <w:p>
      <w:pPr>
        <w:spacing w:after="100" w:line="250" w:lineRule="auto"/>
        <w:keepLines/>
      </w:pPr>
      <w:r>
        <w:rPr>
          <w:lang w:val="es-ES"/>
        </w:rPr>
        <w:t>Quién lo vería: Proceso de aplicación y personal autorizado por función.</w:t>
      </w:r>
    </w:p>
    <w:p>
      <w:pPr>
        <w:spacing w:after="100" w:line="250" w:lineRule="auto"/>
        <w:keepLines/>
      </w:pPr>
      <w:r>
        <w:rPr>
          <w:lang w:val="es-ES"/>
        </w:rPr>
        <w:t>Conservación propuesta: La misma del registro al que corresponde.</w:t>
      </w:r>
    </w:p>
    <w:p>
      <w:pPr>
        <w:spacing w:after="100" w:line="250" w:lineRule="auto"/>
        <w:keepNext/>
        <w:keepLines/>
      </w:pPr>
      <w:r>
        <w:rPr>
          <w:lang w:val="es-ES"/>
          <w:b/>
        </w:rPr>
        <w:t>D02 nombres</w:t>
      </w:r>
    </w:p>
    <w:p>
      <w:pPr>
        <w:spacing w:after="100" w:line="250" w:lineRule="auto"/>
        <w:keepLines/>
      </w:pPr>
      <w:r>
        <w:rPr>
          <w:lang w:val="es-ES"/>
        </w:rPr>
        <w:t>Origen: Persona mediante POST /registro (alias /registros), si el uso real se habilita</w:t>
      </w:r>
    </w:p>
    <w:p>
      <w:pPr>
        <w:spacing w:after="100" w:line="250" w:lineRule="auto"/>
        <w:keepLines/>
      </w:pPr>
      <w:r>
        <w:rPr>
          <w:lang w:val="es-ES"/>
        </w:rPr>
        <w:t>Tipo: Dato identificativo directo.</w:t>
      </w:r>
    </w:p>
    <w:p>
      <w:pPr>
        <w:spacing w:after="100" w:line="250" w:lineRule="auto"/>
        <w:keepLines/>
      </w:pPr>
      <w:r>
        <w:rPr>
          <w:lang w:val="es-ES"/>
        </w:rPr>
        <w:t>Finalidad: Identificar o dirigirse al titular solo si el servicio realmente lo requiere.</w:t>
      </w:r>
    </w:p>
    <w:p>
      <w:pPr>
        <w:spacing w:after="100" w:line="250" w:lineRule="auto"/>
        <w:keepLines/>
      </w:pPr>
      <w:r>
        <w:rPr>
          <w:lang w:val="es-ES"/>
        </w:rPr>
        <w:t>Obligatoriedad actual: Sí; obligatorio en POST según el backend descrito.</w:t>
      </w:r>
    </w:p>
    <w:p>
      <w:pPr>
        <w:spacing w:after="100" w:line="250" w:lineRule="auto"/>
        <w:keepLines/>
      </w:pPr>
      <w:r>
        <w:rPr>
          <w:lang w:val="es-ES"/>
        </w:rPr>
        <w:t>Base jurídica: el laboratorio utiliza datos ficticios. En una adaptación a servicio, solo se conservará el nombre si es necesario para una finalidad definida y con una base válida conforme al artículo 6 GDPR cuando resulte aplicable.</w:t>
      </w:r>
    </w:p>
    <w:p>
      <w:pPr>
        <w:spacing w:after="100" w:line="250" w:lineRule="auto"/>
        <w:keepLines/>
      </w:pPr>
      <w:r>
        <w:rPr>
          <w:lang w:val="es-ES"/>
        </w:rPr>
        <w:t>Necesidad: Revisar si correo o un identificador basta. Mantener solo si la experiencia del servicio requiere nombre.</w:t>
      </w:r>
    </w:p>
    <w:p>
      <w:pPr>
        <w:spacing w:after="100" w:line="250" w:lineRule="auto"/>
        <w:keepLines/>
      </w:pPr>
      <w:r>
        <w:rPr>
          <w:lang w:val="es-ES"/>
        </w:rPr>
        <w:t>Quién lo vería: Titular y personal de servicio autorizado.</w:t>
      </w:r>
    </w:p>
    <w:p>
      <w:pPr>
        <w:spacing w:after="100" w:line="250" w:lineRule="auto"/>
        <w:keepLines/>
      </w:pPr>
      <w:r>
        <w:rPr>
          <w:lang w:val="es-ES"/>
        </w:rPr>
        <w:t>Conservación propuesta: Según ciclo de vida del registro de servicio; propuesta en paso 4.</w:t>
      </w:r>
    </w:p>
    <w:p>
      <w:pPr>
        <w:spacing w:after="100" w:line="250" w:lineRule="auto"/>
        <w:keepNext/>
        <w:keepLines/>
      </w:pPr>
      <w:r>
        <w:rPr>
          <w:lang w:val="es-ES"/>
          <w:b/>
        </w:rPr>
        <w:t>D03 apellidos</w:t>
      </w:r>
    </w:p>
    <w:p>
      <w:pPr>
        <w:spacing w:after="100" w:line="250" w:lineRule="auto"/>
        <w:keepLines/>
      </w:pPr>
      <w:r>
        <w:rPr>
          <w:lang w:val="es-ES"/>
        </w:rPr>
        <w:t>Origen: Persona mediante POST /registro (alias /registros), si el uso real se habilita</w:t>
      </w:r>
    </w:p>
    <w:p>
      <w:pPr>
        <w:spacing w:after="100" w:line="250" w:lineRule="auto"/>
        <w:keepLines/>
      </w:pPr>
      <w:r>
        <w:rPr>
          <w:lang w:val="es-ES"/>
        </w:rPr>
        <w:t>Tipo: Dato identificativo directo.</w:t>
      </w:r>
    </w:p>
    <w:p>
      <w:pPr>
        <w:spacing w:after="100" w:line="250" w:lineRule="auto"/>
        <w:keepLines/>
      </w:pPr>
      <w:r>
        <w:rPr>
          <w:lang w:val="es-ES"/>
        </w:rPr>
        <w:t>Finalidad: No hay una finalidad demostrada en el encargo.</w:t>
      </w:r>
    </w:p>
    <w:p>
      <w:pPr>
        <w:spacing w:after="100" w:line="250" w:lineRule="auto"/>
        <w:keepLines/>
      </w:pPr>
      <w:r>
        <w:rPr>
          <w:lang w:val="es-ES"/>
        </w:rPr>
        <w:t>Obligatoriedad actual: Sí; obligatorio en POST según el backend descrito.</w:t>
      </w:r>
    </w:p>
    <w:p>
      <w:pPr>
        <w:spacing w:after="100" w:line="250" w:lineRule="auto"/>
        <w:keepLines/>
      </w:pPr>
      <w:r>
        <w:rPr>
          <w:lang w:val="es-ES"/>
        </w:rPr>
        <w:t>Base jurídica: No procede hasta que una finalidad necesaria y una base aplicable se documenten.</w:t>
      </w:r>
    </w:p>
    <w:p>
      <w:pPr>
        <w:spacing w:after="100" w:line="250" w:lineRule="auto"/>
        <w:keepLines/>
      </w:pPr>
      <w:r>
        <w:rPr>
          <w:lang w:val="es-ES"/>
        </w:rPr>
        <w:t>Necesidad: No necesario para el backend mínimo descrito; propuesta: eliminar del esquema, ruta de escritura, salida y fixtures.</w:t>
      </w:r>
    </w:p>
    <w:p>
      <w:pPr>
        <w:spacing w:after="100" w:line="250" w:lineRule="auto"/>
        <w:keepLines/>
      </w:pPr>
      <w:r>
        <w:rPr>
          <w:lang w:val="es-ES"/>
        </w:rPr>
        <w:t>Quién lo vería: Ninguno después de retirarlo; si se justifica una excepción futura, reevaluar.</w:t>
      </w:r>
    </w:p>
    <w:p>
      <w:pPr>
        <w:spacing w:after="100" w:line="250" w:lineRule="auto"/>
        <w:keepLines/>
      </w:pPr>
      <w:r>
        <w:rPr>
          <w:lang w:val="es-ES"/>
        </w:rPr>
        <w:t>Conservación propuesta: No recoger. Si ya existieran datos reales, planificar borrado según la política aprobada.</w:t>
      </w:r>
    </w:p>
    <w:p>
      <w:pPr>
        <w:spacing w:after="100" w:line="250" w:lineRule="auto"/>
        <w:keepNext/>
        <w:keepLines/>
      </w:pPr>
      <w:r>
        <w:rPr>
          <w:lang w:val="es-ES"/>
          <w:b/>
        </w:rPr>
        <w:t>D04A correo — contacto o acceso al servicio</w:t>
      </w:r>
    </w:p>
    <w:p>
      <w:pPr>
        <w:spacing w:after="100" w:line="250" w:lineRule="auto"/>
        <w:keepLines/>
      </w:pPr>
      <w:r>
        <w:rPr>
          <w:lang w:val="es-ES"/>
        </w:rPr>
        <w:t>Origen: Persona mediante POST /registro (alias /registros), si el uso real se habilita</w:t>
      </w:r>
    </w:p>
    <w:p>
      <w:pPr>
        <w:spacing w:after="100" w:line="250" w:lineRule="auto"/>
        <w:keepLines/>
      </w:pPr>
      <w:r>
        <w:rPr>
          <w:lang w:val="es-ES"/>
        </w:rPr>
        <w:t>Tipo: Dato de contacto e identificador directo.</w:t>
      </w:r>
    </w:p>
    <w:p>
      <w:pPr>
        <w:spacing w:after="100" w:line="250" w:lineRule="auto"/>
        <w:keepLines/>
      </w:pPr>
      <w:r>
        <w:rPr>
          <w:lang w:val="es-ES"/>
        </w:rPr>
        <w:t>Finalidad: Contacto o acceso al servicio. Única finalidad de servicio considerada en este análisis; confirmar qué función real necesita el correo.</w:t>
      </w:r>
    </w:p>
    <w:p>
      <w:pPr>
        <w:spacing w:after="100" w:line="250" w:lineRule="auto"/>
        <w:keepLines/>
      </w:pPr>
      <w:r>
        <w:rPr>
          <w:lang w:val="es-ES"/>
        </w:rPr>
        <w:t>Obligatoriedad actual: Sí para POST de servicio según el backend descrito; newsletter no está implementada ni asociada a un opt-in.</w:t>
      </w:r>
    </w:p>
    <w:p>
      <w:pPr>
        <w:spacing w:after="100" w:line="250" w:lineRule="auto"/>
        <w:keepLines/>
      </w:pPr>
      <w:r>
        <w:rPr>
          <w:lang w:val="es-ES"/>
        </w:rPr>
        <w:t>Base jurídica: no hay tratamiento real en la demostración. Para un futuro servicio de contacto o acceso, el artículo 6(1)(b) GDPR solo sería aplicable si el dato resulta necesario para un contrato o para medidas precontractuales solicitadas por la persona. La base deberá justificarse antes de recoger datos reales.</w:t>
      </w:r>
    </w:p>
    <w:p>
      <w:pPr>
        <w:spacing w:after="100" w:line="250" w:lineRule="auto"/>
        <w:keepLines/>
      </w:pPr>
      <w:r>
        <w:rPr>
          <w:lang w:val="es-ES"/>
        </w:rPr>
        <w:t>Necesidad: El correo se considera solo para contacto/acceso al servicio si la función lo necesita. La finalidad de newsletter es hipotética, no implementada; no reutilizar el correo para ella.</w:t>
      </w:r>
    </w:p>
    <w:p>
      <w:pPr>
        <w:spacing w:after="100" w:line="250" w:lineRule="auto"/>
        <w:keepLines/>
      </w:pPr>
      <w:r>
        <w:rPr>
          <w:lang w:val="es-ES"/>
        </w:rPr>
        <w:t>Quién lo vería: Titular y función de servicio autorizada; no listar globalmente.</w:t>
      </w:r>
    </w:p>
    <w:p>
      <w:pPr>
        <w:spacing w:after="100" w:line="250" w:lineRule="auto"/>
        <w:keepLines/>
      </w:pPr>
      <w:r>
        <w:rPr>
          <w:lang w:val="es-ES"/>
        </w:rPr>
        <w:t>Conservación propuesta: Según ciclo de vida del servicio; retirar de listas de envío al retirar consentimiento si en el futuro se implementara newsletter.</w:t>
      </w:r>
    </w:p>
    <w:p>
      <w:pPr>
        <w:spacing w:after="100" w:line="250" w:lineRule="auto"/>
        <w:keepNext/>
        <w:keepLines/>
      </w:pPr>
      <w:r>
        <w:rPr>
          <w:lang w:val="es-ES"/>
          <w:b/>
        </w:rPr>
        <w:t>D04B correo — newsletter/marketing (finalidad hipotética)</w:t>
      </w:r>
    </w:p>
    <w:p>
      <w:pPr>
        <w:spacing w:after="100" w:line="250" w:lineRule="auto"/>
        <w:keepLines/>
      </w:pPr>
      <w:r>
        <w:rPr>
          <w:lang w:val="es-ES"/>
        </w:rPr>
        <w:t>Origen: No existe captura o envío de newsletter en el backend descrito; solo se evaluaría si se añadiera una función futura.</w:t>
      </w:r>
    </w:p>
    <w:p>
      <w:pPr>
        <w:spacing w:after="100" w:line="250" w:lineRule="auto"/>
        <w:keepLines/>
      </w:pPr>
      <w:r>
        <w:rPr>
          <w:lang w:val="es-ES"/>
        </w:rPr>
        <w:t>Tipo: Dato de contacto e identificador directo.</w:t>
      </w:r>
    </w:p>
    <w:p>
      <w:pPr>
        <w:spacing w:after="100" w:line="250" w:lineRule="auto"/>
        <w:keepLines/>
      </w:pPr>
      <w:r>
        <w:rPr>
          <w:lang w:val="es-ES"/>
        </w:rPr>
        <w:t>Finalidad: No activa en este sistema; si se añadiera, sería una finalidad diferente de contacto/acceso al servicio.</w:t>
      </w:r>
    </w:p>
    <w:p>
      <w:pPr>
        <w:spacing w:after="100" w:line="250" w:lineRule="auto"/>
        <w:keepLines/>
      </w:pPr>
      <w:r>
        <w:rPr>
          <w:lang w:val="es-ES"/>
        </w:rPr>
        <w:t>Obligatoriedad actual: No; no está implementada y, si se añadiera, tendría que ser opcional y separada.</w:t>
      </w:r>
    </w:p>
    <w:p>
      <w:pPr>
        <w:spacing w:after="100" w:line="250" w:lineRule="auto"/>
        <w:keepLines/>
      </w:pPr>
      <w:r>
        <w:rPr>
          <w:lang w:val="es-ES"/>
        </w:rPr>
        <w:t>Base jurídica propuesta para una futura newsletter: consentimiento específico, informado, libre y demostrable, separado del servicio y con retirada sencilla. Esta finalidad no existe en el backend del laboratorio.</w:t>
      </w:r>
    </w:p>
    <w:p>
      <w:pPr>
        <w:spacing w:after="100" w:line="250" w:lineRule="auto"/>
        <w:keepLines/>
      </w:pPr>
      <w:r>
        <w:rPr>
          <w:lang w:val="es-ES"/>
        </w:rPr>
        <w:t>Necesidad: No recoger ni enviar para newsletter en el alcance actual; si se crea, aislar la preferencia y no condicionar el servicio.</w:t>
      </w:r>
    </w:p>
    <w:p>
      <w:pPr>
        <w:spacing w:after="100" w:line="250" w:lineRule="auto"/>
        <w:keepLines/>
      </w:pPr>
      <w:r>
        <w:rPr>
          <w:lang w:val="es-ES"/>
        </w:rPr>
        <w:t>Quién lo vería: Ninguno en el sistema actual; si se añade, solo personal autorizado para administrar suscripciones.</w:t>
      </w:r>
    </w:p>
    <w:p>
      <w:pPr>
        <w:spacing w:after="100" w:line="250" w:lineRule="auto"/>
        <w:keepLines/>
      </w:pPr>
      <w:r>
        <w:rPr>
          <w:lang w:val="es-ES"/>
        </w:rPr>
        <w:t>Conservación propuesta: No aplica actualmente; si se añade, detener envíos al retirar la elección y justificar la conservación mínima de la evidencia.</w:t>
      </w:r>
    </w:p>
    <w:p>
      <w:pPr>
        <w:spacing w:after="100" w:line="250" w:lineRule="auto"/>
        <w:keepNext/>
        <w:keepLines/>
      </w:pPr>
      <w:r>
        <w:rPr>
          <w:lang w:val="es-ES"/>
          <w:b/>
        </w:rPr>
        <w:t>D05 telefono</w:t>
      </w:r>
    </w:p>
    <w:p>
      <w:pPr>
        <w:spacing w:after="100" w:line="250" w:lineRule="auto"/>
        <w:keepLines/>
      </w:pPr>
      <w:r>
        <w:rPr>
          <w:lang w:val="es-ES"/>
        </w:rPr>
        <w:t>Origen: Persona mediante POST /registro (alias /registros), si el uso real se habilita</w:t>
      </w:r>
    </w:p>
    <w:p>
      <w:pPr>
        <w:spacing w:after="100" w:line="250" w:lineRule="auto"/>
        <w:keepLines/>
      </w:pPr>
      <w:r>
        <w:rPr>
          <w:lang w:val="es-ES"/>
        </w:rPr>
        <w:t>Tipo: Dato de contacto e identificador directo.</w:t>
      </w:r>
    </w:p>
    <w:p>
      <w:pPr>
        <w:spacing w:after="100" w:line="250" w:lineRule="auto"/>
        <w:keepLines/>
      </w:pPr>
      <w:r>
        <w:rPr>
          <w:lang w:val="es-ES"/>
        </w:rPr>
        <w:t>Finalidad: No hay finalidad definida en el encargo.</w:t>
      </w:r>
    </w:p>
    <w:p>
      <w:pPr>
        <w:spacing w:after="100" w:line="250" w:lineRule="auto"/>
        <w:keepLines/>
      </w:pPr>
      <w:r>
        <w:rPr>
          <w:lang w:val="es-ES"/>
        </w:rPr>
        <w:t>Obligatoriedad actual: No; teléfono es opcional y admite string o null.</w:t>
      </w:r>
    </w:p>
    <w:p>
      <w:pPr>
        <w:spacing w:after="100" w:line="250" w:lineRule="auto"/>
        <w:keepLines/>
      </w:pPr>
      <w:r>
        <w:rPr>
          <w:lang w:val="es-ES"/>
        </w:rPr>
        <w:t>Base jurídica: No procede hasta justificar una finalidad concreta y elegir una base aplicable.</w:t>
      </w:r>
    </w:p>
    <w:p>
      <w:pPr>
        <w:spacing w:after="100" w:line="250" w:lineRule="auto"/>
        <w:keepLines/>
      </w:pPr>
      <w:r>
        <w:rPr>
          <w:lang w:val="es-ES"/>
        </w:rPr>
        <w:t>Necesidad: No necesario para el mínimo descrito; propuesta: eliminar del formulario/API, tabla, respuesta y fixtures.</w:t>
      </w:r>
    </w:p>
    <w:p>
      <w:pPr>
        <w:spacing w:after="100" w:line="250" w:lineRule="auto"/>
        <w:keepLines/>
      </w:pPr>
      <w:r>
        <w:rPr>
          <w:lang w:val="es-ES"/>
        </w:rPr>
        <w:t>Quién lo vería: Ninguno después de retirarlo; no compartir ni llamar.</w:t>
      </w:r>
    </w:p>
    <w:p>
      <w:pPr>
        <w:spacing w:after="100" w:line="250" w:lineRule="auto"/>
        <w:keepLines/>
      </w:pPr>
      <w:r>
        <w:rPr>
          <w:lang w:val="es-ES"/>
        </w:rPr>
        <w:t>Conservación propuesta: No recoger. Si una necesidad real se documenta en el futuro, definir su retención y reevaluar.</w:t>
      </w:r>
    </w:p>
    <w:p>
      <w:pPr>
        <w:spacing w:after="100" w:line="250" w:lineRule="auto"/>
        <w:keepNext/>
        <w:keepLines/>
      </w:pPr>
      <w:r>
        <w:rPr>
          <w:lang w:val="es-ES"/>
          <w:b/>
        </w:rPr>
        <w:t>D06 created_at</w:t>
      </w:r>
    </w:p>
    <w:p>
      <w:pPr>
        <w:spacing w:after="100" w:line="250" w:lineRule="auto"/>
        <w:keepLines/>
      </w:pPr>
      <w:r>
        <w:rPr>
          <w:lang w:val="es-ES"/>
        </w:rPr>
        <w:t>Origen: Generado por la aplicación al crear el registro</w:t>
      </w:r>
    </w:p>
    <w:p>
      <w:pPr>
        <w:spacing w:after="100" w:line="250" w:lineRule="auto"/>
        <w:keepLines/>
      </w:pPr>
      <w:r>
        <w:rPr>
          <w:lang w:val="es-ES"/>
        </w:rPr>
        <w:t>Tipo: Metadato temporal; vinculable a una persona mediante la fila y correo.</w:t>
      </w:r>
    </w:p>
    <w:p>
      <w:pPr>
        <w:spacing w:after="100" w:line="250" w:lineRule="auto"/>
        <w:keepLines/>
      </w:pPr>
      <w:r>
        <w:rPr>
          <w:lang w:val="es-ES"/>
        </w:rPr>
        <w:t>Finalidad: Orden y gestión del ciclo de vida del registro; no se describe otra analítica.</w:t>
      </w:r>
    </w:p>
    <w:p>
      <w:pPr>
        <w:spacing w:after="100" w:line="250" w:lineRule="auto"/>
        <w:keepLines/>
      </w:pPr>
      <w:r>
        <w:rPr>
          <w:lang w:val="es-ES"/>
        </w:rPr>
        <w:t>Obligatoriedad actual: Incluido en el esquema indicado.</w:t>
      </w:r>
    </w:p>
    <w:p>
      <w:pPr>
        <w:spacing w:after="100" w:line="250" w:lineRule="auto"/>
        <w:keepLines/>
      </w:pPr>
      <w:r>
        <w:rPr>
          <w:lang w:val="es-ES"/>
        </w:rPr>
        <w:t>Base jurídica: Sigue la base de la finalidad de registro; justificar necesidad junto con esa finalidad.</w:t>
      </w:r>
    </w:p>
    <w:p>
      <w:pPr>
        <w:spacing w:after="100" w:line="250" w:lineRule="auto"/>
        <w:keepLines/>
      </w:pPr>
      <w:r>
        <w:rPr>
          <w:lang w:val="es-ES"/>
        </w:rPr>
        <w:t>Necesidad: Usar precisión mínima compatible con la operación y no incluir en respuestas públicas; no usar para perfilar.</w:t>
      </w:r>
    </w:p>
    <w:p>
      <w:pPr>
        <w:spacing w:after="100" w:line="250" w:lineRule="auto"/>
        <w:keepLines/>
      </w:pPr>
      <w:r>
        <w:rPr>
          <w:lang w:val="es-ES"/>
        </w:rPr>
        <w:t>Quién lo vería: Proceso y personal autorizado que gestiona registros.</w:t>
      </w:r>
    </w:p>
    <w:p>
      <w:pPr>
        <w:spacing w:after="100" w:line="250" w:lineRule="auto"/>
        <w:keepLines/>
      </w:pPr>
      <w:r>
        <w:rPr>
          <w:lang w:val="es-ES"/>
        </w:rPr>
        <w:t>Conservación propuesta: Borrar o anonimizar junto con el registro, respetando ciclo de respaldo.</w:t>
      </w:r>
    </w:p>
    <w:p w14:paraId="1449CD5A" w14:textId="759B6BED" w:rsidR="00D7227C" w:rsidRPr="000959FF" w:rsidRDefault="00D7227C" w:rsidP="000959FF">
      <w:pPr>
        <w:pStyle w:val="Heading1"/>
        <w:rPr>
          <w:lang w:eastAsia="en-GB"/>
        </w:rPr>
        <w:keepLines/>
      </w:pPr>
      <w:r>
        <w:rPr>
          <w:lang w:val="es-ES"/>
        </w:rPr>
        <w:t>Paso 5 Identificación y evaluación de riesgos</w:t>
      </w:r>
    </w:p>
    <w:p>
      <w:pPr>
        <w:spacing w:after="100" w:line="250" w:lineRule="auto"/>
        <w:keepLines/>
      </w:pPr>
      <w:r>
        <w:rPr>
          <w:lang w:val="es-ES"/>
        </w:rPr>
        <w:t>LINDDUN: Linkability, Identifiability, Non-repudiation, Detectability, Disclosure, Unawareness y Non-compliance.</w:t>
      </w:r>
    </w:p>
    <w:p>
      <w:pPr>
        <w:spacing w:after="100" w:line="250" w:lineRule="auto"/>
        <w:keepLines/>
      </w:pPr>
      <w:r>
        <w:rPr>
          <w:lang w:val="es-ES"/>
        </w:rPr>
        <w:t>Escala docente de 1 a 3: 1 baja, 2 media, 3 alta. Impacto se refiere al perjuicio potencial a las personas, no solo a la organización. Puntuación = probabilidad × impacto. Bajo 1–2. Medio 3–4. Alto 6–9.</w:t>
      </w:r>
    </w:p>
    <w:p>
      <w:pPr>
        <w:spacing w:after="100" w:line="250" w:lineRule="auto"/>
        <w:keepLines/>
      </w:pPr>
      <w:r>
        <w:rPr>
          <w:lang w:val="es-ES"/>
        </w:rPr>
        <w:t>La puntuación actual estima el riesgo del diseño ante un eventual uso con datos reales sin los cambios propuestos; no describe riesgo materializado ni un servicio público actual. Ahora hay cero titulares reales en la demo y la ejecución directa se liga a localhost con datos sintéticos. Si el modo de despliegue o el volumen cambia, recalcular probabilidad e impacto. Para amenazas dependientes de un despliegue/proveedor desconocido, se identifica expresamente la condición. El riesgo residual es una proyección si se implantan y verifican medidas, no el estado presente.</w:t>
      </w:r>
    </w:p>
    <w:tbl>
      <w:tblPr>
        <w:tblStyle w:val="TableGrid"/>
        <w:tblW w:w="9974" w:type="dxa"/>
        <w:tblLayout w:type="fixed"/>
        <w:tblLook w:val="0480" w:firstRow="0" w:lastRow="0" w:firstColumn="1" w:lastColumn="0" w:noHBand="0" w:noVBand="1"/>
      </w:tblPr>
      <w:tblGrid>
        <w:gridCol w:w="6600"/>
        <w:gridCol w:w="1000"/>
        <w:gridCol w:w="1000"/>
        <w:gridCol w:w="1394"/>
      </w:tblGrid>
      <w:tr w:rsidR="00857B3B" w:rsidRPr="000959FF" w14:paraId="2394DEB7" w14:textId="77777777" w:rsidTr="00857B3B">
        <w:tc>
          <w:tcPr>
            <w:tcW w:w="6600" w:type="dxa"/>
            <w:shd w:val="clear" w:color="auto" w:fill="FFFFFF" w:themeFill="background1"/>
          </w:tcPr>
          <w:p>
            <w:pPr>
              <w:spacing w:after="100" w:line="250" w:lineRule="auto"/>
              <w:keepNext/>
              <w:keepLines/>
            </w:pPr>
            <w:r>
              <w:rPr>
                <w:lang w:val="es-ES"/>
                <w:b/>
              </w:rPr>
              <w:t>Riesgo e impacto sobre las personas</w:t>
            </w:r>
          </w:p>
        </w:tc>
        <w:tc>
          <w:tcPr>
            <w:tcW w:w="1000" w:type="dxa"/>
            <w:shd w:val="clear" w:color="auto" w:fill="FFFFFF" w:themeFill="background1"/>
          </w:tcPr>
          <w:p>
            <w:pPr>
              <w:spacing w:after="100" w:line="250" w:lineRule="auto"/>
              <w:keepNext/>
              <w:keepLines/>
            </w:pPr>
            <w:r>
              <w:rPr>
                <w:lang w:val="es-ES"/>
                <w:b/>
              </w:rPr>
              <w:t>P</w:t>
            </w:r>
          </w:p>
        </w:tc>
        <w:tc>
          <w:tcPr>
            <w:tcW w:w="1000" w:type="dxa"/>
            <w:shd w:val="clear" w:color="auto" w:fill="FFFFFF" w:themeFill="background1"/>
          </w:tcPr>
          <w:p>
            <w:pPr>
              <w:spacing w:after="100" w:line="250" w:lineRule="auto"/>
              <w:keepNext/>
              <w:keepLines/>
            </w:pPr>
            <w:r>
              <w:rPr>
                <w:lang w:val="es-ES"/>
                <w:b/>
              </w:rPr>
              <w:t>I</w:t>
            </w:r>
          </w:p>
        </w:tc>
        <w:tc>
          <w:tcPr>
            <w:tcW w:w="1394" w:type="dxa"/>
            <w:shd w:val="clear" w:color="auto" w:fill="FFFFFF" w:themeFill="background1"/>
          </w:tcPr>
          <w:p>
            <w:pPr>
              <w:spacing w:after="100" w:line="250" w:lineRule="auto"/>
              <w:keepNext/>
              <w:keepLines/>
            </w:pPr>
            <w:r>
              <w:rPr>
                <w:lang w:val="es-ES"/>
                <w:b/>
              </w:rPr>
              <w:t>Nivel actual</w:t>
            </w:r>
          </w:p>
        </w:tc>
        <w:trPr>
          <w:cantSplit/>
          <w:tblHeader/>
        </w:trPr>
      </w:tr>
      <w:tr w:rsidR="00857B3B" w:rsidRPr="000959FF" w14:paraId="750F1D96" w14:textId="77777777" w:rsidTr="00857B3B">
        <w:trPr>
          <w:cantSplit/>
        </w:trPr>
        <w:tc>
          <w:tcPr>
            <w:tcW w:w="6600" w:type="dxa"/>
          </w:tcPr>
          <w:p>
            <w:pPr>
              <w:spacing w:after="100" w:line="250" w:lineRule="auto"/>
              <w:keepLines/>
            </w:pPr>
            <w:r>
              <w:rPr>
                <w:lang w:val="es-ES"/>
              </w:rPr>
              <w:t>R01 Ante un eventual uso con datos reales sin cambios, cualquier cliente que alcance GET /registros puede obtener todos los registros y campos sin autenticación. Hoy la ejecución directa liga el servidor a 127.0.0.1 y la demo contiene solo datos ficticios; no se afirma que el endpoint esté expuesto a Internet. LINDDUN: Disclosure, Identifiability.</w:t>
            </w:r>
          </w:p>
        </w:tc>
        <w:tc>
          <w:tcPr>
            <w:tcW w:w="1000" w:type="dxa"/>
          </w:tcPr>
          <w:p>
            <w:pPr>
              <w:spacing w:after="100" w:line="250" w:lineRule="auto"/>
              <w:keepLines/>
            </w:pPr>
            <w:r>
              <w:rPr>
                <w:lang w:val="es-ES"/>
              </w:rPr>
              <w:t>1</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3 Medio</w:t>
            </w:r>
          </w:p>
        </w:tc>
      </w:tr>
      <w:tr w:rsidR="00857B3B" w:rsidRPr="000959FF" w14:paraId="750F1D96" w14:textId="77777777" w:rsidTr="00857B3B">
        <w:trPr>
          <w:cantSplit/>
        </w:trPr>
        <w:tc>
          <w:tcPr>
            <w:tcW w:w="6600" w:type="dxa"/>
          </w:tcPr>
          <w:p>
            <w:pPr>
              <w:spacing w:after="100" w:line="250" w:lineRule="auto"/>
              <w:keepLines/>
            </w:pPr>
            <w:r>
              <w:rPr>
                <w:lang w:val="es-ES"/>
              </w:rPr>
              <w:t>R02 El backend usa SQLite en backend/lab.db, archivo creado al primer acceso y sin cifrado propio de SQLite. Si una ejecución con datos reales deja el archivo accesible a alguien con acceso al host o almacenamiento, sus filas podrían leerse directamente. El .gitignore actual excluye lab.db y la demo usa una base temporal; no se confirmó que existan copias manuales ni que haya una base persistente en la entrega. LINDDUN: Disclosure, Identifiability, Non-compliance.</w:t>
            </w:r>
          </w:p>
        </w:tc>
        <w:tc>
          <w:tcPr>
            <w:tcW w:w="1000" w:type="dxa"/>
          </w:tcPr>
          <w:p>
            <w:pPr>
              <w:spacing w:after="100" w:line="250" w:lineRule="auto"/>
              <w:keepLines/>
            </w:pPr>
            <w:r>
              <w:rPr>
                <w:lang w:val="es-ES"/>
              </w:rPr>
              <w:t>2</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6 Alto</w:t>
            </w:r>
          </w:p>
        </w:tc>
      </w:tr>
      <w:tr w:rsidR="00857B3B" w:rsidRPr="000959FF" w14:paraId="750F1D96" w14:textId="77777777" w:rsidTr="00857B3B">
        <w:trPr>
          <w:cantSplit/>
        </w:trPr>
        <w:tc>
          <w:tcPr>
            <w:tcW w:w="6600" w:type="dxa"/>
          </w:tcPr>
          <w:p>
            <w:pPr>
              <w:spacing w:after="100" w:line="250" w:lineRule="auto"/>
              <w:keepLines/>
            </w:pPr>
            <w:r>
              <w:rPr>
                <w:lang w:val="es-ES"/>
              </w:rPr>
              <w:t>R03 La combinación de nombre, apellidos, correo y teléfono hace que cada fila identifique directamente a la persona y permite contacto por canales no necesarios para el registro. Apellidos y teléfono carecen de una finalidad demostrada para el backend mínimo, de modo que su recogida aumenta el daño de una filtración sin beneficio claro. LINDDUN: Identifiability, Disclosure, Non-compliance.</w:t>
            </w:r>
          </w:p>
        </w:tc>
        <w:tc>
          <w:tcPr>
            <w:tcW w:w="1000" w:type="dxa"/>
          </w:tcPr>
          <w:p>
            <w:pPr>
              <w:spacing w:after="100" w:line="250" w:lineRule="auto"/>
              <w:keepLines/>
            </w:pPr>
            <w:r>
              <w:rPr>
                <w:lang w:val="es-ES"/>
              </w:rPr>
              <w:t>3</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9 Alto</w:t>
            </w:r>
          </w:p>
        </w:tc>
      </w:tr>
      <w:tr w:rsidR="00857B3B" w:rsidRPr="000959FF" w14:paraId="750F1D96" w14:textId="77777777" w:rsidTr="00857B3B">
        <w:trPr>
          <w:cantSplit/>
        </w:trPr>
        <w:tc>
          <w:tcPr>
            <w:tcW w:w="6600" w:type="dxa"/>
          </w:tcPr>
          <w:p>
            <w:pPr>
              <w:spacing w:after="100" w:line="250" w:lineRule="auto"/>
              <w:keepLines/>
            </w:pPr>
            <w:r>
              <w:rPr>
                <w:lang w:val="es-ES"/>
              </w:rPr>
              <w:t>R04 La combinación de correo, nombre y timestamp permite enlazar el registro de una persona con otra lista de contactos, una solicitud o un evento conocido. La amenaza aumentaría si posteriormente se exportara o combinara el correo con un CRM o una lista de newsletter; no se afirma que existan esas integraciones o que haya newsletter implementada. LINDDUN: Linkability, Identifiability, Disclosure.</w:t>
            </w:r>
          </w:p>
        </w:tc>
        <w:tc>
          <w:tcPr>
            <w:tcW w:w="1000" w:type="dxa"/>
          </w:tcPr>
          <w:p>
            <w:pPr>
              <w:spacing w:after="100" w:line="250" w:lineRule="auto"/>
              <w:keepLines/>
            </w:pPr>
            <w:r>
              <w:rPr>
                <w:lang w:val="es-ES"/>
              </w:rPr>
              <w:t>2</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6 Alto</w:t>
            </w:r>
          </w:p>
        </w:tc>
      </w:tr>
      <w:tr w:rsidR="00857B3B" w:rsidRPr="000959FF" w14:paraId="750F1D96" w14:textId="77777777" w:rsidTr="00857B3B">
        <w:trPr>
          <w:cantSplit/>
        </w:trPr>
        <w:tc>
          <w:tcPr>
            <w:tcW w:w="6600" w:type="dxa"/>
          </w:tcPr>
          <w:p>
            <w:pPr>
              <w:spacing w:after="100" w:line="250" w:lineRule="auto"/>
              <w:keepLines/>
            </w:pPr>
            <w:r>
              <w:rPr>
                <w:lang w:val="es-ES"/>
              </w:rPr>
              <w:t>R05 Si se recogen datos reales sin aviso previo, la persona desconoce la identidad del responsable, las finalidades, la base jurídica, los destinatarios, la conservación y las vías para ejercer derechos. El backend no ofrece ese aviso. LINDDUN: Unawareness, Non-compliance.</w:t>
            </w:r>
          </w:p>
        </w:tc>
        <w:tc>
          <w:tcPr>
            <w:tcW w:w="1000" w:type="dxa"/>
          </w:tcPr>
          <w:p>
            <w:pPr>
              <w:spacing w:after="100" w:line="250" w:lineRule="auto"/>
              <w:keepLines/>
            </w:pPr>
            <w:r>
              <w:rPr>
                <w:lang w:val="es-ES"/>
              </w:rPr>
              <w:t>2</w:t>
            </w:r>
          </w:p>
        </w:tc>
        <w:tc>
          <w:tcPr>
            <w:tcW w:w="1000" w:type="dxa"/>
          </w:tcPr>
          <w:p>
            <w:pPr>
              <w:spacing w:after="100" w:line="250" w:lineRule="auto"/>
              <w:keepLines/>
            </w:pPr>
            <w:r>
              <w:rPr>
                <w:lang w:val="es-ES"/>
              </w:rPr>
              <w:t>2</w:t>
            </w:r>
          </w:p>
        </w:tc>
        <w:tc>
          <w:tcPr>
            <w:tcW w:w="1394" w:type="dxa"/>
          </w:tcPr>
          <w:p>
            <w:pPr>
              <w:spacing w:after="100" w:line="250" w:lineRule="auto"/>
              <w:keepLines/>
            </w:pPr>
            <w:r>
              <w:rPr>
                <w:lang w:val="es-ES"/>
              </w:rPr>
              <w:t>4 Medio</w:t>
            </w:r>
          </w:p>
        </w:tc>
      </w:tr>
      <w:tr w:rsidR="00857B3B" w:rsidRPr="000959FF" w14:paraId="750F1D96" w14:textId="77777777" w:rsidTr="00857B3B">
        <w:trPr>
          <w:cantSplit/>
        </w:trPr>
        <w:tc>
          <w:tcPr>
            <w:tcW w:w="6600" w:type="dxa"/>
          </w:tcPr>
          <w:p>
            <w:pPr>
              <w:spacing w:after="100" w:line="250" w:lineRule="auto"/>
              <w:keepLines/>
            </w:pPr>
            <w:r>
              <w:rPr>
                <w:lang w:val="es-ES"/>
              </w:rPr>
              <w:t>R06 Sin plazo y proceso de borrado definidos, los registros pueden permanecer en la base SQLite más allá de la finalidad. Si se restaura una copia antigua, una eliminación previa podría revertirse y reintroducir los datos; el ciclo de respaldo no está especificado. LINDDUN: Non-compliance, Disclosure, Unawareness.</w:t>
            </w:r>
          </w:p>
        </w:tc>
        <w:tc>
          <w:tcPr>
            <w:tcW w:w="1000" w:type="dxa"/>
          </w:tcPr>
          <w:p>
            <w:pPr>
              <w:spacing w:after="100" w:line="250" w:lineRule="auto"/>
              <w:keepLines/>
            </w:pPr>
            <w:r>
              <w:rPr>
                <w:lang w:val="es-ES"/>
              </w:rPr>
              <w:t>2</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6 Alto</w:t>
            </w:r>
          </w:p>
        </w:tc>
      </w:tr>
      <w:tr w:rsidR="00857B3B" w:rsidRPr="000959FF" w14:paraId="750F1D96" w14:textId="77777777" w:rsidTr="00857B3B">
        <w:trPr>
          <w:cantSplit/>
        </w:trPr>
        <w:tc>
          <w:tcPr>
            <w:tcW w:w="6600" w:type="dxa"/>
          </w:tcPr>
          <w:p>
            <w:pPr>
              <w:spacing w:after="100" w:line="250" w:lineRule="auto"/>
              <w:keepLines/>
            </w:pPr>
            <w:r>
              <w:rPr>
                <w:lang w:val="es-ES"/>
              </w:rPr>
              <w:t>R07 Si el mismo correo capturado para contacto o acceso al servicio se reutiliza para newsletter sin una finalidad separada y una base válida, la persona puede recibir marketing que no esperaba y perder control sobre el uso. El backend descrito no implementa envío de newsletter ni una lista de suscripción; el riesgo es de ampliación futura de finalidad. LINDDUN: Unawareness, Non-compliance, Linkability.</w:t>
            </w:r>
          </w:p>
        </w:tc>
        <w:tc>
          <w:tcPr>
            <w:tcW w:w="1000" w:type="dxa"/>
          </w:tcPr>
          <w:p>
            <w:pPr>
              <w:spacing w:after="100" w:line="250" w:lineRule="auto"/>
              <w:keepLines/>
            </w:pPr>
            <w:r>
              <w:rPr>
                <w:lang w:val="es-ES"/>
              </w:rPr>
              <w:t>2</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6 Alto</w:t>
            </w:r>
          </w:p>
        </w:tc>
      </w:tr>
      <w:tr w:rsidR="00857B3B" w:rsidRPr="000959FF" w14:paraId="750F1D96" w14:textId="77777777" w:rsidTr="00857B3B">
        <w:trPr>
          <w:cantSplit/>
        </w:trPr>
        <w:tc>
          <w:tcPr>
            <w:tcW w:w="6600" w:type="dxa"/>
          </w:tcPr>
          <w:p>
            <w:pPr>
              <w:spacing w:after="100" w:line="250" w:lineRule="auto"/>
              <w:keepLines/>
            </w:pPr>
            <w:r>
              <w:rPr>
                <w:lang w:val="es-ES"/>
              </w:rPr>
              <w:t>R08 Un cliente o proceso sin autenticación que alcance GET /registros puede confirmar que una persona está registrada con su correo o nombre. En la ejecución directa actual, el servicio escucha solo en 127.0.0.1 y la demo contiene datos ficticios; el escenario de revelación a clientes externos depende de un cambio futuro de despliegue. LINDDUN: Detectability, Identifiability, Disclosure.</w:t>
            </w:r>
          </w:p>
        </w:tc>
        <w:tc>
          <w:tcPr>
            <w:tcW w:w="1000" w:type="dxa"/>
          </w:tcPr>
          <w:p>
            <w:pPr>
              <w:spacing w:after="100" w:line="250" w:lineRule="auto"/>
              <w:keepLines/>
            </w:pPr>
            <w:r>
              <w:rPr>
                <w:lang w:val="es-ES"/>
              </w:rPr>
              <w:t>1</w:t>
            </w:r>
          </w:p>
        </w:tc>
        <w:tc>
          <w:tcPr>
            <w:tcW w:w="1000" w:type="dxa"/>
          </w:tcPr>
          <w:p>
            <w:pPr>
              <w:spacing w:after="100" w:line="250" w:lineRule="auto"/>
              <w:keepLines/>
            </w:pPr>
            <w:r>
              <w:rPr>
                <w:lang w:val="es-ES"/>
              </w:rPr>
              <w:t>2</w:t>
            </w:r>
          </w:p>
        </w:tc>
        <w:tc>
          <w:tcPr>
            <w:tcW w:w="1394" w:type="dxa"/>
          </w:tcPr>
          <w:p>
            <w:pPr>
              <w:spacing w:after="100" w:line="250" w:lineRule="auto"/>
              <w:keepLines/>
            </w:pPr>
            <w:r>
              <w:rPr>
                <w:lang w:val="es-ES"/>
              </w:rPr>
              <w:t>2 Bajo</w:t>
            </w:r>
          </w:p>
        </w:tc>
      </w:tr>
      <w:tr w:rsidR="00857B3B" w:rsidRPr="000959FF" w14:paraId="750F1D96" w14:textId="77777777" w:rsidTr="00857B3B">
        <w:trPr>
          <w:cantSplit/>
        </w:trPr>
        <w:tc>
          <w:tcPr>
            <w:tcW w:w="6600" w:type="dxa"/>
          </w:tcPr>
          <w:p>
            <w:pPr>
              <w:spacing w:after="100" w:line="250" w:lineRule="auto"/>
              <w:keepLines/>
            </w:pPr>
            <w:r>
              <w:rPr>
                <w:lang w:val="es-ES"/>
              </w:rPr>
              <w:t>R09 El alcance solo especifica POST y GET, y GET es global; no se describe una vía para que una persona consulte su propio registro, rectifique correo/nombre o solicite borrado. Si se usan datos reales, la persona puede quedar sin forma clara de intervenir sobre ellos. LINDDUN: Unawareness, Non-compliance.</w:t>
            </w:r>
          </w:p>
        </w:tc>
        <w:tc>
          <w:tcPr>
            <w:tcW w:w="1000" w:type="dxa"/>
          </w:tcPr>
          <w:p>
            <w:pPr>
              <w:spacing w:after="100" w:line="250" w:lineRule="auto"/>
              <w:keepLines/>
            </w:pPr>
            <w:r>
              <w:rPr>
                <w:lang w:val="es-ES"/>
              </w:rPr>
              <w:t>2</w:t>
            </w:r>
          </w:p>
        </w:tc>
        <w:tc>
          <w:tcPr>
            <w:tcW w:w="1000" w:type="dxa"/>
          </w:tcPr>
          <w:p>
            <w:pPr>
              <w:spacing w:after="100" w:line="250" w:lineRule="auto"/>
              <w:keepLines/>
            </w:pPr>
            <w:r>
              <w:rPr>
                <w:lang w:val="es-ES"/>
              </w:rPr>
              <w:t>2</w:t>
            </w:r>
          </w:p>
        </w:tc>
        <w:tc>
          <w:tcPr>
            <w:tcW w:w="1394" w:type="dxa"/>
          </w:tcPr>
          <w:p>
            <w:pPr>
              <w:spacing w:after="100" w:line="250" w:lineRule="auto"/>
              <w:keepLines/>
            </w:pPr>
            <w:r>
              <w:rPr>
                <w:lang w:val="es-ES"/>
              </w:rPr>
              <w:t>4 Medio</w:t>
            </w:r>
          </w:p>
        </w:tc>
      </w:tr>
      <w:tr w:rsidR="00857B3B" w:rsidRPr="000959FF" w14:paraId="750F1D96" w14:textId="77777777" w:rsidTr="00857B3B">
        <w:trPr>
          <w:cantSplit/>
        </w:trPr>
        <w:tc>
          <w:tcPr>
            <w:tcW w:w="6600" w:type="dxa"/>
          </w:tcPr>
          <w:p>
            <w:pPr>
              <w:spacing w:after="100" w:line="250" w:lineRule="auto"/>
              <w:keepLines/>
            </w:pPr>
            <w:r>
              <w:rPr>
                <w:lang w:val="es-ES"/>
              </w:rPr>
              <w:t>R10 Si la aplicación se despliega detrás de HTTP sin TLS, el correo, teléfono y demás campos enviados por POST o devueltos por GET podrían observarse o alterarse durante el tránsito. El ejercicio no especifica protocolo ni entorno de despliegue; la condición debe verificarse antes de exponer el servicio. LINDDUN: Disclosure, Identifiability, Non-compliance.</w:t>
            </w:r>
          </w:p>
        </w:tc>
        <w:tc>
          <w:tcPr>
            <w:tcW w:w="1000" w:type="dxa"/>
          </w:tcPr>
          <w:p>
            <w:pPr>
              <w:spacing w:after="100" w:line="250" w:lineRule="auto"/>
              <w:keepLines/>
            </w:pPr>
            <w:r>
              <w:rPr>
                <w:lang w:val="es-ES"/>
              </w:rPr>
              <w:t>2</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6 Alto</w:t>
            </w:r>
          </w:p>
        </w:tc>
      </w:tr>
      <w:tr w:rsidR="00857B3B" w:rsidRPr="000959FF" w14:paraId="750F1D96" w14:textId="77777777" w:rsidTr="00857B3B">
        <w:trPr>
          <w:cantSplit/>
        </w:trPr>
        <w:tc>
          <w:tcPr>
            <w:tcW w:w="6600" w:type="dxa"/>
          </w:tcPr>
          <w:p>
            <w:pPr>
              <w:spacing w:after="100" w:line="250" w:lineRule="auto"/>
              <w:keepLines/>
            </w:pPr>
            <w:r>
              <w:rPr>
                <w:lang w:val="es-ES"/>
              </w:rPr>
              <w:t>R11 El proveedor, país de alojamiento, subencargados y ubicación de respaldos no están identificados. Si se contrata un tercero sin determinar sus instrucciones, garantías y obligaciones, o si el flujo conlleva una transferencia internacional sin evaluar sus condiciones, el controlador podría perder control efectivo sobre acceso, conservación o derechos. LINDDUN: Non-compliance, Disclosure, Unawareness.</w:t>
            </w:r>
          </w:p>
        </w:tc>
        <w:tc>
          <w:tcPr>
            <w:tcW w:w="1000" w:type="dxa"/>
          </w:tcPr>
          <w:p>
            <w:pPr>
              <w:spacing w:after="100" w:line="250" w:lineRule="auto"/>
              <w:keepLines/>
            </w:pPr>
            <w:r>
              <w:rPr>
                <w:lang w:val="es-ES"/>
              </w:rPr>
              <w:t>2</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6 Alto</w:t>
            </w:r>
          </w:p>
        </w:tc>
      </w:tr>
      <w:tr w:rsidR="00857B3B" w:rsidRPr="000959FF" w14:paraId="750F1D96" w14:textId="77777777" w:rsidTr="00857B3B">
        <w:trPr>
          <w:cantSplit/>
        </w:trPr>
        <w:tc>
          <w:tcPr>
            <w:tcW w:w="6600" w:type="dxa"/>
          </w:tcPr>
          <w:p>
            <w:pPr>
              <w:spacing w:after="100" w:line="250" w:lineRule="auto"/>
              <w:keepLines/>
            </w:pPr>
            <w:r>
              <w:rPr>
                <w:lang w:val="es-ES"/>
              </w:rPr>
              <w:t>R12 POST /registro (alias /registros) no requiere autenticación y acepta altas repetidas; el backend valida JSON, campos obligatorios y tipo de teléfono, pero no especifica límites de longitud, frecuencia ni regla de duplicados. En la configuración directa actual solo escucha en localhost y la demo usa datos ficticios. Si la ruta se expusiera durante un uso real, un cliente podría insertar registros basura o duplicados y aumentar almacenamiento, trabajo de soporte y exposición de información. LINDDUN: Non-compliance, Disclosure.</w:t>
            </w:r>
          </w:p>
        </w:tc>
        <w:tc>
          <w:tcPr>
            <w:tcW w:w="1000" w:type="dxa"/>
          </w:tcPr>
          <w:p>
            <w:pPr>
              <w:spacing w:after="100" w:line="250" w:lineRule="auto"/>
              <w:keepLines/>
            </w:pPr>
            <w:r>
              <w:rPr>
                <w:lang w:val="es-ES"/>
              </w:rPr>
              <w:t>1</w:t>
            </w:r>
          </w:p>
        </w:tc>
        <w:tc>
          <w:tcPr>
            <w:tcW w:w="1000" w:type="dxa"/>
          </w:tcPr>
          <w:p>
            <w:pPr>
              <w:spacing w:after="100" w:line="250" w:lineRule="auto"/>
              <w:keepLines/>
            </w:pPr>
            <w:r>
              <w:rPr>
                <w:lang w:val="es-ES"/>
              </w:rPr>
              <w:t>3</w:t>
            </w:r>
          </w:p>
        </w:tc>
        <w:tc>
          <w:tcPr>
            <w:tcW w:w="1394" w:type="dxa"/>
          </w:tcPr>
          <w:p>
            <w:pPr>
              <w:spacing w:after="100" w:line="250" w:lineRule="auto"/>
              <w:keepLines/>
            </w:pPr>
            <w:r>
              <w:rPr>
                <w:lang w:val="es-ES"/>
              </w:rPr>
              <w:t>3 Medio</w:t>
            </w:r>
          </w:p>
        </w:tc>
      </w:tr>
    </w:tbl>
    <w:p w14:paraId="761ECE26" w14:textId="6682BA88" w:rsidR="00F27089" w:rsidRPr="000959FF" w:rsidRDefault="00F27089" w:rsidP="000959FF">
      <w:pPr>
        <w:pStyle w:val="Heading1"/>
        <w:rPr>
          <w:lang w:eastAsia="en-GB"/>
        </w:rPr>
        <w:keepLines/>
      </w:pPr>
      <w:r>
        <w:rPr>
          <w:lang w:val="es-ES"/>
        </w:rPr>
        <w:t>Paso 6 Medidas para reducir los riesgos</w:t>
      </w:r>
    </w:p>
    <w:tbl>
      <w:tblPr>
        <w:tblStyle w:val="TableGrid"/>
        <w:tblW w:w="0" w:type="auto"/>
        <w:tblLook w:val="04A0" w:firstRow="1" w:lastRow="0" w:firstColumn="1" w:lastColumn="0" w:noHBand="0" w:noVBand="1"/>
      </w:tblPr>
      <w:tblGrid>
        <w:gridCol w:w="900"/>
        <w:gridCol w:w="2400"/>
        <w:gridCol w:w="2000"/>
        <w:gridCol w:w="2600"/>
        <w:gridCol w:w="2094"/>
      </w:tblGrid>
      <w:tr w:rsidR="00F27089" w:rsidRPr="000959FF" w14:paraId="6202EF14" w14:textId="77777777" w:rsidTr="00857B3B">
        <w:tc>
          <w:tcPr>
            <w:tcW w:w="9994" w:type="dxa"/>
            <w:gridSpan w:val="5"/>
          </w:tcPr>
          <w:p>
            <w:pPr>
              <w:spacing w:after="100" w:line="250" w:lineRule="auto"/>
              <w:keepNext/>
              <w:keepLines/>
            </w:pPr>
            <w:r>
              <w:rPr>
                <w:lang w:val="es-ES"/>
                <w:b/>
              </w:rPr>
              <w:t>Vinculación entre riesgos medidas y residual proyectado</w:t>
            </w:r>
          </w:p>
        </w:tc>
        <w:trPr>
          <w:cantSplit/>
        </w:trPr>
      </w:tr>
      <w:tr w:rsidR="00A63285" w:rsidRPr="000959FF" w14:paraId="797199DE" w14:textId="77777777" w:rsidTr="00857B3B">
        <w:tc>
          <w:tcPr>
            <w:tcW w:w="900" w:type="dxa"/>
            <w:shd w:val="clear" w:color="auto" w:fill="FFFFFF" w:themeFill="background1"/>
          </w:tcPr>
          <w:p>
            <w:pPr>
              <w:spacing w:after="100" w:line="250" w:lineRule="auto"/>
              <w:keepNext/>
              <w:keepLines/>
            </w:pPr>
            <w:r>
              <w:rPr>
                <w:lang w:val="es-ES"/>
                <w:b/>
              </w:rPr>
              <w:t>Riesgo</w:t>
            </w:r>
          </w:p>
        </w:tc>
        <w:tc>
          <w:tcPr>
            <w:tcW w:w="2400" w:type="dxa"/>
            <w:shd w:val="clear" w:color="auto" w:fill="FFFFFF" w:themeFill="background1"/>
          </w:tcPr>
          <w:p>
            <w:pPr>
              <w:spacing w:after="100" w:line="250" w:lineRule="auto"/>
              <w:keepNext/>
              <w:keepLines/>
            </w:pPr>
            <w:r>
              <w:rPr>
                <w:lang w:val="es-ES"/>
                <w:b/>
              </w:rPr>
              <w:t>Restricciones propuestas</w:t>
            </w:r>
          </w:p>
        </w:tc>
        <w:tc>
          <w:tcPr>
            <w:tcW w:w="2000" w:type="dxa"/>
            <w:shd w:val="clear" w:color="auto" w:fill="FFFFFF" w:themeFill="background1"/>
          </w:tcPr>
          <w:p>
            <w:pPr>
              <w:spacing w:after="100" w:line="250" w:lineRule="auto"/>
              <w:keepNext/>
              <w:keepLines/>
            </w:pPr>
            <w:r>
              <w:rPr>
                <w:lang w:val="es-ES"/>
                <w:b/>
              </w:rPr>
              <w:t>Efecto previsto</w:t>
            </w:r>
          </w:p>
        </w:tc>
        <w:tc>
          <w:tcPr>
            <w:tcW w:w="2600" w:type="dxa"/>
            <w:shd w:val="clear" w:color="auto" w:fill="FFFFFF" w:themeFill="background1"/>
          </w:tcPr>
          <w:p>
            <w:pPr>
              <w:spacing w:after="100" w:line="250" w:lineRule="auto"/>
              <w:keepNext/>
              <w:keepLines/>
            </w:pPr>
            <w:r>
              <w:rPr>
                <w:lang w:val="es-ES"/>
                <w:b/>
              </w:rPr>
              <w:t>Residual proyectado</w:t>
            </w:r>
          </w:p>
        </w:tc>
        <w:tc>
          <w:tcPr>
            <w:tcW w:w="2094" w:type="dxa"/>
            <w:shd w:val="clear" w:color="auto" w:fill="FFFFFF" w:themeFill="background1"/>
          </w:tcPr>
          <w:p>
            <w:pPr>
              <w:spacing w:after="100" w:line="250" w:lineRule="auto"/>
              <w:keepNext/>
              <w:keepLines/>
            </w:pPr>
            <w:r>
              <w:rPr>
                <w:lang w:val="es-ES"/>
                <w:b/>
              </w:rPr>
              <w:t>Aprobación</w:t>
            </w:r>
          </w:p>
        </w:tc>
        <w:trPr>
          <w:cantSplit/>
          <w:tblHeader/>
        </w:trPr>
      </w:tr>
      <w:tr w:rsidR="00A63285" w:rsidRPr="000959FF" w14:paraId="73E06240" w14:textId="77777777" w:rsidTr="00857B3B">
        <w:trPr>
          <w:cantSplit/>
        </w:trPr>
        <w:tc>
          <w:tcPr>
            <w:tcW w:w="900" w:type="dxa"/>
          </w:tcPr>
          <w:p>
            <w:pPr>
              <w:spacing w:after="100" w:line="250" w:lineRule="auto"/>
              <w:keepLines/>
            </w:pPr>
            <w:r>
              <w:rPr>
                <w:lang w:val="es-ES"/>
              </w:rPr>
              <w:t>R01</w:t>
            </w:r>
          </w:p>
        </w:tc>
        <w:tc>
          <w:tcPr>
            <w:tcW w:w="2400" w:type="dxa"/>
          </w:tcPr>
          <w:p>
            <w:pPr>
              <w:spacing w:after="100" w:line="250" w:lineRule="auto"/>
              <w:keepLines/>
            </w:pPr>
            <w:r>
              <w:rPr>
                <w:lang w:val="es-ES"/>
              </w:rPr>
              <w:t>C01</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3 = 3 Medio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R02</w:t>
            </w:r>
          </w:p>
        </w:tc>
        <w:tc>
          <w:tcPr>
            <w:tcW w:w="2400" w:type="dxa"/>
          </w:tcPr>
          <w:p>
            <w:pPr>
              <w:spacing w:after="100" w:line="250" w:lineRule="auto"/>
              <w:keepLines/>
            </w:pPr>
            <w:r>
              <w:rPr>
                <w:lang w:val="es-ES"/>
              </w:rPr>
              <w:t>C05, C06</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3 = 3 Medio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R03</w:t>
            </w:r>
          </w:p>
        </w:tc>
        <w:tc>
          <w:tcPr>
            <w:tcW w:w="2400" w:type="dxa"/>
          </w:tcPr>
          <w:p>
            <w:pPr>
              <w:spacing w:after="100" w:line="250" w:lineRule="auto"/>
              <w:keepLines/>
            </w:pPr>
            <w:r>
              <w:rPr>
                <w:lang w:val="es-ES"/>
              </w:rPr>
              <w:t>C02</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2 = 2 Bajo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R04</w:t>
            </w:r>
          </w:p>
        </w:tc>
        <w:tc>
          <w:tcPr>
            <w:tcW w:w="2400" w:type="dxa"/>
          </w:tcPr>
          <w:p>
            <w:pPr>
              <w:spacing w:after="100" w:line="250" w:lineRule="auto"/>
              <w:keepLines/>
            </w:pPr>
            <w:r>
              <w:rPr>
                <w:lang w:val="es-ES"/>
              </w:rPr>
              <w:t>C02, C07</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2 = 2 Bajo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R05</w:t>
            </w:r>
          </w:p>
        </w:tc>
        <w:tc>
          <w:tcPr>
            <w:tcW w:w="2400" w:type="dxa"/>
          </w:tcPr>
          <w:p>
            <w:pPr>
              <w:spacing w:after="100" w:line="250" w:lineRule="auto"/>
              <w:keepLines/>
            </w:pPr>
            <w:r>
              <w:rPr>
                <w:lang w:val="es-ES"/>
              </w:rPr>
              <w:t>C03, C08</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2 = 2 Bajo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R06</w:t>
            </w:r>
          </w:p>
        </w:tc>
        <w:tc>
          <w:tcPr>
            <w:tcW w:w="2400" w:type="dxa"/>
          </w:tcPr>
          <w:p>
            <w:pPr>
              <w:spacing w:after="100" w:line="250" w:lineRule="auto"/>
              <w:keepLines/>
            </w:pPr>
            <w:r>
              <w:rPr>
                <w:lang w:val="es-ES"/>
              </w:rPr>
              <w:t>C04</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2 = 2 Bajo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R07</w:t>
            </w:r>
          </w:p>
        </w:tc>
        <w:tc>
          <w:tcPr>
            <w:tcW w:w="2400" w:type="dxa"/>
          </w:tcPr>
          <w:p>
            <w:pPr>
              <w:spacing w:after="100" w:line="250" w:lineRule="auto"/>
              <w:keepLines/>
            </w:pPr>
            <w:r>
              <w:rPr>
                <w:lang w:val="es-ES"/>
              </w:rPr>
              <w:t>C03, C07</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1 = 1 Bajo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R08</w:t>
            </w:r>
          </w:p>
        </w:tc>
        <w:tc>
          <w:tcPr>
            <w:tcW w:w="2400" w:type="dxa"/>
          </w:tcPr>
          <w:p>
            <w:pPr>
              <w:spacing w:after="100" w:line="250" w:lineRule="auto"/>
              <w:keepLines/>
            </w:pPr>
            <w:r>
              <w:rPr>
                <w:lang w:val="es-ES"/>
              </w:rPr>
              <w:t>C01</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2 = 2 Bajo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R09</w:t>
            </w:r>
          </w:p>
        </w:tc>
        <w:tc>
          <w:tcPr>
            <w:tcW w:w="2400" w:type="dxa"/>
          </w:tcPr>
          <w:p>
            <w:pPr>
              <w:spacing w:after="100" w:line="250" w:lineRule="auto"/>
              <w:keepLines/>
            </w:pPr>
            <w:r>
              <w:rPr>
                <w:lang w:val="es-ES"/>
              </w:rPr>
              <w:t>C08, C04</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2 = 2 Bajo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R10</w:t>
            </w:r>
          </w:p>
        </w:tc>
        <w:tc>
          <w:tcPr>
            <w:tcW w:w="2400" w:type="dxa"/>
          </w:tcPr>
          <w:p>
            <w:pPr>
              <w:spacing w:after="100" w:line="250" w:lineRule="auto"/>
              <w:keepLines/>
            </w:pPr>
            <w:r>
              <w:rPr>
                <w:lang w:val="es-ES"/>
              </w:rPr>
              <w:t>C09</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3 = 3 Medio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R11</w:t>
            </w:r>
          </w:p>
        </w:tc>
        <w:tc>
          <w:tcPr>
            <w:tcW w:w="2400" w:type="dxa"/>
          </w:tcPr>
          <w:p>
            <w:pPr>
              <w:spacing w:after="100" w:line="250" w:lineRule="auto"/>
              <w:keepLines/>
            </w:pPr>
            <w:r>
              <w:rPr>
                <w:lang w:val="es-ES"/>
              </w:rPr>
              <w:t>C10</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2 = 2 Bajo</w:t>
            </w:r>
          </w:p>
        </w:tc>
        <w:tc>
          <w:tcPr>
            <w:tcW w:w="2094" w:type="dxa"/>
          </w:tcPr>
          <w:p>
            <w:pPr>
              <w:spacing w:after="100" w:line="250" w:lineRule="auto"/>
              <w:keepLines/>
            </w:pPr>
            <w:r>
              <w:rPr>
                <w:lang w:val="es-ES"/>
              </w:rPr>
              <w:t>Propuesta</w:t>
            </w:r>
          </w:p>
        </w:tc>
      </w:tr>
      <w:tr w:rsidR="00A63285" w:rsidRPr="000959FF" w14:paraId="73E06240" w14:textId="77777777" w:rsidTr="00857B3B">
        <w:trPr>
          <w:cantSplit/>
        </w:trPr>
        <w:tc>
          <w:tcPr>
            <w:tcW w:w="900" w:type="dxa"/>
          </w:tcPr>
          <w:p>
            <w:pPr>
              <w:spacing w:after="100" w:line="250" w:lineRule="auto"/>
              <w:keepLines/>
            </w:pPr>
            <w:r>
              <w:rPr>
                <w:lang w:val="es-ES"/>
              </w:rPr>
              <w:t>R12</w:t>
            </w:r>
          </w:p>
        </w:tc>
        <w:tc>
          <w:tcPr>
            <w:tcW w:w="2400" w:type="dxa"/>
          </w:tcPr>
          <w:p>
            <w:pPr>
              <w:spacing w:after="100" w:line="250" w:lineRule="auto"/>
              <w:keepLines/>
            </w:pPr>
            <w:r>
              <w:rPr>
                <w:lang w:val="es-ES"/>
              </w:rPr>
              <w:t>C11</w:t>
            </w:r>
          </w:p>
        </w:tc>
        <w:tc>
          <w:tcPr>
            <w:tcW w:w="2000" w:type="dxa"/>
          </w:tcPr>
          <w:p>
            <w:pPr>
              <w:spacing w:after="100" w:line="250" w:lineRule="auto"/>
              <w:keepLines/>
            </w:pPr>
            <w:r>
              <w:rPr>
                <w:lang w:val="es-ES"/>
              </w:rPr>
              <w:t>Reducción prevista</w:t>
            </w:r>
          </w:p>
        </w:tc>
        <w:tc>
          <w:tcPr>
            <w:tcW w:w="2600" w:type="dxa"/>
          </w:tcPr>
          <w:p>
            <w:pPr>
              <w:spacing w:after="100" w:line="250" w:lineRule="auto"/>
              <w:keepLines/>
            </w:pPr>
            <w:r>
              <w:rPr>
                <w:lang w:val="es-ES"/>
              </w:rPr>
              <w:t>1 × 2 = 2 Bajo</w:t>
            </w:r>
          </w:p>
        </w:tc>
        <w:tc>
          <w:tcPr>
            <w:tcW w:w="2094" w:type="dxa"/>
          </w:tcPr>
          <w:p>
            <w:pPr>
              <w:spacing w:after="100" w:line="250" w:lineRule="auto"/>
              <w:keepLines/>
            </w:pPr>
            <w:r>
              <w:rPr>
                <w:lang w:val="es-ES"/>
              </w:rPr>
              <w:t>Propuesta</w:t>
            </w:r>
          </w:p>
        </w:tc>
      </w:tr>
    </w:tbl>
    <w:p>
      <w:pPr>
        <w:spacing w:after="100" w:line="250" w:lineRule="auto"/>
        <w:keepLines/>
      </w:pPr>
      <w:r>
        <w:rPr>
          <w:lang w:val="es-ES"/>
        </w:rPr>
        <w:t>C01–C11 son medidas de DPIA propuestas para cerrar riesgos; no se consideran aprobadas ni plenamente verificadas. Se documentan por separado los controles de configuración ya presentes: consultas parametrizadas, binding local, exclusión de lab.db y demo sintética temporal. Si cambia la arquitectura, propósito, conjunto de datos o alojamiento, actualizar medidas y puntuaciones antes de recoger datos reales.</w:t>
      </w:r>
    </w:p>
    <w:p>
      <w:pPr>
        <w:spacing w:after="100" w:line="250" w:lineRule="auto"/>
        <w:keepLines/>
      </w:pPr>
      <w:r>
        <w:rPr>
          <w:lang w:val="es-ES"/>
        </w:rPr>
        <w:t>El residual indicado exige implementación y pruebas. Como esas medidas siguen propuestas, el nivel del diseño sin cambios continúa siendo el del paso 5. No hay aceptación real ni autorización de lanzamiento.</w:t>
      </w:r>
    </w:p>
    <w:p>
      <w:pPr>
        <w:spacing w:after="100" w:line="250" w:lineRule="auto"/>
        <w:pStyle w:val="Heading2"/>
        <w:keepNext/>
        <w:keepLines/>
      </w:pPr>
      <w:r>
        <w:rPr>
          <w:lang w:val="es-ES"/>
          <w:b/>
        </w:rPr>
        <w:t>C01 Cerrar y limitar GET /registros</w:t>
      </w:r>
    </w:p>
    <w:p>
      <w:pPr>
        <w:spacing w:after="100" w:line="250" w:lineRule="auto"/>
        <w:keepLines/>
      </w:pPr>
      <w:r>
        <w:rPr>
          <w:lang w:val="es-ES"/>
        </w:rPr>
        <w:t>Riesgos: R01, R08. GET /registros no debe devolver la lista a usuarios anónimos. Si la función administrativa de listado es necesaria, exigir autenticación y autorización explícita de rol; limitar campos y filas a la tarea autorizada. No exponer correo, teléfono, apellidos o id innecesarios.</w:t>
      </w:r>
    </w:p>
    <w:p>
      <w:pPr>
        <w:spacing w:after="100" w:line="250" w:lineRule="auto"/>
        <w:keepLines/>
      </w:pPr>
      <w:r>
        <w:rPr>
          <w:lang w:val="es-ES"/>
        </w:rPr>
        <w:t>Criterio de aceptación: Prueba reproducible: petición sin credenciales obtiene 401/403 y no contiene registros; cuenta sin rol no puede listar; rol autorizado solo obtiene los campos mínimos previstos. Registrar resultado y versión probada.</w:t>
      </w:r>
    </w:p>
    <w:p>
      <w:pPr>
        <w:spacing w:after="100" w:line="250" w:lineRule="auto"/>
        <w:keepLines/>
      </w:pPr>
      <w:r>
        <w:rPr>
          <w:lang w:val="es-ES"/>
        </w:rPr>
        <w:t>Responsable propuesto: Responsable de backend. Plazo: Antes de cualquier despliegue accesible a terceros o carga del primer dato real.</w:t>
      </w:r>
    </w:p>
    <w:p>
      <w:pPr>
        <w:spacing w:after="100" w:line="250" w:lineRule="auto"/>
        <w:keepLines/>
      </w:pPr>
      <w:r>
        <w:rPr>
          <w:lang w:val="es-ES"/>
        </w:rPr>
        <w:t>Estado: Propuesta; no implementada ni verificada.</w:t>
      </w:r>
    </w:p>
    <w:p>
      <w:pPr>
        <w:spacing w:after="100" w:line="250" w:lineRule="auto"/>
        <w:pStyle w:val="Heading2"/>
        <w:keepNext/>
        <w:keepLines/>
      </w:pPr>
      <w:r>
        <w:rPr>
          <w:lang w:val="es-ES"/>
          <w:b/>
        </w:rPr>
        <w:t>C02 Retirar apellidos y teléfono del mínimo</w:t>
      </w:r>
    </w:p>
    <w:p>
      <w:pPr>
        <w:spacing w:after="100" w:line="250" w:lineRule="auto"/>
        <w:keepLines/>
      </w:pPr>
      <w:r>
        <w:rPr>
          <w:lang w:val="es-ES"/>
        </w:rPr>
        <w:t>Riesgos: R03, R04. Eliminar apellidos y teléfono de la tabla y de la validación/serialización de la API salvo que el controlador documente una finalidad necesaria. No guardar datos antiguos de esos campos; actualizar los datos de demostración para no sugerir que son necesarios.</w:t>
      </w:r>
    </w:p>
    <w:p>
      <w:pPr>
        <w:spacing w:after="100" w:line="250" w:lineRule="auto"/>
        <w:keepLines/>
      </w:pPr>
      <w:r>
        <w:rPr>
          <w:lang w:val="es-ES"/>
        </w:rPr>
        <w:t>Criterio de aceptación: Inspeccionar esquema SQLite, código de POST/GET y fixtures; confirmar que no existen columnas/campos ni respuestas con apellidos o teléfono y probar que el endpoint rechaza o ignora esos atributos. Si hubo filas reales, evidenciar migración y borrado de esos valores.</w:t>
      </w:r>
    </w:p>
    <w:p>
      <w:pPr>
        <w:spacing w:after="100" w:line="250" w:lineRule="auto"/>
        <w:keepLines/>
      </w:pPr>
      <w:r>
        <w:rPr>
          <w:lang w:val="es-ES"/>
        </w:rPr>
        <w:t>Responsable propuesto: Responsable de backend y responsable del producto. Plazo: Antes de cualquier dato real.</w:t>
      </w:r>
    </w:p>
    <w:p>
      <w:pPr>
        <w:spacing w:after="100" w:line="250" w:lineRule="auto"/>
        <w:keepLines/>
      </w:pPr>
      <w:r>
        <w:rPr>
          <w:lang w:val="es-ES"/>
        </w:rPr>
        <w:t>Estado: Propuesta; no implementada ni verificada.</w:t>
      </w:r>
    </w:p>
    <w:p>
      <w:pPr>
        <w:spacing w:after="100" w:line="250" w:lineRule="auto"/>
        <w:pStyle w:val="Heading2"/>
        <w:keepNext/>
        <w:keepLines/>
      </w:pPr>
      <w:r>
        <w:rPr>
          <w:lang w:val="es-ES"/>
          <w:b/>
        </w:rPr>
        <w:t>C03 Documentar finalidades, base jurídica y aviso</w:t>
      </w:r>
    </w:p>
    <w:p>
      <w:pPr>
        <w:spacing w:after="100" w:line="250" w:lineRule="auto"/>
        <w:keepLines/>
      </w:pPr>
      <w:r>
        <w:rPr>
          <w:lang w:val="es-ES"/>
        </w:rPr>
        <w:t>Riesgos: R05, R07. Antes del primer POST real, el controlador debe fijar el propósito exacto de servicio y su base aplicable, completar su identidad/contacto y mostrar aviso en el punto de recogida. El uso para newsletter debe permanecer desactivado; si se incorpora, debe tener finalidad y elección opcional separadas, registro de la evidencia de consentimiento cuando esa sea la base, y retirada que detenga envíos.</w:t>
      </w:r>
    </w:p>
    <w:p>
      <w:pPr>
        <w:spacing w:after="100" w:line="250" w:lineRule="auto"/>
        <w:keepLines/>
      </w:pPr>
      <w:r>
        <w:rPr>
          <w:lang w:val="es-ES"/>
        </w:rPr>
        <w:t>Criterio de aceptación: Revisión aprobada del aviso contra el artículo 13 cuando aplique; recorrido de alta demuestra que se presenta antes de guardar; prueba de newsletter demuestra que ninguna suscripción ocurre por defecto y que retirar consentimiento impide futuros envíos. Verificar que no existe código de envío en el alcance actual antes de afirmar que la función está desactivada. Si aplica la Ley peruana 29733, contrastar también el art. 18: aviso previo con finalidad, destinatarios, existencia del banco, identidad y domicilio del responsable y encargado, obligatoriedad y consecuencias de no facilitar cada dato, transferencias, conservación y canales de derechos. Registrar norma aplicable y evidencias de cada elemento.</w:t>
      </w:r>
    </w:p>
    <w:p>
      <w:pPr>
        <w:spacing w:after="100" w:line="250" w:lineRule="auto"/>
        <w:keepLines/>
      </w:pPr>
      <w:r>
        <w:rPr>
          <w:lang w:val="es-ES"/>
        </w:rPr>
        <w:t>Responsable propuesto: Controlador con asesoría de privacidad/DPO si existe; implementación a cargo de backend/producto. Plazo: Antes de recoger datos reales; newsletter solo antes de habilitar esa función.</w:t>
      </w:r>
    </w:p>
    <w:p>
      <w:pPr>
        <w:spacing w:after="100" w:line="250" w:lineRule="auto"/>
        <w:keepLines/>
      </w:pPr>
      <w:r>
        <w:rPr>
          <w:lang w:val="es-ES"/>
        </w:rPr>
        <w:t>Estado: Propuesta; no implementada ni aprobada.</w:t>
      </w:r>
    </w:p>
    <w:p>
      <w:pPr>
        <w:spacing w:after="100" w:line="250" w:lineRule="auto"/>
        <w:pStyle w:val="Heading2"/>
        <w:keepNext/>
        <w:keepLines/>
      </w:pPr>
      <w:r>
        <w:rPr>
          <w:lang w:val="es-ES"/>
          <w:b/>
        </w:rPr>
        <w:t>C04 Definir retención y borrado incluido el ciclo de copias</w:t>
      </w:r>
    </w:p>
    <w:p>
      <w:pPr>
        <w:spacing w:after="100" w:line="250" w:lineRule="auto"/>
        <w:keepLines/>
      </w:pPr>
      <w:r>
        <w:rPr>
          <w:lang w:val="es-ES"/>
        </w:rPr>
        <w:t>Riesgos: R06, R09. Aprobar criterios para registros activos e inactivos; validar la propuesta de paso 4; borrar o anonimizar al vencer el plazo. Definir vencimiento de copias, borrar en el plazo aprobado y reaplicar eliminaciones después de restauraciones.</w:t>
      </w:r>
    </w:p>
    <w:p>
      <w:pPr>
        <w:spacing w:after="100" w:line="250" w:lineRule="auto"/>
        <w:keepLines/>
      </w:pPr>
      <w:r>
        <w:rPr>
          <w:lang w:val="es-ES"/>
        </w:rPr>
        <w:t>Criterio de aceptación: Con registro sintético vencido, ejecutar el mecanismo y comprobar su ausencia en la base activa, copias vencidas y salida GET; restaurar una copia de prueba y confirmar que el registro marcado como borrado no reaparece. Conservar evidencia del ciclo y configuración.</w:t>
      </w:r>
    </w:p>
    <w:p>
      <w:pPr>
        <w:spacing w:after="100" w:line="250" w:lineRule="auto"/>
        <w:keepLines/>
      </w:pPr>
      <w:r>
        <w:rPr>
          <w:lang w:val="es-ES"/>
        </w:rPr>
        <w:t>Responsable propuesto: Responsable de datos/operaciones junto con el controlador. Plazo: Política aprobada antes del primer dato real; prueba de borrado antes de lanzamiento.</w:t>
      </w:r>
    </w:p>
    <w:p>
      <w:pPr>
        <w:spacing w:after="100" w:line="250" w:lineRule="auto"/>
        <w:keepLines/>
      </w:pPr>
      <w:r>
        <w:rPr>
          <w:lang w:val="es-ES"/>
        </w:rPr>
        <w:t>Estado: Propuesta; no implementada ni verificada.</w:t>
      </w:r>
    </w:p>
    <w:p>
      <w:pPr>
        <w:spacing w:after="100" w:line="250" w:lineRule="auto"/>
        <w:pStyle w:val="Heading2"/>
        <w:keepNext/>
        <w:keepLines/>
      </w:pPr>
      <w:r>
        <w:rPr>
          <w:lang w:val="es-ES"/>
          <w:b/>
        </w:rPr>
        <w:t>C05 Proteger archivo SQLite y respaldos</w:t>
      </w:r>
    </w:p>
    <w:p>
      <w:pPr>
        <w:spacing w:after="100" w:line="250" w:lineRule="auto"/>
        <w:keepLines/>
      </w:pPr>
      <w:r>
        <w:rPr>
          <w:lang w:val="es-ES"/>
        </w:rPr>
        <w:t>Riesgos: R02. Guardar base y copias en almacenamiento con cifrado en reposo y permisos limitados al proceso y personal autorizado. Mantener claves separadas del repositorio y del archivo cifrado; cifrar copias antes de moverlas.</w:t>
      </w:r>
    </w:p>
    <w:p>
      <w:pPr>
        <w:spacing w:after="100" w:line="250" w:lineRule="auto"/>
        <w:keepLines/>
      </w:pPr>
      <w:r>
        <w:rPr>
          <w:lang w:val="es-ES"/>
        </w:rPr>
        <w:t>Criterio de aceptación: Revisar configuración de volumen y copias; verificar permisos del archivo con una cuenta no autorizada y confirmar que una copia fuera del entorno no puede leerse sin la clave. Inspeccionar el repositorio para confirmar que no contiene base, copia ni clave.</w:t>
      </w:r>
    </w:p>
    <w:p>
      <w:pPr>
        <w:spacing w:after="100" w:line="250" w:lineRule="auto"/>
        <w:keepLines/>
      </w:pPr>
      <w:r>
        <w:rPr>
          <w:lang w:val="es-ES"/>
        </w:rPr>
        <w:t>Responsable propuesto: Responsable de infraestructura/seguridad. Plazo: Antes de almacenar datos reales o crear una copia fuera del entorno controlado.</w:t>
      </w:r>
    </w:p>
    <w:p>
      <w:pPr>
        <w:spacing w:after="100" w:line="250" w:lineRule="auto"/>
        <w:keepLines/>
      </w:pPr>
      <w:r>
        <w:rPr>
          <w:lang w:val="es-ES"/>
        </w:rPr>
        <w:t>Estado: Propuesta; el cifrado y los permisos actuales son desconocidos.</w:t>
      </w:r>
    </w:p>
    <w:p>
      <w:pPr>
        <w:spacing w:after="100" w:line="250" w:lineRule="auto"/>
        <w:pStyle w:val="Heading2"/>
        <w:keepNext/>
        <w:keepLines/>
      </w:pPr>
      <w:r>
        <w:rPr>
          <w:lang w:val="es-ES"/>
          <w:b/>
        </w:rPr>
        <w:t>C06 Evitar persistencia accidental de datos y secretos en el repositorio</w:t>
      </w:r>
    </w:p>
    <w:p>
      <w:pPr>
        <w:spacing w:after="100" w:line="250" w:lineRule="auto"/>
        <w:keepLines/>
      </w:pPr>
      <w:r>
        <w:rPr>
          <w:lang w:val="es-ES"/>
        </w:rPr>
        <w:t>Riesgos: R02. Mantener la exclusión de lab.db ya presente en archivo .gitignore; revisar historial antes de publicar. Usar datos sintéticos en fixtures y no versionar base, respaldos ni secretos. Si se detecta un dato real o secreto en historial, retirar credenciales afectadas y ejecutar respuesta a incidentes antes de cualquier uso.</w:t>
      </w:r>
    </w:p>
    <w:p>
      <w:pPr>
        <w:spacing w:after="100" w:line="250" w:lineRule="auto"/>
        <w:keepLines/>
      </w:pPr>
      <w:r>
        <w:rPr>
          <w:lang w:val="es-ES"/>
        </w:rPr>
        <w:t>Criterio de aceptación: Inspeccionar regla actual de .gitignore, árbol e historial con detección de secretos; confirmar que lab.db y copias no están versionados ni en el historial que se entrega. La demo debe seguir usando su base temporal y cuatro fixtures sintéticos.</w:t>
      </w:r>
    </w:p>
    <w:p>
      <w:pPr>
        <w:spacing w:after="100" w:line="250" w:lineRule="auto"/>
        <w:keepLines/>
      </w:pPr>
      <w:r>
        <w:rPr>
          <w:lang w:val="es-ES"/>
        </w:rPr>
        <w:t>Responsable propuesto: Responsable del repositorio y backend. Plazo: Antes de compartir o publicar repositorio y antes de cualquier dato real.</w:t>
      </w:r>
    </w:p>
    <w:p>
      <w:pPr>
        <w:spacing w:after="100" w:line="250" w:lineRule="auto"/>
        <w:keepLines/>
      </w:pPr>
      <w:r>
        <w:rPr>
          <w:lang w:val="es-ES"/>
        </w:rPr>
        <w:t>Estado: .gitignore excluye bases de datos y la demostración utiliza SQLite temporal. Antes de publicar, comprobar que el árbol y el historial contienen únicamente código y datos ficticios.</w:t>
      </w:r>
    </w:p>
    <w:p>
      <w:pPr>
        <w:spacing w:after="100" w:line="250" w:lineRule="auto"/>
        <w:pStyle w:val="Heading2"/>
        <w:keepNext/>
        <w:keepLines/>
      </w:pPr>
      <w:r>
        <w:rPr>
          <w:lang w:val="es-ES"/>
          <w:b/>
        </w:rPr>
        <w:t>C07 Bloquear ampliaciones y exportaciones de finalidad</w:t>
      </w:r>
    </w:p>
    <w:p>
      <w:pPr>
        <w:spacing w:after="100" w:line="250" w:lineRule="auto"/>
        <w:keepLines/>
      </w:pPr>
      <w:r>
        <w:rPr>
          <w:lang w:val="es-ES"/>
        </w:rPr>
        <w:t>Riesgos: R04, R07. No combinar ni exportar correo y timestamp hacia CRM, newsletter, analítica u otra fuente sin nueva finalidad documentada, base válida, aviso y revisión de esta DPIA. Mantener cualquier futura newsletter como lista independiente y voluntaria.</w:t>
      </w:r>
    </w:p>
    <w:p>
      <w:pPr>
        <w:spacing w:after="100" w:line="250" w:lineRule="auto"/>
        <w:keepLines/>
      </w:pPr>
      <w:r>
        <w:rPr>
          <w:lang w:val="es-ES"/>
        </w:rPr>
        <w:t>Criterio de aceptación: Revisar rutas, dependencias, trabajos programados y configuración para confirmar que no hay integración o envío no documentado. En una futura función, prueba de aceptación confirma aislamiento de la finalidad de servicio y respeto de retirada.</w:t>
      </w:r>
    </w:p>
    <w:p>
      <w:pPr>
        <w:spacing w:after="100" w:line="250" w:lineRule="auto"/>
        <w:keepLines/>
      </w:pPr>
      <w:r>
        <w:rPr>
          <w:lang w:val="es-ES"/>
        </w:rPr>
        <w:t>Responsable propuesto: Responsable del producto y privacidad. Plazo: Regla vigente desde el inicio; reevaluar antes de añadir una integración o finalidad.</w:t>
      </w:r>
    </w:p>
    <w:p>
      <w:pPr>
        <w:spacing w:after="100" w:line="250" w:lineRule="auto"/>
        <w:keepLines/>
      </w:pPr>
      <w:r>
        <w:rPr>
          <w:lang w:val="es-ES"/>
        </w:rPr>
        <w:t>Estado: Propuesta; no implica que una newsletter exista.</w:t>
      </w:r>
    </w:p>
    <w:p>
      <w:pPr>
        <w:spacing w:after="100" w:line="250" w:lineRule="auto"/>
        <w:pStyle w:val="Heading2"/>
        <w:keepNext/>
        <w:keepLines/>
      </w:pPr>
      <w:r>
        <w:rPr>
          <w:lang w:val="es-ES"/>
          <w:b/>
        </w:rPr>
        <w:t>C08 Establecer una vía de derechos y respuesta a solicitudes</w:t>
      </w:r>
    </w:p>
    <w:p>
      <w:pPr>
        <w:spacing w:after="100" w:line="250" w:lineRule="auto"/>
        <w:keepLines/>
      </w:pPr>
      <w:r>
        <w:rPr>
          <w:lang w:val="es-ES"/>
        </w:rPr>
        <w:t>Riesgos: R05, R09. Publicar un canal de contacto y definir cómo verificar solicitudes de acceso, rectificación, supresión y otros derechos que apliquen; asignar responsable, documentar plazos legales del régimen aplicable y mantener trazabilidad de respuesta. No usar GET global como sustituto de acceso individual.</w:t>
      </w:r>
    </w:p>
    <w:p>
      <w:pPr>
        <w:spacing w:after="100" w:line="250" w:lineRule="auto"/>
        <w:keepLines/>
      </w:pPr>
      <w:r>
        <w:rPr>
          <w:lang w:val="es-ES"/>
        </w:rPr>
        <w:t>Criterio de aceptación: Ejecutar un ejercicio con fila sintética: localizar y entregar solo el registro del solicitante, corregir un dato y completar supresión; comprobar que la salida de GET anónimo no lo revela y documentar tiempos y resultado.</w:t>
      </w:r>
    </w:p>
    <w:p>
      <w:pPr>
        <w:spacing w:after="100" w:line="250" w:lineRule="auto"/>
        <w:keepLines/>
      </w:pPr>
      <w:r>
        <w:rPr>
          <w:lang w:val="es-ES"/>
        </w:rPr>
        <w:t>Responsable propuesto: Controlador y responsable de atención/privacidad. Plazo: Canal y procedimiento listos antes de la primera recogida real.</w:t>
      </w:r>
    </w:p>
    <w:p>
      <w:pPr>
        <w:spacing w:after="100" w:line="250" w:lineRule="auto"/>
        <w:keepLines/>
      </w:pPr>
      <w:r>
        <w:rPr>
          <w:lang w:val="es-ES"/>
        </w:rPr>
        <w:t>Estado: Propuesta; no hay solicitudes reales ni pruebas reportadas.</w:t>
      </w:r>
    </w:p>
    <w:p>
      <w:pPr>
        <w:spacing w:after="100" w:line="250" w:lineRule="auto"/>
        <w:pStyle w:val="Heading2"/>
        <w:keepNext/>
        <w:keepLines/>
      </w:pPr>
      <w:r>
        <w:rPr>
          <w:lang w:val="es-ES"/>
          <w:b/>
        </w:rPr>
        <w:t>C09 Exigir transporte cifrado en todo despliegue</w:t>
      </w:r>
    </w:p>
    <w:p>
      <w:pPr>
        <w:spacing w:after="100" w:line="250" w:lineRule="auto"/>
        <w:keepLines/>
      </w:pPr>
      <w:r>
        <w:rPr>
          <w:lang w:val="es-ES"/>
        </w:rPr>
        <w:t>Riesgos: R10. En despliegues accesibles por red, configurar clientes para enviar directamente por HTTPS con TLS vigente y bloquear el endpoint de API por HTTP antes de aceptar o leer un cuerpo con datos. No confiar en redirección HTTP después de enviar datos. Mantener logs y errores sin campos personales.</w:t>
      </w:r>
    </w:p>
    <w:p>
      <w:pPr>
        <w:spacing w:after="100" w:line="250" w:lineRule="auto"/>
        <w:keepLines/>
      </w:pPr>
      <w:r>
        <w:rPr>
          <w:lang w:val="es-ES"/>
        </w:rPr>
        <w:t>Criterio de aceptación: Verificar certificado y configuración TLS; una petición HTTP al endpoint no debe procesar el cuerpo ni guardar datos, y los clientes deben configurarse con la URL HTTPS desde el inicio. Revisar respuestas y logs de una solicitud sintética para confirmar ausencia de campos personales.</w:t>
      </w:r>
    </w:p>
    <w:p>
      <w:pPr>
        <w:spacing w:after="100" w:line="250" w:lineRule="auto"/>
        <w:keepLines/>
      </w:pPr>
      <w:r>
        <w:rPr>
          <w:lang w:val="es-ES"/>
        </w:rPr>
        <w:t>Responsable propuesto: Responsable de despliegue/seguridad. Plazo: Antes de habilitar acceso por red o cualquier dato real.</w:t>
      </w:r>
    </w:p>
    <w:p>
      <w:pPr>
        <w:spacing w:after="100" w:line="250" w:lineRule="auto"/>
        <w:keepLines/>
      </w:pPr>
      <w:r>
        <w:rPr>
          <w:lang w:val="es-ES"/>
        </w:rPr>
        <w:t>Estado: Propuesta para despliegue en red; el entrypoint directo actual está ligado a 127.0.0.1.</w:t>
      </w:r>
    </w:p>
    <w:p>
      <w:pPr>
        <w:spacing w:after="100" w:line="250" w:lineRule="auto"/>
        <w:pStyle w:val="Heading2"/>
        <w:keepNext/>
        <w:keepLines/>
      </w:pPr>
      <w:r>
        <w:rPr>
          <w:lang w:val="es-ES"/>
          <w:b/>
        </w:rPr>
        <w:t>C10 Inventariar alojamiento, encargados y transferencias</w:t>
      </w:r>
    </w:p>
    <w:p>
      <w:pPr>
        <w:spacing w:after="100" w:line="250" w:lineRule="auto"/>
        <w:keepLines/>
      </w:pPr>
      <w:r>
        <w:rPr>
          <w:lang w:val="es-ES"/>
        </w:rPr>
        <w:t>Riesgos: R11. Antes de producción, identificar dónde se ejecuta Flask y se guardan base, logs y copias; listar destinatarios, proveedores y subencargados. Cuando corresponda, documentar contrato e instrucciones de encargado y evaluar garantías para transferencias internacionales bajo el régimen aplicable.</w:t>
      </w:r>
    </w:p>
    <w:p>
      <w:pPr>
        <w:spacing w:after="100" w:line="250" w:lineRule="auto"/>
        <w:keepLines/>
      </w:pPr>
      <w:r>
        <w:rPr>
          <w:lang w:val="es-ES"/>
        </w:rPr>
        <w:t>Criterio de aceptación: Revisar un diagrama de flujo y lista de proveedores aprobados; confirmar país/región de procesamiento y respaldos; verificar contrato aplicable con cada encargado y documentación de transferencia cuando sea necesaria. Si todo es local/sin proveedor, registrar evidencia de esa conclusión.</w:t>
      </w:r>
    </w:p>
    <w:p>
      <w:pPr>
        <w:spacing w:after="100" w:line="250" w:lineRule="auto"/>
        <w:keepLines/>
      </w:pPr>
      <w:r>
        <w:rPr>
          <w:lang w:val="es-ES"/>
        </w:rPr>
        <w:t>Responsable propuesto: Controlador, compras/legal y operaciones. Plazo: Antes de escoger o activar alojamiento con datos reales.</w:t>
      </w:r>
    </w:p>
    <w:p>
      <w:pPr>
        <w:spacing w:after="100" w:line="250" w:lineRule="auto"/>
        <w:keepLines/>
      </w:pPr>
      <w:r>
        <w:rPr>
          <w:lang w:val="es-ES"/>
        </w:rPr>
        <w:t>Estado: Propuesta; proveedor y ubicación desconocidos.</w:t>
      </w:r>
    </w:p>
    <w:p>
      <w:pPr>
        <w:spacing w:after="100" w:line="250" w:lineRule="auto"/>
        <w:pStyle w:val="Heading2"/>
        <w:keepNext/>
        <w:keepLines/>
      </w:pPr>
      <w:r>
        <w:rPr>
          <w:lang w:val="es-ES"/>
          <w:b/>
        </w:rPr>
        <w:t>C11 Limitar abuso del alta pública sin exigir autenticación por defecto</w:t>
      </w:r>
    </w:p>
    <w:p>
      <w:pPr>
        <w:spacing w:after="100" w:line="250" w:lineRule="auto"/>
        <w:keepLines/>
      </w:pPr>
      <w:r>
        <w:rPr>
          <w:lang w:val="es-ES"/>
        </w:rPr>
        <w:t>Riesgos: R12. Mantener POST disponible si el servicio necesita registros públicos. Propuesta de límites a validar antes del uso real: cuerpo JSON máximo 4096 bytes, nombres 100 caracteres y correo 254. Si se justifica conservarlos, apellidos máximo 100 y teléfono 32 caracteres. Admitir como máximo 10 altas por minuto por origen, con rechazo 429 a partir de la undécima. No permitir duplicados de correo tras quitar espacios extremos y normalizarlo según la regla documentada del servicio; rechazar duplicados con 409 sin incluir datos del registro existente. No añadir autenticación por defecto a un alta pública salvo que la finalidad lo requiera.</w:t>
      </w:r>
    </w:p>
    <w:p>
      <w:pPr>
        <w:spacing w:after="100" w:line="250" w:lineRule="auto"/>
        <w:keepLines/>
      </w:pPr>
      <w:r>
        <w:rPr>
          <w:lang w:val="es-ES"/>
        </w:rPr>
        <w:t>Criterio de aceptación: Probar con datos ficticios: cuerpo de 4097 bytes obtiene 413; nombre de 101 caracteres o correo de 255 obtiene 400; campos dentro de límites permiten 201. En un mismo minuto y origen, las primeras diez altas válidas distintas admiten 201 y la undécima obtiene 429. Dos altas del mismo correo normalizado devuelven 201 y luego 409 sin exponer el registro previo. Si existe apellidos o teléfono, probar sus límites 100/101 y 32/33. Eliminar filas de prueba. Los umbrales son una propuesta operativa y deben confirmarse con el contexto de acceso compartido y la necesidad del servicio.</w:t>
      </w:r>
    </w:p>
    <w:p>
      <w:pPr>
        <w:spacing w:after="100" w:line="250" w:lineRule="auto"/>
        <w:keepLines/>
      </w:pPr>
      <w:r>
        <w:rPr>
          <w:lang w:val="es-ES"/>
        </w:rPr>
        <w:t>Responsable propuesto: Responsable de backend/seguridad. Plazo: Antes de exponer la ruta a redes de terceros o cargar datos reales.</w:t>
      </w:r>
    </w:p>
    <w:p>
      <w:pPr>
        <w:spacing w:after="100" w:line="250" w:lineRule="auto"/>
        <w:keepLines/>
      </w:pPr>
      <w:r>
        <w:rPr>
          <w:lang w:val="es-ES"/>
        </w:rPr>
        <w:t>Estado: Propuesta; límites y política de duplicados no están implementados ni probados.</w:t>
      </w:r>
    </w:p>
    <w:p>
      <w:pPr>
        <w:spacing w:after="100" w:line="250" w:lineRule="auto"/>
        <w:pStyle w:val="Heading2"/>
        <w:keepNext/>
        <w:keepLines/>
      </w:pPr>
      <w:r>
        <w:rPr>
          <w:lang w:val="es-ES"/>
          <w:b/>
        </w:rPr>
        <w:t>Justificación de las valoraciones residuales</w:t>
      </w:r>
    </w:p>
    <w:p>
      <w:pPr>
        <w:spacing w:after="100" w:line="250" w:lineRule="auto"/>
        <w:keepLines/>
      </w:pPr>
      <w:r>
        <w:rPr>
          <w:lang w:val="es-ES"/>
        </w:rPr>
        <w:t>R01: Con la configuración actual de loopback y sin titulares reales, no hay exposición pública demostrada. La estimación prospectiva del diseño queda en probabilidad baja por el límite local y en impacto alto porque GET revela la tabla completa si una persona alcanza el endpoint con datos reales. C01 limita el acceso a clientes autorizados; se conserva impacto alto ante uso indebido de una cuenta con permiso, por lo que el residual proyectado es medio y requiere pruebas y aceptación explícita.</w:t>
      </w:r>
    </w:p>
    <w:p>
      <w:pPr>
        <w:spacing w:after="100" w:line="250" w:lineRule="auto"/>
        <w:keepLines/>
      </w:pPr>
      <w:r>
        <w:rPr>
          <w:lang w:val="es-ES"/>
        </w:rPr>
        <w:t>R02: La ubicación y la falta de cifrado de SQLite son conocidas; la exposición a terceros y la existencia de copias/versionado no están confirmadas, así que se evalúa acceso al host/archivo como escenario de diseño, no como incidente. El .gitignore y la base temporal de demo reducen el riesgo de exposición accidental por repositorio/fixture, pero no protegen el archivo runtime frente a acceso al host. Cifrado del almacenamiento y permisos mínimos reducen la probabilidad; el impacto de un host comprometido sigue siendo relevante.</w:t>
      </w:r>
    </w:p>
    <w:p>
      <w:pPr>
        <w:spacing w:after="100" w:line="250" w:lineRule="auto"/>
        <w:keepLines/>
      </w:pPr>
      <w:r>
        <w:rPr>
          <w:lang w:val="es-ES"/>
        </w:rPr>
        <w:t>R03: El POST exige nombres, apellidos y correo; teléfono es opcional. La puntuación actual se refiere al riesgo de recoger los dos campos sin finalidad demostrada. Retirarlos elimina esa sobrecolección y reduce canales de contacto; el correo y, si se conserva, el nombre aún identifican, cuestión que cubren R01 y R04. La proyección baja se limita a sobrecolección, no afirma que los datos restantes sean anónimos; requiere migración y prueba de que API y fixtures ya no admiten apellidos/teléfono.</w:t>
      </w:r>
    </w:p>
    <w:p>
      <w:pPr>
        <w:spacing w:after="100" w:line="250" w:lineRule="auto"/>
        <w:keepLines/>
      </w:pPr>
      <w:r>
        <w:rPr>
          <w:lang w:val="es-ES"/>
        </w:rPr>
        <w:t>R04: Correo es identificador directo y created_at aporta una señal temporal enlazable. La proyección reduce exposición eliminando campos innecesarios, separando finalidades y bloqueando exportación o usos secundarios sin revisión. El riesgo depende del acceso y de futuras integraciones, que no constan.</w:t>
      </w:r>
    </w:p>
    <w:p>
      <w:pPr>
        <w:spacing w:after="100" w:line="250" w:lineRule="auto"/>
        <w:keepLines/>
      </w:pPr>
      <w:r>
        <w:rPr>
          <w:lang w:val="es-ES"/>
        </w:rPr>
        <w:t>R05: No se ha descrito una pantalla o aviso. Un aviso con controlador y contacto reales, finalidad y base por separado, retención, destinatarios, derechos y transferencias que procedan reduciría falta de transparencia; debe comprobarse en el flujo antes de una captura real.</w:t>
      </w:r>
    </w:p>
    <w:p>
      <w:pPr>
        <w:spacing w:after="100" w:line="250" w:lineRule="auto"/>
        <w:keepLines/>
      </w:pPr>
      <w:r>
        <w:rPr>
          <w:lang w:val="es-ES"/>
        </w:rPr>
        <w:t>R06: No hay retención o borrado descritos en el alcance. Una política con criterios verificables, vencimiento de respaldos y re-aplicación de borrados tras restauración reduce acumulación y reaparición. Plazos concretos son propuestas que el controlador debe validar, no plazos legales establecidos.</w:t>
      </w:r>
    </w:p>
    <w:p>
      <w:pPr>
        <w:spacing w:after="100" w:line="250" w:lineRule="auto"/>
        <w:keepLines/>
      </w:pPr>
      <w:r>
        <w:rPr>
          <w:lang w:val="es-ES"/>
        </w:rPr>
        <w:t>R07: La newsletter aparece como posibilidad de diseño en el material docente, no como función implementada. Separar finalidad, casilla opcional inicialmente desmarcada, prueba de consentimiento y retirada sencilla, o no crear la función, evita reutilización inadvertida.</w:t>
      </w:r>
    </w:p>
    <w:p>
      <w:pPr>
        <w:spacing w:after="100" w:line="250" w:lineRule="auto"/>
        <w:keepLines/>
      </w:pPr>
      <w:r>
        <w:rPr>
          <w:lang w:val="es-ES"/>
        </w:rPr>
        <w:t>R08: La probabilidad actual de observación externa es baja por el binding de loopback, y no hay titulares reales; la respuesta seguiría revelando pertenencia si un cliente local o un futuro cliente externo alcanza la ruta con datos reales. C01 evita acceso anónimo al GET; la puntuación residual es prospectiva y solo se confirma después de probar el control.</w:t>
      </w:r>
    </w:p>
    <w:p>
      <w:pPr>
        <w:spacing w:after="100" w:line="250" w:lineRule="auto"/>
        <w:keepLines/>
      </w:pPr>
      <w:r>
        <w:rPr>
          <w:lang w:val="es-ES"/>
        </w:rPr>
        <w:t>R09: No consta flujo de acceso, rectificación o supresión; esto no demuestra que se haya negado una solicitud real. Un procedimiento operativo con responsable, verificación proporcional, canal de contacto y pruebas de extremo a extremo reduce el riesgo.</w:t>
      </w:r>
    </w:p>
    <w:p>
      <w:pPr>
        <w:spacing w:after="100" w:line="250" w:lineRule="auto"/>
        <w:keepLines/>
      </w:pPr>
      <w:r>
        <w:rPr>
          <w:lang w:val="es-ES"/>
        </w:rPr>
        <w:t>R10: No se afirma que una instancia esté publicada por HTTP; el entrypoint directo actual se liga a localhost. La puntuación actual es condicional a que se exponga por red sin TLS. HTTPS obligatorio y bloqueo de HTTP reducen la probabilidad de observación en tránsito, pero TLS no reduce el impacto de la exposición de una cuenta, base o respuesta GET; se conserva impacto alto.</w:t>
      </w:r>
    </w:p>
    <w:p>
      <w:pPr>
        <w:spacing w:after="100" w:line="250" w:lineRule="auto"/>
        <w:keepLines/>
      </w:pPr>
      <w:r>
        <w:rPr>
          <w:lang w:val="es-ES"/>
        </w:rPr>
        <w:t>R11: La infraestructura no se especifica, así que no se afirma que exista un proveedor o transferencia. Es una condición de salida: inventariar arquitectura y destinatarios; si hay encargado, acordar obligaciones aplicables; si hay transferencia dentro del ámbito del GDPR, evaluar el capítulo V y documentar salvaguardas.</w:t>
      </w:r>
    </w:p>
    <w:p>
      <w:pPr>
        <w:spacing w:after="100" w:line="250" w:lineRule="auto"/>
        <w:keepLines/>
      </w:pPr>
      <w:r>
        <w:rPr>
          <w:lang w:val="es-ES"/>
        </w:rPr>
        <w:t>R12: La probabilidad actual de acceso externo es baja porque el entrypoint documentado usa 127.0.0.1 y no hay datos reales; el diseño permite registros repetidos y sin límites de tamaño si se publica. Validación de longitudes, límite del cuerpo, limitación de frecuencia y política explícita de duplicados reducen crecimiento y datos basura sin asumir que el alta pública deba requerir autenticación.</w:t>
      </w:r>
    </w:p>
    <w:p w14:paraId="10DBCD1D" w14:textId="442D0DA6" w:rsidR="00A63285" w:rsidRPr="000959FF" w:rsidRDefault="00A63285" w:rsidP="000959FF">
      <w:pPr>
        <w:pStyle w:val="Heading1"/>
        <w:rPr>
          <w:lang w:eastAsia="en-GB"/>
        </w:rPr>
        <w:keepLines/>
      </w:pPr>
      <w:r>
        <w:rPr>
          <w:lang w:val="es-ES"/>
        </w:rPr>
        <w:t>Paso 7 Decisión y registro de resultados</w:t>
      </w:r>
    </w:p>
    <w:tbl>
      <w:tblPr>
        <w:tblStyle w:val="TableGrid"/>
        <w:tblW w:w="0" w:type="auto"/>
        <w:tblLook w:val="04A0" w:firstRow="1" w:lastRow="0" w:firstColumn="1" w:lastColumn="0" w:noHBand="0" w:noVBand="1"/>
      </w:tblPr>
      <w:tblGrid>
        <w:gridCol w:w="2943"/>
        <w:gridCol w:w="3402"/>
        <w:gridCol w:w="3649"/>
      </w:tblGrid>
      <w:tr w:rsidR="006B061A" w:rsidRPr="006B061A" w14:paraId="060ED95A" w14:textId="77777777" w:rsidTr="006B061A">
        <w:tc>
          <w:tcPr>
            <w:tcW w:w="2943" w:type="dxa"/>
          </w:tcPr>
          <w:p>
            <w:pPr>
              <w:spacing w:after="100" w:line="250" w:lineRule="auto"/>
              <w:keepNext/>
              <w:keepLines/>
            </w:pPr>
            <w:r>
              <w:rPr>
                <w:lang w:val="es-ES"/>
                <w:b/>
              </w:rPr>
              <w:t>Elemento</w:t>
            </w:r>
          </w:p>
        </w:tc>
        <w:tc>
          <w:tcPr>
            <w:tcW w:w="3402" w:type="dxa"/>
          </w:tcPr>
          <w:p>
            <w:pPr>
              <w:spacing w:after="100" w:line="250" w:lineRule="auto"/>
              <w:keepNext/>
              <w:keepLines/>
            </w:pPr>
            <w:r>
              <w:rPr>
                <w:lang w:val="es-ES"/>
                <w:b/>
              </w:rPr>
              <w:t>Responsable y fecha</w:t>
            </w:r>
          </w:p>
        </w:tc>
        <w:tc>
          <w:tcPr>
            <w:tcW w:w="3649" w:type="dxa"/>
          </w:tcPr>
          <w:p>
            <w:pPr>
              <w:spacing w:after="100" w:line="250" w:lineRule="auto"/>
              <w:keepNext/>
              <w:keepLines/>
            </w:pPr>
            <w:r>
              <w:rPr>
                <w:lang w:val="es-ES"/>
                <w:b/>
              </w:rPr>
              <w:t>Resultado</w:t>
            </w:r>
          </w:p>
        </w:tc>
        <w:trPr>
          <w:cantSplit/>
        </w:trPr>
      </w:tr>
      <w:tr w:rsidR="006B061A" w:rsidRPr="006B061A" w14:paraId="6605BA98" w14:textId="77777777" w:rsidTr="006B061A">
        <w:tc>
          <w:tcPr>
            <w:tcW w:w="2943" w:type="dxa"/>
          </w:tcPr>
          <w:p>
            <w:pPr>
              <w:spacing w:after="100" w:line="250" w:lineRule="auto"/>
              <w:keepLines/>
            </w:pPr>
            <w:r>
              <w:rPr>
                <w:lang w:val="es-ES"/>
              </w:rPr>
              <w:t>Responsable de las restricciones propuestas</w:t>
            </w:r>
          </w:p>
        </w:tc>
        <w:tc>
          <w:tcPr>
            <w:tcW w:w="3402" w:type="dxa"/>
          </w:tcPr>
          <w:p>
            <w:pPr>
              <w:spacing w:after="100" w:line="250" w:lineRule="auto"/>
              <w:keepLines/>
            </w:pPr>
            <w:r>
              <w:rPr>
                <w:lang w:val="es-ES"/>
              </w:rPr>
              <w:t>Vasco Diaz · 24/10/2026</w:t>
            </w:r>
          </w:p>
        </w:tc>
        <w:tc>
          <w:tcPr>
            <w:tcW w:w="3649" w:type="dxa"/>
          </w:tcPr>
          <w:p>
            <w:pPr>
              <w:spacing w:after="100" w:line="250" w:lineRule="auto"/>
              <w:keepLines/>
            </w:pPr>
            <w:r>
              <w:rPr>
                <w:lang w:val="es-ES"/>
              </w:rPr>
              <w:t>Restricciones documentadas C01–C11. Su implementación queda fuera del alcance del laboratorio.</w:t>
            </w:r>
          </w:p>
        </w:tc>
        <w:trPr>
          <w:cantSplit/>
        </w:trPr>
      </w:tr>
      <w:tr w:rsidR="006B061A" w:rsidRPr="006B061A" w14:paraId="32194E67" w14:textId="77777777" w:rsidTr="006B061A">
        <w:tc>
          <w:tcPr>
            <w:tcW w:w="2943" w:type="dxa"/>
          </w:tcPr>
          <w:p>
            <w:pPr>
              <w:spacing w:after="100" w:line="250" w:lineRule="auto"/>
              <w:keepLines/>
            </w:pPr>
            <w:r>
              <w:rPr>
                <w:lang w:val="es-ES"/>
              </w:rPr>
              <w:t>Riesgos residuales aceptados por</w:t>
            </w:r>
          </w:p>
        </w:tc>
        <w:tc>
          <w:tcPr>
            <w:tcW w:w="3402" w:type="dxa"/>
          </w:tcPr>
          <w:p>
            <w:pPr>
              <w:spacing w:after="100" w:line="250" w:lineRule="auto"/>
              <w:keepLines/>
            </w:pPr>
            <w:r>
              <w:rPr>
                <w:lang w:val="es-ES"/>
              </w:rPr>
              <w:t>Sin aceptación ni firma</w:t>
            </w:r>
          </w:p>
        </w:tc>
        <w:tc>
          <w:tcPr>
            <w:tcW w:w="3649" w:type="dxa"/>
          </w:tcPr>
          <w:p>
            <w:pPr>
              <w:spacing w:after="100" w:line="250" w:lineRule="auto"/>
              <w:keepLines/>
            </w:pPr>
            <w:r>
              <w:rPr>
                <w:lang w:val="es-ES"/>
              </w:rPr>
              <w:t>Las cifras residuales son proyectadas. No se autoriza tratar datos reales.</w:t>
            </w:r>
          </w:p>
        </w:tc>
        <w:trPr>
          <w:cantSplit/>
        </w:trPr>
      </w:tr>
      <w:tr w:rsidR="00F57385" w:rsidRPr="006B061A" w14:paraId="5C71651D" w14:textId="77777777" w:rsidTr="00F57385">
        <w:tc>
          <w:tcPr>
            <w:tcW w:w="2943" w:type="dxa"/>
          </w:tcPr>
          <w:p>
            <w:pPr>
              <w:spacing w:after="100" w:line="250" w:lineRule="auto"/>
              <w:keepLines/>
            </w:pPr>
            <w:r>
              <w:rPr>
                <w:lang w:val="es-ES"/>
              </w:rPr>
              <w:t>Intervención de DPO</w:t>
            </w:r>
          </w:p>
        </w:tc>
        <w:tc>
          <w:tcPr>
            <w:tcW w:w="3402" w:type="dxa"/>
          </w:tcPr>
          <w:p>
            <w:pPr>
              <w:spacing w:after="100" w:line="250" w:lineRule="auto"/>
              <w:keepLines/>
            </w:pPr>
            <w:r>
              <w:rPr>
                <w:lang w:val="es-ES"/>
              </w:rPr>
              <w:t>Fuera del alcance del laboratorio</w:t>
            </w:r>
          </w:p>
        </w:tc>
        <w:tc>
          <w:tcPr>
            <w:tcW w:w="3649" w:type="dxa"/>
          </w:tcPr>
          <w:p>
            <w:pPr>
              <w:spacing w:after="100" w:line="250" w:lineRule="auto"/>
              <w:keepLines/>
            </w:pPr>
            <w:r>
              <w:rPr>
                <w:lang w:val="es-ES"/>
              </w:rPr>
              <w:t>La evaluación no constituye autorización de un DPO para un tratamiento de producción.</w:t>
            </w:r>
          </w:p>
        </w:tc>
        <w:trPr>
          <w:cantSplit/>
        </w:trPr>
      </w:tr>
      <w:tr w:rsidR="00F57385" w:rsidRPr="006B061A" w14:paraId="0DA69EBD" w14:textId="77777777" w:rsidTr="004B7418">
        <w:trPr>
          <w:cantSplit/>
        </w:trPr>
        <w:tc>
          <w:tcPr>
            <w:tcW w:w="9994" w:type="dxa"/>
            <w:gridSpan w:val="3"/>
          </w:tcPr>
          <w:p>
            <w:pPr>
              <w:spacing w:after="100" w:line="250" w:lineRule="auto"/>
              <w:keepLines/>
            </w:pPr>
            <w:r>
              <w:rPr>
                <w:lang w:val="es-ES"/>
              </w:rPr>
              <w:t>Conclusión de la evaluación: el prototipo solo debe utilizarse con datos ficticios hasta implementar y verificar las restricciones.</w:t>
            </w:r>
          </w:p>
        </w:tc>
      </w:tr>
      <w:tr w:rsidR="00F57385" w:rsidRPr="006B061A" w14:paraId="318BBC78" w14:textId="77777777" w:rsidTr="00F57385">
        <w:tc>
          <w:tcPr>
            <w:tcW w:w="2943" w:type="dxa"/>
          </w:tcPr>
          <w:p>
            <w:pPr>
              <w:spacing w:after="100" w:line="250" w:lineRule="auto"/>
              <w:keepLines/>
            </w:pPr>
            <w:r>
              <w:rPr>
                <w:lang w:val="es-ES"/>
              </w:rPr>
              <w:t>Seguimiento de la evaluación</w:t>
            </w:r>
          </w:p>
        </w:tc>
        <w:tc>
          <w:tcPr>
            <w:tcW w:w="3402" w:type="dxa"/>
          </w:tcPr>
          <w:p>
            <w:pPr>
              <w:spacing w:after="100" w:line="250" w:lineRule="auto"/>
              <w:keepLines/>
            </w:pPr>
            <w:r>
              <w:rPr>
                <w:lang w:val="es-ES"/>
              </w:rPr>
              <w:t>Vasco Diaz · desarrollo</w:t>
            </w:r>
          </w:p>
        </w:tc>
        <w:tc>
          <w:tcPr>
            <w:tcW w:w="3649" w:type="dxa"/>
          </w:tcPr>
          <w:p>
            <w:pPr>
              <w:spacing w:after="100" w:line="250" w:lineRule="auto"/>
              <w:keepLines/>
            </w:pPr>
            <w:r>
              <w:rPr>
                <w:lang w:val="es-ES"/>
              </w:rPr>
              <w:t>Reevaluar al implementar las restricciones o cambiar la finalidad, los campos o el despliegue.</w:t>
            </w:r>
          </w:p>
        </w:tc>
        <w:trPr>
          <w:cantSplit/>
        </w:trPr>
      </w:tr>
      <w:tr w:rsidR="00F57385" w:rsidRPr="006B061A" w14:paraId="03B1A6ED" w14:textId="77777777" w:rsidTr="00352679">
        <w:trPr>
          <w:cantSplit/>
        </w:trPr>
        <w:tc>
          <w:tcPr>
            <w:tcW w:w="9994" w:type="dxa"/>
            <w:gridSpan w:val="3"/>
          </w:tcPr>
          <w:p>
            <w:pPr>
              <w:spacing w:after="100" w:line="250" w:lineRule="auto"/>
              <w:keepLines/>
            </w:pPr>
            <w:r>
              <w:rPr>
                <w:lang w:val="es-ES"/>
              </w:rPr>
              <w:t>Decisión actual. NO LANZAR NI CARGAR DATOS PERSONALES REALES.</w:t>
            </w:r>
          </w:p>
        </w:tc>
      </w:tr>
      <w:tr w:rsidR="00F57385" w:rsidRPr="006B061A" w14:paraId="068E09D2" w14:textId="77777777" w:rsidTr="00F57385">
        <w:tc>
          <w:tcPr>
            <w:tcW w:w="2943" w:type="dxa"/>
          </w:tcPr>
          <w:p>
            <w:pPr>
              <w:spacing w:after="100" w:line="250" w:lineRule="auto"/>
              <w:keepLines/>
            </w:pPr>
            <w:r>
              <w:rPr>
                <w:lang w:val="es-ES"/>
              </w:rPr>
              <w:t>Opiniones de titulares revisadas por</w:t>
            </w:r>
          </w:p>
        </w:tc>
        <w:tc>
          <w:tcPr>
            <w:tcW w:w="3402" w:type="dxa"/>
          </w:tcPr>
          <w:p>
            <w:pPr>
              <w:spacing w:after="100" w:line="250" w:lineRule="auto"/>
              <w:keepLines/>
            </w:pPr>
            <w:r>
              <w:rPr>
                <w:lang w:val="es-ES"/>
              </w:rPr>
              <w:t>Sin consulta realizada</w:t>
            </w:r>
          </w:p>
        </w:tc>
        <w:tc>
          <w:tcPr>
            <w:tcW w:w="3649" w:type="dxa"/>
          </w:tcPr>
          <w:p>
            <w:pPr>
              <w:spacing w:after="100" w:line="250" w:lineRule="auto"/>
              <w:keepLines/>
            </w:pPr>
            <w:r>
              <w:rPr>
                <w:lang w:val="es-ES"/>
              </w:rPr>
              <w:t>La consulta con titulares forma parte del plan previo a un eventual tratamiento real.</w:t>
            </w:r>
          </w:p>
        </w:tc>
        <w:trPr>
          <w:cantSplit/>
        </w:trPr>
      </w:tr>
      <w:tr w:rsidR="00F57385" w:rsidRPr="006B061A" w14:paraId="59222E05" w14:textId="77777777" w:rsidTr="004B7418">
        <w:trPr>
          <w:cantSplit/>
        </w:trPr>
        <w:tc>
          <w:tcPr>
            <w:tcW w:w="9994" w:type="dxa"/>
            <w:gridSpan w:val="3"/>
          </w:tcPr>
          <w:p>
            <w:pPr>
              <w:spacing w:after="100" w:line="250" w:lineRule="auto"/>
              <w:keepLines/>
            </w:pPr>
            <w:r>
              <w:rPr>
                <w:lang w:val="es-ES"/>
              </w:rPr>
              <w:t>Resultado del laboratorio: inventario, riesgos, restricciones verificables y decisión de no lanzar con datos reales.</w:t>
            </w:r>
          </w:p>
        </w:tc>
      </w:tr>
      <w:tr w:rsidR="00352679" w:rsidRPr="006B061A" w14:paraId="5736C00E" w14:textId="77777777" w:rsidTr="00352679">
        <w:tc>
          <w:tcPr>
            <w:tcW w:w="2943" w:type="dxa"/>
          </w:tcPr>
          <w:p>
            <w:pPr>
              <w:spacing w:after="100" w:line="250" w:lineRule="auto"/>
              <w:keepLines/>
            </w:pPr>
            <w:r>
              <w:rPr>
                <w:lang w:val="es-ES"/>
              </w:rPr>
              <w:t>DPIA mantenida bajo revisión por</w:t>
            </w:r>
          </w:p>
        </w:tc>
        <w:tc>
          <w:tcPr>
            <w:tcW w:w="3402" w:type="dxa"/>
          </w:tcPr>
          <w:p>
            <w:pPr>
              <w:spacing w:after="100" w:line="250" w:lineRule="auto"/>
              <w:keepLines/>
            </w:pPr>
            <w:r>
              <w:rPr>
                <w:lang w:val="es-ES"/>
              </w:rPr>
              <w:t>Vasco Diaz · responsable del prototipo</w:t>
            </w:r>
          </w:p>
        </w:tc>
        <w:tc>
          <w:tcPr>
            <w:tcW w:w="3649" w:type="dxa"/>
          </w:tcPr>
          <w:p>
            <w:pPr>
              <w:spacing w:after="100" w:line="250" w:lineRule="auto"/>
              <w:keepLines/>
            </w:pPr>
            <w:r>
              <w:rPr>
                <w:lang w:val="es-ES"/>
              </w:rPr>
              <w:t>Revisión antes del lanzamiento y, tras una aprobación válida, al menos cada 12 meses durante la operación; los plazos son propuesta operativa, no mandato legal universal.</w:t>
            </w:r>
          </w:p>
        </w:tc>
        <w:trPr>
          <w:cantSplit/>
        </w:trPr>
      </w:tr>
    </w:tbl>
    <w:p>
      <w:pPr>
        <w:spacing w:after="100" w:line="250" w:lineRule="auto"/>
        <w:keepLines/>
      </w:pPr>
      <w:r>
        <w:rPr>
          <w:lang w:val="es-ES"/>
        </w:rPr>
        <w:t>La decisión de diseño para este laboratorio es no lanzar ni cargar datos personales reales. Las restricciones C01–C11 se documentan y no se implementan, de acuerdo con el alcance del ejercicio. Antes de un uso real se deberán verificar las medidas, reevaluar los riesgos y registrar una nueva decisión. Si resulta aplicable el GDPR y persiste un riesgo alto no mitigado, corresponde consulta previa conforme a su artículo 36.</w:t>
      </w:r>
    </w:p>
    <w:p>
      <w:pPr>
        <w:spacing w:after="100" w:line="250" w:lineRule="auto"/>
        <w:pStyle w:val="Heading2"/>
        <w:keepNext/>
        <w:keepLines/>
      </w:pPr>
      <w:r>
        <w:rPr>
          <w:lang w:val="es-ES"/>
          <w:b/>
        </w:rPr>
        <w:t>Condiciones para reconsiderar la decisión</w:t>
      </w:r>
    </w:p>
    <w:p>
      <w:pPr>
        <w:spacing w:after="100" w:line="250" w:lineRule="auto"/>
        <w:keepLines/>
      </w:pPr>
      <w:r>
        <w:rPr>
          <w:lang w:val="es-ES"/>
        </w:rPr>
        <w:t>Completar las medidas C01–C11 pertinentes y aportar la evidencia verificable descrita para cada una.</w:t>
      </w:r>
    </w:p>
    <w:p>
      <w:pPr>
        <w:spacing w:after="100" w:line="250" w:lineRule="auto"/>
        <w:keepLines/>
      </w:pPr>
      <w:r>
        <w:rPr>
          <w:lang w:val="es-ES"/>
        </w:rPr>
        <w:t>Identificar al controlador, confirmar el ámbito legal y elegir/documentar la base jurídica para cada finalidad antes de recoger datos.</w:t>
      </w:r>
    </w:p>
    <w:p>
      <w:pPr>
        <w:spacing w:after="100" w:line="250" w:lineRule="auto"/>
        <w:keepLines/>
      </w:pPr>
      <w:r>
        <w:rPr>
          <w:lang w:val="es-ES"/>
        </w:rPr>
        <w:t>Aprobar el aviso, las reglas de retención y el flujo de derechos; confirmar proveedores, ubicación del alojamiento y transferencias.</w:t>
      </w:r>
    </w:p>
    <w:p>
      <w:pPr>
        <w:spacing w:after="100" w:line="250" w:lineRule="auto"/>
        <w:keepLines/>
      </w:pPr>
      <w:r>
        <w:rPr>
          <w:lang w:val="es-ES"/>
        </w:rPr>
        <w:t>Reevaluar cada riesgo con evidencia de controles implementados; no usar la puntuación residual proyectada como autorización.</w:t>
      </w:r>
    </w:p>
    <w:p>
      <w:pPr>
        <w:spacing w:after="100" w:line="250" w:lineRule="auto"/>
        <w:keepLines/>
      </w:pPr>
      <w:r>
        <w:rPr>
          <w:lang w:val="es-ES"/>
        </w:rPr>
        <w:t>Si, bajo el GDPR aplicable, persiste un riesgo alto que no pueda mitigarse, no iniciar el tratamiento hasta cumplir la consulta previa del artículo 36 con la autoridad de control competente.</w:t>
      </w:r>
    </w:p>
    <w:p>
      <w:pPr>
        <w:spacing w:after="100" w:line="250" w:lineRule="auto"/>
        <w:keepLines/>
      </w:pPr>
      <w:r>
        <w:rPr>
          <w:lang w:val="es-ES"/>
        </w:rPr>
        <w:t>Si después de las pruebas quedan riesgos residuales medios, la persona con autoridad del controlador debe aceptar y documentar explícitamente cada uno antes de considerar un lanzamiento condicionado.</w:t>
      </w:r>
    </w:p>
    <w:p>
      <w:pPr>
        <w:spacing w:after="100" w:line="250" w:lineRule="auto"/>
        <w:pStyle w:val="Heading2"/>
        <w:keepNext/>
        <w:keepLines/>
      </w:pPr>
      <w:r>
        <w:rPr>
          <w:lang w:val="es-ES"/>
          <w:b/>
        </w:rPr>
        <w:t>Revisión ante cambios</w:t>
      </w:r>
    </w:p>
    <w:p>
      <w:pPr>
        <w:spacing w:after="100" w:line="250" w:lineRule="auto"/>
        <w:keepLines/>
      </w:pPr>
      <w:r>
        <w:rPr>
          <w:lang w:val="es-ES"/>
        </w:rPr>
        <w:t>Cambiar la finalidad o añadir newsletter, perfilado, analítica o combinación con otra fuente.</w:t>
      </w:r>
    </w:p>
    <w:p>
      <w:pPr>
        <w:spacing w:after="100" w:line="250" w:lineRule="auto"/>
        <w:keepLines/>
      </w:pPr>
      <w:r>
        <w:rPr>
          <w:lang w:val="es-ES"/>
        </w:rPr>
        <w:t>Añadir campos o categorías especiales; atender a menores o grupos vulnerables.</w:t>
      </w:r>
    </w:p>
    <w:p>
      <w:pPr>
        <w:spacing w:after="100" w:line="250" w:lineRule="auto"/>
        <w:keepLines/>
      </w:pPr>
      <w:r>
        <w:rPr>
          <w:lang w:val="es-ES"/>
        </w:rPr>
        <w:t>Cambiar rutas, roles, método de autenticación, listado o modo de despliegue.</w:t>
      </w:r>
    </w:p>
    <w:p>
      <w:pPr>
        <w:spacing w:after="100" w:line="250" w:lineRule="auto"/>
        <w:keepLines/>
      </w:pPr>
      <w:r>
        <w:rPr>
          <w:lang w:val="es-ES"/>
        </w:rPr>
        <w:t>Añadir proveedor, subencargado, región, respaldo o transferencia.</w:t>
      </w:r>
    </w:p>
    <w:p>
      <w:pPr>
        <w:spacing w:after="100" w:line="250" w:lineRule="auto"/>
        <w:keepLines/>
      </w:pPr>
      <w:r>
        <w:rPr>
          <w:lang w:val="es-ES"/>
        </w:rPr>
        <w:t>Cambiar el plazo de retención o el proceso de borrado/restauración.</w:t>
      </w:r>
    </w:p>
    <w:p>
      <w:pPr>
        <w:spacing w:after="100" w:line="250" w:lineRule="auto"/>
        <w:keepLines/>
      </w:pPr>
      <w:r>
        <w:rPr>
          <w:lang w:val="es-ES"/>
        </w:rPr>
        <w:t>Detectar acceso no autorizado, pérdida, divulgación, incidente o cambio material en probabilidad/impacto.</w:t>
      </w:r>
    </w:p>
    <w:p>
      <w:pPr>
        <w:spacing w:after="100" w:line="250" w:lineRule="auto"/>
        <w:keepLines/>
      </w:pPr>
      <w:r>
        <w:rPr>
          <w:lang w:val="es-ES"/>
        </w:rPr>
        <w:t>Versión de la DPIA, inventario y diagrama actualizados, aviso aprobado, justificación de base jurídica, contratos aplicables, resultados de pruebas de C01–C11, consultas y decisión firmada.</w:t>
      </w:r>
    </w:p>
    <w:p>
      <w:pPr>
        <w:spacing w:after="100" w:line="250" w:lineRule="auto"/>
        <w:pStyle w:val="Heading2"/>
        <w:keepNext/>
        <w:keepLines/>
      </w:pPr>
      <w:r>
        <w:rPr>
          <w:lang w:val="es-ES"/>
          <w:b/>
        </w:rPr>
        <w:t>Fuentes y referencias</w:t>
      </w:r>
    </w:p>
    <w:p>
      <w:pPr>
        <w:spacing w:after="100" w:line="250" w:lineRule="auto"/>
        <w:keepLines/>
      </w:pPr>
      <w:r>
        <w:rPr>
          <w:lang w:val="es-ES"/>
        </w:rPr>
        <w:t>S01 Reglamento (UE) 2016/679 (GDPR), texto oficial EUR-Lex. https://eur-lex.europa.eu/eli/reg/2016/679/oj/eng/</w:t>
      </w:r>
    </w:p>
    <w:p>
      <w:pPr>
        <w:spacing w:after="100" w:line="250" w:lineRule="auto"/>
        <w:keepLines/>
      </w:pPr>
      <w:r>
        <w:rPr>
          <w:lang w:val="es-ES"/>
        </w:rPr>
        <w:t>S02 ICO, Data protection impact assessments. https://ico.org.uk/for-organisations/uk-gdpr-guidance-and-resources/accountability-and-governance/guide-to-accountability-and-governance/data-protection-impact-assessments/</w:t>
      </w:r>
    </w:p>
    <w:p>
      <w:pPr>
        <w:spacing w:after="100" w:line="250" w:lineRule="auto"/>
        <w:keepLines/>
      </w:pPr>
      <w:r>
        <w:rPr>
          <w:lang w:val="es-ES"/>
        </w:rPr>
        <w:t>S03 LINDDUN, Privacy threat types. https://linddun.org/threat-types/</w:t>
      </w:r>
    </w:p>
    <w:p>
      <w:pPr>
        <w:spacing w:after="100" w:line="250" w:lineRule="auto"/>
        <w:keepLines/>
      </w:pPr>
      <w:r>
        <w:rPr>
          <w:lang w:val="es-ES"/>
        </w:rPr>
        <w:t>S04 LINDDUN GO, categorías de amenazas. https://linddun.org/linddun-go-categories/</w:t>
      </w:r>
    </w:p>
    <w:p>
      <w:pPr>
        <w:spacing w:after="100" w:line="250" w:lineRule="auto"/>
        <w:keepLines/>
      </w:pPr>
      <w:r>
        <w:rPr>
          <w:lang w:val="es-ES"/>
        </w:rPr>
        <w:t>S05 Diario Oficial El Peruano, Ley de Protección de Datos Personales, Ley N.° 29733 (normas legales actualizadas). https://diariooficial.elperuano.pe/Normas/obtenerDocumento?idNorma=23</w:t>
      </w:r>
    </w:p>
    <w:p>
      <w:pPr>
        <w:spacing w:after="100" w:line="250" w:lineRule="auto"/>
        <w:keepLines/>
      </w:pPr>
      <w:r>
        <w:rPr>
          <w:lang w:val="es-ES"/>
        </w:rPr>
        <w:t>S06 Código fuente del backend. https://github.com/Vasc0D/hands-on-privacidad-ds3031/tree/main/backend</w:t>
      </w:r>
    </w:p>
    <w:sectPr w:rsidR="006B061A" w:rsidRPr="00CF39D4" w:rsidSect="00FF5EBD">
      <w:footerReference w:type="default" r:id="rId14"/>
      <w:pgSz w:w="11906" w:h="16838"/>
      <w:pgMar w:top="1440" w:right="992"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1C996" w14:textId="77777777" w:rsidR="004B2683" w:rsidRDefault="004B2683" w:rsidP="0048248F">
      <w:pPr>
        <w:spacing w:line="240" w:lineRule="auto"/>
      </w:pPr>
      <w:r>
        <w:separator/>
      </w:r>
    </w:p>
  </w:endnote>
  <w:endnote w:type="continuationSeparator" w:id="0">
    <w:p w14:paraId="05D3FD6B" w14:textId="77777777" w:rsidR="004B2683" w:rsidRDefault="004B2683" w:rsidP="00482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855F" w14:textId="77777777" w:rsidR="00F57385" w:rsidRDefault="00F57385" w:rsidP="0048248F">
    <w:pPr>
      <w:pStyle w:val="Footer"/>
      <w:jc w:val="center"/>
    </w:pPr>
  </w:p>
  <w:p w14:paraId="615BB69A" w14:textId="77777777" w:rsidR="00F57385" w:rsidRDefault="00F57385" w:rsidP="0048248F">
    <w:pPr>
      <w:pStyle w:val="Footer"/>
      <w:tabs>
        <w:tab w:val="clear" w:pos="9026"/>
        <w:tab w:val="right" w:pos="13608"/>
        <w:tab w:val="left" w:pos="13750"/>
      </w:tabs>
      <w:rPr>
        <w:sz w:val="20"/>
      </w:rPr>
    </w:pPr>
    <w:r w:rsidRPr="0048248F">
      <w:rPr>
        <w:sz w:val="20"/>
      </w:rPr>
      <w:t>DPIA template</w:t>
    </w:r>
  </w:p>
  <w:p w14:paraId="0875E467" w14:textId="3FBD553D" w:rsidR="00F57385" w:rsidRDefault="00FF5EBD" w:rsidP="0048248F">
    <w:pPr>
      <w:pStyle w:val="Footer"/>
      <w:tabs>
        <w:tab w:val="clear" w:pos="9026"/>
        <w:tab w:val="right" w:pos="13608"/>
        <w:tab w:val="left" w:pos="13750"/>
      </w:tabs>
      <w:rPr>
        <w:sz w:val="20"/>
      </w:rPr>
    </w:pPr>
    <w:r>
      <w:rPr>
        <w:sz w:val="20"/>
      </w:rPr>
      <w:t>20180622</w:t>
    </w:r>
  </w:p>
  <w:p w14:paraId="1D00F69D" w14:textId="21779E76" w:rsidR="00F57385" w:rsidRPr="0048248F" w:rsidRDefault="00FF5EBD" w:rsidP="00C307DC">
    <w:pPr>
      <w:pStyle w:val="Footer"/>
      <w:tabs>
        <w:tab w:val="clear" w:pos="9026"/>
        <w:tab w:val="right" w:pos="9603"/>
        <w:tab w:val="right" w:pos="13608"/>
        <w:tab w:val="left" w:pos="13750"/>
      </w:tabs>
      <w:rPr>
        <w:sz w:val="20"/>
      </w:rPr>
    </w:pPr>
    <w:r>
      <w:rPr>
        <w:sz w:val="20"/>
      </w:rPr>
      <w:t>v0.4</w:t>
    </w:r>
    <w:r w:rsidR="00F57385">
      <w:rPr>
        <w:sz w:val="20"/>
      </w:rPr>
      <w:tab/>
    </w:r>
    <w:r w:rsidR="00F57385">
      <w:rPr>
        <w:sz w:val="20"/>
      </w:rPr>
      <w:tab/>
    </w:r>
    <w:r w:rsidR="00F57385" w:rsidRPr="00C307DC">
      <w:rPr>
        <w:sz w:val="20"/>
      </w:rPr>
      <w:fldChar w:fldCharType="begin"/>
    </w:r>
    <w:r w:rsidR="00F57385" w:rsidRPr="00C307DC">
      <w:rPr>
        <w:sz w:val="20"/>
      </w:rPr>
      <w:instrText xml:space="preserve"> PAGE   \* MERGEFORMAT </w:instrText>
    </w:r>
    <w:r w:rsidR="00F57385" w:rsidRPr="00C307DC">
      <w:rPr>
        <w:sz w:val="20"/>
      </w:rPr>
      <w:fldChar w:fldCharType="separate"/>
    </w:r>
    <w:r w:rsidR="00986C75">
      <w:rPr>
        <w:noProof/>
        <w:sz w:val="20"/>
      </w:rPr>
      <w:t>2</w:t>
    </w:r>
    <w:r w:rsidR="00F57385" w:rsidRPr="00C307DC">
      <w:rPr>
        <w:noProof/>
        <w:sz w:val="20"/>
      </w:rPr>
      <w:fldChar w:fldCharType="end"/>
    </w:r>
    <w:r w:rsidR="00F57385">
      <w:rPr>
        <w:sz w:val="20"/>
      </w:rPr>
      <w:tab/>
    </w:r>
    <w:r w:rsidR="00F57385">
      <w:rPr>
        <w:sz w:val="20"/>
      </w:rPr>
      <w:tab/>
    </w:r>
    <w:r w:rsidR="00F57385">
      <w:rPr>
        <w:sz w:val="20"/>
      </w:rPr>
      <w:tab/>
    </w:r>
    <w:r w:rsidR="00F57385">
      <w:rPr>
        <w:sz w:val="20"/>
      </w:rPr>
      <w:tab/>
    </w:r>
    <w:r w:rsidR="00F57385" w:rsidRPr="0048248F">
      <w:rPr>
        <w:sz w:val="20"/>
      </w:rPr>
      <w:tab/>
    </w:r>
    <w:r w:rsidR="00F57385" w:rsidRPr="0048248F">
      <w:rPr>
        <w:sz w:val="20"/>
      </w:rPr>
      <w:tab/>
    </w:r>
    <w:sdt>
      <w:sdtPr>
        <w:rPr>
          <w:sz w:val="20"/>
        </w:rPr>
        <w:id w:val="-2039499766"/>
        <w:docPartObj>
          <w:docPartGallery w:val="Page Numbers (Bottom of Page)"/>
          <w:docPartUnique/>
        </w:docPartObj>
      </w:sdtPr>
      <w:sdtEndPr>
        <w:rPr>
          <w:noProof/>
        </w:rPr>
      </w:sdtEndPr>
      <w:sdtContent>
        <w:r w:rsidR="00F57385" w:rsidRPr="0048248F">
          <w:rPr>
            <w:sz w:val="20"/>
          </w:rPr>
          <w:fldChar w:fldCharType="begin"/>
        </w:r>
        <w:r w:rsidR="00F57385" w:rsidRPr="0048248F">
          <w:rPr>
            <w:sz w:val="20"/>
          </w:rPr>
          <w:instrText xml:space="preserve"> PAGE   \* MERGEFORMAT </w:instrText>
        </w:r>
        <w:r w:rsidR="00F57385" w:rsidRPr="0048248F">
          <w:rPr>
            <w:sz w:val="20"/>
          </w:rPr>
          <w:fldChar w:fldCharType="separate"/>
        </w:r>
        <w:r w:rsidR="00986C75">
          <w:rPr>
            <w:noProof/>
            <w:sz w:val="20"/>
          </w:rPr>
          <w:t>2</w:t>
        </w:r>
        <w:r w:rsidR="00F57385" w:rsidRPr="0048248F">
          <w:rPr>
            <w:noProof/>
            <w:sz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BF93" w14:textId="77777777" w:rsidR="004B2683" w:rsidRDefault="004B2683" w:rsidP="0048248F">
      <w:pPr>
        <w:spacing w:line="240" w:lineRule="auto"/>
      </w:pPr>
      <w:r>
        <w:separator/>
      </w:r>
    </w:p>
  </w:footnote>
  <w:footnote w:type="continuationSeparator" w:id="0">
    <w:p w14:paraId="11359C3E" w14:textId="77777777" w:rsidR="004B2683" w:rsidRDefault="004B2683" w:rsidP="0048248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F45"/>
    <w:rsid w:val="00003BC8"/>
    <w:rsid w:val="0005055D"/>
    <w:rsid w:val="00065783"/>
    <w:rsid w:val="000959FF"/>
    <w:rsid w:val="000C31E8"/>
    <w:rsid w:val="0018139E"/>
    <w:rsid w:val="001B3DEE"/>
    <w:rsid w:val="001B6597"/>
    <w:rsid w:val="001F3A73"/>
    <w:rsid w:val="002046B7"/>
    <w:rsid w:val="00204F3B"/>
    <w:rsid w:val="00215BA4"/>
    <w:rsid w:val="00245600"/>
    <w:rsid w:val="00251E80"/>
    <w:rsid w:val="002B27C7"/>
    <w:rsid w:val="002F70D1"/>
    <w:rsid w:val="00352679"/>
    <w:rsid w:val="0039281F"/>
    <w:rsid w:val="003A0192"/>
    <w:rsid w:val="003F5E07"/>
    <w:rsid w:val="00402AB4"/>
    <w:rsid w:val="00441F5B"/>
    <w:rsid w:val="00456F53"/>
    <w:rsid w:val="0048248F"/>
    <w:rsid w:val="0049238C"/>
    <w:rsid w:val="004A21D6"/>
    <w:rsid w:val="004B2683"/>
    <w:rsid w:val="004B7418"/>
    <w:rsid w:val="00511C53"/>
    <w:rsid w:val="00525F09"/>
    <w:rsid w:val="0053350F"/>
    <w:rsid w:val="00583AAF"/>
    <w:rsid w:val="005D6575"/>
    <w:rsid w:val="00604007"/>
    <w:rsid w:val="006857A6"/>
    <w:rsid w:val="006877AF"/>
    <w:rsid w:val="006B061A"/>
    <w:rsid w:val="00757C46"/>
    <w:rsid w:val="00796142"/>
    <w:rsid w:val="007E352D"/>
    <w:rsid w:val="00806EF4"/>
    <w:rsid w:val="00857B3B"/>
    <w:rsid w:val="008B3146"/>
    <w:rsid w:val="00986C75"/>
    <w:rsid w:val="009F567A"/>
    <w:rsid w:val="00A63285"/>
    <w:rsid w:val="00A93461"/>
    <w:rsid w:val="00B21F45"/>
    <w:rsid w:val="00B650E6"/>
    <w:rsid w:val="00BA2516"/>
    <w:rsid w:val="00BA7CB2"/>
    <w:rsid w:val="00BC3382"/>
    <w:rsid w:val="00C307DC"/>
    <w:rsid w:val="00C8036D"/>
    <w:rsid w:val="00CF366C"/>
    <w:rsid w:val="00CF39D4"/>
    <w:rsid w:val="00CF49A9"/>
    <w:rsid w:val="00D457A5"/>
    <w:rsid w:val="00D709C3"/>
    <w:rsid w:val="00D7227C"/>
    <w:rsid w:val="00DB5741"/>
    <w:rsid w:val="00DC3D22"/>
    <w:rsid w:val="00DF08A1"/>
    <w:rsid w:val="00E555BD"/>
    <w:rsid w:val="00E71854"/>
    <w:rsid w:val="00EF6F98"/>
    <w:rsid w:val="00F018E9"/>
    <w:rsid w:val="00F12967"/>
    <w:rsid w:val="00F14E07"/>
    <w:rsid w:val="00F2092C"/>
    <w:rsid w:val="00F27089"/>
    <w:rsid w:val="00F57385"/>
    <w:rsid w:val="00F77DFB"/>
    <w:rsid w:val="00F87E78"/>
    <w:rsid w:val="00FA2A9A"/>
    <w:rsid w:val="00FB2A94"/>
    <w:rsid w:val="00FF5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9BA55"/>
  <w15:docId w15:val="{44DEB12B-FE1C-46F5-AFB0-DD0F1184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85"/>
    <w:pPr>
      <w:spacing w:after="0"/>
    </w:pPr>
    <w:rPr>
      <w:sz w:val="23"/>
    </w:rPr>
  </w:style>
  <w:style w:type="paragraph" w:styleId="Heading1">
    <w:name w:val="heading 1"/>
    <w:basedOn w:val="Normal"/>
    <w:next w:val="Normal"/>
    <w:link w:val="Heading1Char"/>
    <w:uiPriority w:val="9"/>
    <w:qFormat/>
    <w:rsid w:val="000959FF"/>
    <w:pPr>
      <w:keepNext/>
      <w:pBdr>
        <w:top w:val="single" w:sz="4" w:space="1" w:color="auto"/>
        <w:left w:val="single" w:sz="4" w:space="4" w:color="auto"/>
        <w:bottom w:val="single" w:sz="4" w:space="1" w:color="auto"/>
        <w:right w:val="single" w:sz="4" w:space="4" w:color="auto"/>
      </w:pBdr>
      <w:shd w:val="clear" w:color="auto" w:fill="002060"/>
      <w:spacing w:before="240" w:after="240" w:line="240" w:lineRule="auto"/>
      <w:outlineLvl w:val="0"/>
    </w:pPr>
    <w:rPr>
      <w:rFonts w:ascii="Georgia" w:hAnsi="Georgia"/>
      <w:color w:val="FFFFFF" w:themeColor="background1"/>
      <w:sz w:val="36"/>
      <w:szCs w:val="24"/>
      <w:lang w:val="en-US"/>
    </w:rPr>
  </w:style>
  <w:style w:type="paragraph" w:styleId="Heading2">
    <w:name w:val="heading 2"/>
    <w:basedOn w:val="Normal"/>
    <w:next w:val="Normal"/>
    <w:link w:val="Heading2Char"/>
    <w:uiPriority w:val="9"/>
    <w:unhideWhenUsed/>
    <w:qFormat/>
    <w:rsid w:val="000959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1F45"/>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5600"/>
    <w:rPr>
      <w:sz w:val="16"/>
      <w:szCs w:val="16"/>
    </w:rPr>
  </w:style>
  <w:style w:type="paragraph" w:styleId="CommentText">
    <w:name w:val="annotation text"/>
    <w:basedOn w:val="Normal"/>
    <w:link w:val="CommentTextChar"/>
    <w:uiPriority w:val="99"/>
    <w:semiHidden/>
    <w:unhideWhenUsed/>
    <w:rsid w:val="00245600"/>
    <w:pPr>
      <w:spacing w:line="240" w:lineRule="auto"/>
    </w:pPr>
    <w:rPr>
      <w:sz w:val="20"/>
      <w:szCs w:val="20"/>
    </w:rPr>
  </w:style>
  <w:style w:type="character" w:customStyle="1" w:styleId="CommentTextChar">
    <w:name w:val="Comment Text Char"/>
    <w:basedOn w:val="DefaultParagraphFont"/>
    <w:link w:val="CommentText"/>
    <w:uiPriority w:val="99"/>
    <w:semiHidden/>
    <w:rsid w:val="00245600"/>
    <w:rPr>
      <w:sz w:val="20"/>
      <w:szCs w:val="20"/>
    </w:rPr>
  </w:style>
  <w:style w:type="paragraph" w:styleId="CommentSubject">
    <w:name w:val="annotation subject"/>
    <w:basedOn w:val="CommentText"/>
    <w:next w:val="CommentText"/>
    <w:link w:val="CommentSubjectChar"/>
    <w:uiPriority w:val="99"/>
    <w:semiHidden/>
    <w:unhideWhenUsed/>
    <w:rsid w:val="00245600"/>
    <w:rPr>
      <w:b/>
      <w:bCs/>
    </w:rPr>
  </w:style>
  <w:style w:type="character" w:customStyle="1" w:styleId="CommentSubjectChar">
    <w:name w:val="Comment Subject Char"/>
    <w:basedOn w:val="CommentTextChar"/>
    <w:link w:val="CommentSubject"/>
    <w:uiPriority w:val="99"/>
    <w:semiHidden/>
    <w:rsid w:val="00245600"/>
    <w:rPr>
      <w:b/>
      <w:bCs/>
      <w:sz w:val="20"/>
      <w:szCs w:val="20"/>
    </w:rPr>
  </w:style>
  <w:style w:type="paragraph" w:styleId="BalloonText">
    <w:name w:val="Balloon Text"/>
    <w:basedOn w:val="Normal"/>
    <w:link w:val="BalloonTextChar"/>
    <w:uiPriority w:val="99"/>
    <w:semiHidden/>
    <w:unhideWhenUsed/>
    <w:rsid w:val="0024560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600"/>
    <w:rPr>
      <w:rFonts w:ascii="Tahoma" w:hAnsi="Tahoma" w:cs="Tahoma"/>
      <w:sz w:val="16"/>
      <w:szCs w:val="16"/>
    </w:rPr>
  </w:style>
  <w:style w:type="character" w:styleId="Hyperlink">
    <w:name w:val="Hyperlink"/>
    <w:basedOn w:val="DefaultParagraphFont"/>
    <w:uiPriority w:val="99"/>
    <w:unhideWhenUsed/>
    <w:rsid w:val="0039281F"/>
    <w:rPr>
      <w:color w:val="0000FF" w:themeColor="hyperlink"/>
      <w:u w:val="single"/>
    </w:rPr>
  </w:style>
  <w:style w:type="character" w:customStyle="1" w:styleId="Heading1Char">
    <w:name w:val="Heading 1 Char"/>
    <w:basedOn w:val="DefaultParagraphFont"/>
    <w:link w:val="Heading1"/>
    <w:uiPriority w:val="9"/>
    <w:rsid w:val="000959FF"/>
    <w:rPr>
      <w:rFonts w:ascii="Georgia" w:hAnsi="Georgia"/>
      <w:color w:val="FFFFFF" w:themeColor="background1"/>
      <w:sz w:val="36"/>
      <w:szCs w:val="24"/>
      <w:shd w:val="clear" w:color="auto" w:fill="002060"/>
      <w:lang w:val="en-US"/>
    </w:rPr>
  </w:style>
  <w:style w:type="paragraph" w:styleId="Title">
    <w:name w:val="Title"/>
    <w:basedOn w:val="Normal"/>
    <w:next w:val="Normal"/>
    <w:link w:val="TitleChar"/>
    <w:uiPriority w:val="10"/>
    <w:qFormat/>
    <w:rsid w:val="0053350F"/>
    <w:pPr>
      <w:spacing w:line="240" w:lineRule="auto"/>
    </w:pPr>
    <w:rPr>
      <w:rFonts w:ascii="Georgia" w:hAnsi="Georgia"/>
      <w:color w:val="0070C0"/>
      <w:sz w:val="48"/>
      <w:szCs w:val="24"/>
    </w:rPr>
  </w:style>
  <w:style w:type="character" w:customStyle="1" w:styleId="TitleChar">
    <w:name w:val="Title Char"/>
    <w:basedOn w:val="DefaultParagraphFont"/>
    <w:link w:val="Title"/>
    <w:uiPriority w:val="10"/>
    <w:rsid w:val="0053350F"/>
    <w:rPr>
      <w:rFonts w:ascii="Georgia" w:hAnsi="Georgia"/>
      <w:color w:val="0070C0"/>
      <w:sz w:val="48"/>
      <w:szCs w:val="24"/>
    </w:rPr>
  </w:style>
  <w:style w:type="character" w:customStyle="1" w:styleId="Heading2Char">
    <w:name w:val="Heading 2 Char"/>
    <w:basedOn w:val="DefaultParagraphFont"/>
    <w:link w:val="Heading2"/>
    <w:uiPriority w:val="9"/>
    <w:rsid w:val="000959FF"/>
    <w:rPr>
      <w:rFonts w:asciiTheme="majorHAnsi" w:eastAsiaTheme="majorEastAsia" w:hAnsiTheme="majorHAnsi" w:cstheme="majorBidi"/>
      <w:color w:val="365F91" w:themeColor="accent1" w:themeShade="BF"/>
      <w:sz w:val="26"/>
      <w:szCs w:val="26"/>
    </w:rPr>
  </w:style>
  <w:style w:type="paragraph" w:styleId="Header">
    <w:name w:val="header"/>
    <w:basedOn w:val="Normal"/>
    <w:link w:val="HeaderChar"/>
    <w:uiPriority w:val="99"/>
    <w:unhideWhenUsed/>
    <w:rsid w:val="0048248F"/>
    <w:pPr>
      <w:tabs>
        <w:tab w:val="center" w:pos="4513"/>
        <w:tab w:val="right" w:pos="9026"/>
      </w:tabs>
      <w:spacing w:line="240" w:lineRule="auto"/>
    </w:pPr>
  </w:style>
  <w:style w:type="character" w:customStyle="1" w:styleId="HeaderChar">
    <w:name w:val="Header Char"/>
    <w:basedOn w:val="DefaultParagraphFont"/>
    <w:link w:val="Header"/>
    <w:uiPriority w:val="99"/>
    <w:rsid w:val="0048248F"/>
    <w:rPr>
      <w:sz w:val="23"/>
    </w:rPr>
  </w:style>
  <w:style w:type="paragraph" w:styleId="Footer">
    <w:name w:val="footer"/>
    <w:basedOn w:val="Normal"/>
    <w:link w:val="FooterChar"/>
    <w:uiPriority w:val="99"/>
    <w:unhideWhenUsed/>
    <w:rsid w:val="0048248F"/>
    <w:pPr>
      <w:tabs>
        <w:tab w:val="center" w:pos="4513"/>
        <w:tab w:val="right" w:pos="9026"/>
      </w:tabs>
      <w:spacing w:line="240" w:lineRule="auto"/>
    </w:pPr>
  </w:style>
  <w:style w:type="character" w:customStyle="1" w:styleId="FooterChar">
    <w:name w:val="Footer Char"/>
    <w:basedOn w:val="DefaultParagraphFont"/>
    <w:link w:val="Footer"/>
    <w:uiPriority w:val="99"/>
    <w:rsid w:val="0048248F"/>
    <w:rPr>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ec.europa.eu/newsroom/document.cfm?doc_id=47711"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bfc18c49-0394-481a-ba4a-a4ceacd0e392" ContentTypeId="0x01010020270C6529EA0544B2EFE190A98965FD" PreviousValue="false"/>
</file>

<file path=customXml/item2.xml><?xml version="1.0" encoding="utf-8"?>
<ct:contentTypeSchema xmlns:ct="http://schemas.microsoft.com/office/2006/metadata/contentType" xmlns:ma="http://schemas.microsoft.com/office/2006/metadata/properties/metaAttributes" ct:_="" ma:_="" ma:contentTypeName="ICO General Document" ma:contentTypeID="0x01010020270C6529EA0544B2EFE190A98965FD00D5483AED48BE444ABA1D07C4FEE9754F" ma:contentTypeVersion="297" ma:contentTypeDescription="Create a new document." ma:contentTypeScope="" ma:versionID="8e4241347827954f44a7e021d07d356a">
  <xsd:schema xmlns:xsd="http://www.w3.org/2001/XMLSchema" xmlns:xs="http://www.w3.org/2001/XMLSchema" xmlns:p="http://schemas.microsoft.com/office/2006/metadata/properties" xmlns:ns2="6495cd43-30b7-45da-972d-05dc6321e6bd" xmlns:ns3="5e47d0b3-8113-496a-b81f-22bab7531f6a" targetNamespace="http://schemas.microsoft.com/office/2006/metadata/properties" ma:root="true" ma:fieldsID="216626807078dd590bf783a048295eda" ns2:_="" ns3:_="">
    <xsd:import namespace="6495cd43-30b7-45da-972d-05dc6321e6bd"/>
    <xsd:import namespace="5e47d0b3-8113-496a-b81f-22bab7531f6a"/>
    <xsd:element name="properties">
      <xsd:complexType>
        <xsd:sequence>
          <xsd:element name="documentManagement">
            <xsd:complexType>
              <xsd:all>
                <xsd:element ref="ns2:Email_x0020_Date" minOccurs="0"/>
                <xsd:element ref="ns2:Security_x0020_classification" minOccurs="0"/>
                <xsd:element ref="ns3:_dlc_DocId" minOccurs="0"/>
                <xsd:element ref="ns3:_dlc_DocIdUrl" minOccurs="0"/>
                <xsd:element ref="ns3:_dlc_DocIdPersistId" minOccurs="0"/>
                <xsd:element ref="ns3:TaxCatchAll" minOccurs="0"/>
                <xsd:element ref="ns3:TaxCatchAllLabel"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95cd43-30b7-45da-972d-05dc6321e6bd" elementFormDefault="qualified">
    <xsd:import namespace="http://schemas.microsoft.com/office/2006/documentManagement/types"/>
    <xsd:import namespace="http://schemas.microsoft.com/office/infopath/2007/PartnerControls"/>
    <xsd:element name="Email_x0020_Date" ma:index="2" nillable="true" ma:displayName="Email Date" ma:format="DateOnly" ma:internalName="Email_x0020_Date">
      <xsd:simpleType>
        <xsd:restriction base="dms:DateTime"/>
      </xsd:simpleType>
    </xsd:element>
    <xsd:element name="Security_x0020_classification" ma:index="3" nillable="true" ma:displayName="Security classification" ma:default="Official" ma:format="Dropdown" ma:internalName="Security_x0020_classification" ma:readOnly="false">
      <xsd:simpleType>
        <xsd:restriction base="dms:Choice">
          <xsd:enumeration value="Official"/>
          <xsd:enumeration value="Official - sensitive"/>
        </xsd:restriction>
      </xsd:simpleType>
    </xsd:element>
    <xsd:element name="DLCPolicyLabelValue" ma:index="1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7"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e47d0b3-8113-496a-b81f-22bab7531f6a" elementFormDefault="qualified">
    <xsd:import namespace="http://schemas.microsoft.com/office/2006/documentManagement/types"/>
    <xsd:import namespace="http://schemas.microsoft.com/office/infopath/2007/PartnerControls"/>
    <xsd:element name="_dlc_DocId" ma:index="7" nillable="true" ma:displayName="Document ID Value" ma:description="The value of the document ID assigned to this item." ma:internalName="_dlc_DocId" ma:readOnly="true">
      <xsd:simpleType>
        <xsd:restriction base="dms:Text"/>
      </xsd:simpleType>
    </xsd:element>
    <xsd:element name="_dlc_DocIdUrl" ma:index="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TaxCatchAll" ma:index="10" nillable="true" ma:displayName="Taxonomy Catch All Column" ma:hidden="true" ma:list="{00F9D136-882E-49CB-9A6E-2B7D91F69A39}" ma:internalName="TaxCatchAll" ma:showField="CatchAllData" ma:web="{e334e981-dc97-4e8c-952f-d8eda2f0729c}">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00F9D136-882E-49CB-9A6E-2B7D91F69A39}" ma:internalName="TaxCatchAllLabel" ma:readOnly="true" ma:showField="CatchAllDataLabel" ma:web="{e334e981-dc97-4e8c-952f-d8eda2f072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LCPolicyLabelClientValue xmlns="6495cd43-30b7-45da-972d-05dc6321e6bd" xsi:nil="true"/>
    <TaxCatchAll xmlns="5e47d0b3-8113-496a-b81f-22bab7531f6a"/>
    <Security_x0020_classification xmlns="6495cd43-30b7-45da-972d-05dc6321e6bd" xsi:nil="true"/>
    <Email_x0020_Date xmlns="6495cd43-30b7-45da-972d-05dc6321e6bd" xsi:nil="true"/>
    <DLCPolicyLabelLock xmlns="6495cd43-30b7-45da-972d-05dc6321e6bd" xsi:nil="true"/>
    <_dlc_DocId xmlns="5e47d0b3-8113-496a-b81f-22bab7531f6a" xsi:nil="true"/>
    <_dlc_DocIdUrl xmlns="5e47d0b3-8113-496a-b81f-22bab7531f6a">
      <Url xsi:nil="true"/>
      <Description xsi:nil="true"/>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F30E8-9503-462E-AF86-573A5A04844E}">
  <ds:schemaRefs>
    <ds:schemaRef ds:uri="Microsoft.SharePoint.Taxonomy.ContentTypeSync"/>
  </ds:schemaRefs>
</ds:datastoreItem>
</file>

<file path=customXml/itemProps2.xml><?xml version="1.0" encoding="utf-8"?>
<ds:datastoreItem xmlns:ds="http://schemas.openxmlformats.org/officeDocument/2006/customXml" ds:itemID="{2ECF0491-76A3-400B-B4A4-678486149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95cd43-30b7-45da-972d-05dc6321e6bd"/>
    <ds:schemaRef ds:uri="5e47d0b3-8113-496a-b81f-22bab7531f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B40A47-0CE3-466E-9656-438017E7B38A}">
  <ds:schemaRefs>
    <ds:schemaRef ds:uri="http://schemas.microsoft.com/office/2006/metadata/properties"/>
    <ds:schemaRef ds:uri="http://schemas.microsoft.com/office/infopath/2007/PartnerControls"/>
    <ds:schemaRef ds:uri="6495cd43-30b7-45da-972d-05dc6321e6bd"/>
    <ds:schemaRef ds:uri="5e47d0b3-8113-496a-b81f-22bab7531f6a"/>
  </ds:schemaRefs>
</ds:datastoreItem>
</file>

<file path=customXml/itemProps4.xml><?xml version="1.0" encoding="utf-8"?>
<ds:datastoreItem xmlns:ds="http://schemas.openxmlformats.org/officeDocument/2006/customXml" ds:itemID="{E8C7711F-5296-474A-9193-3213806CD4E8}">
  <ds:schemaRefs>
    <ds:schemaRef ds:uri="http://schemas.microsoft.com/sharepoint/v3/contenttype/forms"/>
  </ds:schemaRefs>
</ds:datastoreItem>
</file>

<file path=customXml/itemProps5.xml><?xml version="1.0" encoding="utf-8"?>
<ds:datastoreItem xmlns:ds="http://schemas.openxmlformats.org/officeDocument/2006/customXml" ds:itemID="{5778B5AC-EDCA-4BB5-9998-AEB774D24F7E}">
  <ds:schemaRefs>
    <ds:schemaRef ds:uri="http://schemas.microsoft.com/sharepoint/events"/>
  </ds:schemaRefs>
</ds:datastoreItem>
</file>

<file path=customXml/itemProps6.xml><?xml version="1.0" encoding="utf-8"?>
<ds:datastoreItem xmlns:ds="http://schemas.openxmlformats.org/officeDocument/2006/customXml" ds:itemID="{D91BA5CF-986F-4EB2-ABBD-1C5724213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8</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DPIA suggested process and template</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DPIA suggested process and template</dc:title>
  <dc:creator>Vasco Diaz</dc:creator>
  <cp:lastModifiedBy>Vasco Diaz</cp:lastModifiedBy>
  <cp:revision>11</cp:revision>
  <dcterms:created xsi:type="dcterms:W3CDTF">2018-12-13T09:01:00Z</dcterms:created>
  <dcterms:modified xsi:type="dcterms:W3CDTF">2026-10-24T12:00:00Z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0x01010020270C6529EA0544B2EFE190A98965FD00D5483AED48BE444ABA1D07C4FEE9754F</vt:lpwstr>
  </property>
  <property fmtid="{D5CDD505-2E9C-101B-9397-08002B2CF9AE}" pid="3" name="_dlc_DocIdItemGuid">
    <vt:lpwstr>0bad0418-77ea-4ecd-966a-dec3f7718644</vt:lpwstr>
  </property>
  <property fmtid="{D5CDD505-2E9C-101B-9397-08002B2CF9AE}" pid="4" name="TaxKeyword">
    <vt:lpwstr/>
  </property>
  <property fmtid="{D5CDD505-2E9C-101B-9397-08002B2CF9AE}" pid="5" name="TaxKeywordTaxHTField">
    <vt:lpwstr/>
  </property>
</Properties>
</file>