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IB Nutrição — Inês Bandarra</w:t>
      </w:r>
    </w:p>
    <w:p>
      <w:pPr>
        <w:jc w:val="center"/>
      </w:pPr>
      <w:r>
        <w:rPr>
          <w:color w:val="666666"/>
          <w:sz w:val="20"/>
        </w:rPr>
        <w:t>Política de Privacidade</w:t>
      </w:r>
    </w:p>
    <w:p>
      <w:pPr>
        <w:jc w:val="center"/>
      </w:pPr>
      <w:r>
        <w:rPr>
          <w:i/>
          <w:color w:val="888888"/>
          <w:sz w:val="18"/>
        </w:rPr>
        <w:t>Documento para revisão jurídica · versão revista, ainda não publicada · https://inesbandarranutricao.com/politica-de-privacidade · 26/10/2026</w:t>
      </w:r>
    </w:p>
    <w:p/>
    <w:p>
      <w:pPr>
        <w:pStyle w:val="Title"/>
      </w:pPr>
      <w:r>
        <w:t>Política de Privacidade</w:t>
      </w:r>
    </w:p>
    <w:p>
      <w:r>
        <w:t xml:space="preserve">Última atualização: 26 de outubro de 2026</w:t>
      </w:r>
    </w:p>
    <w:p>
      <w:r>
        <w:t>Esta Política de Privacidade explica que dados pessoais são recolhidos através do site inesbandarranutricao.com, incluindo o sistema de marcação e gestão de consultas, com que finalidades são tratados, durante quanto tempo são conservados e que direitos lhe assistem. Foi elaborada nos termos do Regulamento (UE) 2016/679 (RGPD) e da Lei n.º 58/2019, de 8 de agosto.</w:t>
      </w:r>
    </w:p>
    <w:p>
      <w:pPr>
        <w:pStyle w:val="Heading1"/>
      </w:pPr>
      <w:r>
        <w:t>1. Responsável pelo tratamento</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RESPONSÁVEL</w:t>
            </w:r>
          </w:p>
        </w:tc>
        <w:tc>
          <w:tcPr>
            <w:tcW w:type="dxa" w:w="4320"/>
          </w:tcPr>
          <w:p>
            <w:r>
              <w:t>Inês Bandarra (IB Nutrição), Nutricionista Materno-Infantil e Pediátrica</w:t>
            </w:r>
          </w:p>
        </w:tc>
      </w:tr>
      <w:tr>
        <w:tc>
          <w:tcPr>
            <w:tcW w:type="dxa" w:w="4320"/>
          </w:tcPr>
          <w:p>
            <w:r>
              <w:rPr>
                <w:b/>
              </w:rPr>
              <w:t>NIF</w:t>
            </w:r>
          </w:p>
        </w:tc>
        <w:tc>
          <w:tcPr>
            <w:tcW w:type="dxa" w:w="4320"/>
          </w:tcPr>
          <w:p>
            <w:r>
              <w:t>266758320</w:t>
            </w:r>
          </w:p>
        </w:tc>
      </w:tr>
      <w:tr>
        <w:tc>
          <w:tcPr>
            <w:tcW w:type="dxa" w:w="4320"/>
          </w:tcPr>
          <w:p>
            <w:r>
              <w:rPr>
                <w:b/>
              </w:rPr>
              <w:t>INSCRIÇÃO</w:t>
            </w:r>
          </w:p>
        </w:tc>
        <w:tc>
          <w:tcPr>
            <w:tcW w:type="dxa" w:w="4320"/>
          </w:tcPr>
          <w:p>
            <w:r>
              <w:t>Ordem dos Nutricionistas — Cédula profissional n.º 5976N</w:t>
            </w:r>
          </w:p>
        </w:tc>
      </w:tr>
      <w:tr>
        <w:tc>
          <w:tcPr>
            <w:tcW w:type="dxa" w:w="4320"/>
          </w:tcPr>
          <w:p>
            <w:r>
              <w:rPr>
                <w:b/>
              </w:rPr>
              <w:t>LOCAIS DE ATENDIMENTO</w:t>
            </w:r>
          </w:p>
        </w:tc>
        <w:tc>
          <w:tcPr>
            <w:tcW w:type="dxa" w:w="4320"/>
          </w:tcPr>
          <w:p>
            <w:r>
              <w:t>Clínica Manus — Angra do Heroísmo, Ilha Terceira, Açores · Centro de Psicologia Flávia Bessa — Angra do Heroísmo, Ilha Terceira, Açores</w:t>
            </w:r>
          </w:p>
        </w:tc>
      </w:tr>
      <w:tr>
        <w:tc>
          <w:tcPr>
            <w:tcW w:type="dxa" w:w="4320"/>
          </w:tcPr>
          <w:p>
            <w:r>
              <w:rPr>
                <w:b/>
              </w:rPr>
              <w:t>E-MAIL</w:t>
            </w:r>
          </w:p>
        </w:tc>
        <w:tc>
          <w:tcPr>
            <w:tcW w:type="dxa" w:w="4320"/>
          </w:tcPr>
          <w:p>
            <w:r>
              <w:t>inesbandarranutricao@gmail.com</w:t>
            </w:r>
          </w:p>
        </w:tc>
      </w:tr>
      <w:tr>
        <w:tc>
          <w:tcPr>
            <w:tcW w:type="dxa" w:w="4320"/>
          </w:tcPr>
          <w:p>
            <w:r>
              <w:rPr>
                <w:b/>
              </w:rPr>
              <w:t>TELEFONE</w:t>
            </w:r>
          </w:p>
        </w:tc>
        <w:tc>
          <w:tcPr>
            <w:tcW w:type="dxa" w:w="4320"/>
          </w:tcPr>
          <w:p>
            <w:r>
              <w:t>+351 969 743 355</w:t>
            </w:r>
          </w:p>
        </w:tc>
      </w:tr>
    </w:tbl>
    <w:p/>
    <w:p>
      <w:r>
        <w:t>Não está designado um Encarregado de Proteção de Dados, por não se verificarem os requisitos do artigo 37.º do RGPD. Qualquer questão relativa a dados pessoais deve ser dirigida aos contactos acima.</w:t>
      </w:r>
    </w:p>
    <w:p>
      <w:pPr>
        <w:pStyle w:val="Heading1"/>
      </w:pPr>
      <w:r>
        <w:t>2. Âmbito de aplicação</w:t>
      </w:r>
    </w:p>
    <w:p>
      <w:r>
        <w:t>Esta política aplica-se a todo o serviço, nomeadamente:</w:t>
      </w:r>
    </w:p>
    <w:p>
      <w:pPr>
        <w:pStyle w:val="ListBullet"/>
      </w:pPr>
      <w:r>
        <w:t>ao site institucional e às suas páginas informativas;</w:t>
      </w:r>
    </w:p>
    <w:p>
      <w:pPr>
        <w:pStyle w:val="ListBullet"/>
      </w:pPr>
      <w:r>
        <w:t>ao formulário de contacto;</w:t>
      </w:r>
    </w:p>
    <w:p>
      <w:pPr>
        <w:pStyle w:val="ListBullet"/>
      </w:pPr>
      <w:r>
        <w:t>ao sistema de marcação e gestão de consultas (pedido de marcação, consulta do estado da marcação, pedido de alteração e cancelamento);</w:t>
      </w:r>
    </w:p>
    <w:p>
      <w:pPr>
        <w:pStyle w:val="ListBullet"/>
      </w:pPr>
      <w:r>
        <w:t>à comunicação por e-mail associada às marcações.</w:t>
      </w:r>
    </w:p>
    <w:p>
      <w:r>
        <w:t>Não se aplica a sites de terceiros acessíveis a partir de ligações aqui disponibilizadas, que têm as suas próprias políticas de privacidade.</w:t>
      </w:r>
    </w:p>
    <w:p>
      <w:pPr>
        <w:pStyle w:val="Heading1"/>
      </w:pPr>
      <w:r>
        <w:t>3. Dados pessoais recolhidos</w:t>
      </w:r>
    </w:p>
    <w:p>
      <w:pPr>
        <w:pStyle w:val="Heading2"/>
      </w:pPr>
      <w:r>
        <w:t>3.1. Marcação de consulta</w:t>
      </w:r>
    </w:p>
    <w:p>
      <w:r>
        <w:t>Para submeter um pedido de marcação são recolhidos: tipo de destinatário da consulta (adulto ou bebé/criança), tipo de consulta, regime (presencial ou online), local da consulta quando presencial, nome, idade, endereço de e-mail, contacto telefónico, data e hora pretendidas e, facultativamente, um campo de contexto livre onde pode descrever o motivo da consulta. É ainda gerada uma referência interna da marcação e registados o respetivo estado e a indicação de se se trata de primeira consulta ou de consulta de seguimento.</w:t>
      </w:r>
    </w:p>
    <w:p>
      <w:pPr>
        <w:pStyle w:val="Heading2"/>
      </w:pPr>
      <w:r>
        <w:t>3.2. Dados relativos à saúde</w:t>
      </w:r>
    </w:p>
    <w:p>
      <w:r>
        <w:t>O campo de contexto e a informação partilhada no âmbito da consulta podem conter dados relativos à saúde, que constituem uma categoria especial de dados pessoais (artigo 9.º do RGPD). Estes dados são tratados exclusivamente para a prestação de cuidados de nutrição, ao abrigo do artigo 9.º, n.º 2, alínea h), do RGPD, por profissional sujeita a segredo profissional nos termos do Código Deontológico da Ordem dos Nutricionistas.</w:t>
      </w:r>
    </w:p>
    <w:p>
      <w:r>
        <w:t>Pedimos que não inclua no formulário mais informação clínica do que a necessária para enquadrar o pedido de marcação. O historial clínico detalhado é recolhido em consulta.</w:t>
      </w:r>
    </w:p>
    <w:p>
      <w:pPr>
        <w:pStyle w:val="Heading2"/>
      </w:pPr>
      <w:r>
        <w:t>3.3. Dados de menores</w:t>
      </w:r>
    </w:p>
    <w:p>
      <w:r>
        <w:t>Nas consultas de nutrição materno-infantil e pediátrica são tratados dados de bebés e crianças. Esses dados são fornecidos pelos titulares das responsabilidades parentais, que declaram, ao submeter o formulário, estar legitimados para o fazer. O site não se destina a ser utilizado diretamente por menores.</w:t>
      </w:r>
    </w:p>
    <w:p>
      <w:pPr>
        <w:pStyle w:val="Heading2"/>
      </w:pPr>
      <w:r>
        <w:t>3.4. Formulário de contacto</w:t>
      </w:r>
    </w:p>
    <w:p>
      <w:r>
        <w:t>Nome, endereço de e-mail, contacto telefónico (facultativo), assunto e mensagem. Estes dados são enviados por e-mail para a caixa de correio da nutricionista e não são guardados na base de dados do site.</w:t>
      </w:r>
    </w:p>
    <w:p>
      <w:pPr>
        <w:pStyle w:val="Heading2"/>
      </w:pPr>
      <w:r>
        <w:t>3.5. Dados técnicos</w:t>
      </w:r>
    </w:p>
    <w:p>
      <w:r>
        <w:t xml:space="preserve">Por razões de segurança e de funcionamento, o servidor regista o método e o endereço do pedido, o código de resposta e o endereço IP de origem. Estes registos são usados para deteção de abusos e limitação do número de pedidos por origem, e não são utilizados para criar perfis nem para publicidade.</w:t>
      </w:r>
    </w:p>
    <w:p>
      <w:pPr>
        <w:pStyle w:val="Heading2"/>
      </w:pPr>
      <w:r>
        <w:t xml:space="preserve">3.6. Consultas online</w:t>
      </w:r>
    </w:p>
    <w:p>
      <w:r>
        <w:t xml:space="preserve">As consultas em regime online são realizadas por videochamada através do Google Meet, cujo endereço de acesso é enviado por e-mail. Para estabelecer a chamada, a Google trata dados técnicos da ligação (como o endereço IP, o tipo de dispositivo e a duração da chamada) e, se aceder com uma conta Google, o seu nome e endereço de e-mail. As comunicações são cifradas em trânsito. As consultas não são gravadas.</w:t>
      </w:r>
    </w:p>
    <w:p>
      <w:r>
        <w:t xml:space="preserve">A nutricionista realiza as consultas online num espaço reservado, de modo a garantir a confidencialidade da conversa. Recomenda-se que o utente faça o mesmo, utilize um equipamento e uma ligação à Internet de confiança e não grave a sessão sem o consentimento de ambas as partes. A utilização de meios digitais comporta riscos que não podem ser totalmente eliminados, como falhas de ligação ou o acesso indevido ao equipamento do próprio utente.</w:t>
      </w:r>
    </w:p>
    <w:p>
      <w:pPr>
        <w:pStyle w:val="Heading1"/>
      </w:pPr>
      <w:r>
        <w:t>4. Finalidades e fundamentos de licitude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FINALIDADE</w:t>
            </w:r>
          </w:p>
        </w:tc>
        <w:tc>
          <w:tcPr>
            <w:tcW w:type="dxa" w:w="2880"/>
          </w:tcPr>
          <w:p>
            <w:r>
              <w:rPr>
                <w:b/>
              </w:rPr>
              <w:t>DADOS</w:t>
            </w:r>
          </w:p>
        </w:tc>
        <w:tc>
          <w:tcPr>
            <w:tcW w:type="dxa" w:w="2880"/>
          </w:tcPr>
          <w:p>
            <w:r>
              <w:rPr>
                <w:b/>
              </w:rPr>
              <w:t>FUNDAMENTO DE LICITUDE</w:t>
            </w:r>
          </w:p>
        </w:tc>
      </w:tr>
      <w:tr>
        <w:tc>
          <w:tcPr>
            <w:tcW w:type="dxa" w:w="2880"/>
          </w:tcPr>
          <w:p>
            <w:r>
              <w:t>Registar, confirmar e gerir pedidos de marcação de consulta</w:t>
            </w:r>
          </w:p>
        </w:tc>
        <w:tc>
          <w:tcPr>
            <w:tcW w:type="dxa" w:w="2880"/>
          </w:tcPr>
          <w:p>
            <w:r>
              <w:t>Identificação e contacto, dados da marcação</w:t>
            </w:r>
          </w:p>
        </w:tc>
        <w:tc>
          <w:tcPr>
            <w:tcW w:type="dxa" w:w="2880"/>
          </w:tcPr>
          <w:p>
            <w:r>
              <w:t>Artigo 6.º, n.º 1, al. b) — diligências pré-contratuais e execução do contrato</w:t>
            </w:r>
          </w:p>
        </w:tc>
      </w:tr>
      <w:tr>
        <w:tc>
          <w:tcPr>
            <w:tcW w:type="dxa" w:w="2880"/>
          </w:tcPr>
          <w:p>
            <w:r>
              <w:t>Prestação de cuidados de nutrição</w:t>
            </w:r>
          </w:p>
        </w:tc>
        <w:tc>
          <w:tcPr>
            <w:tcW w:type="dxa" w:w="2880"/>
          </w:tcPr>
          <w:p>
            <w:r>
              <w:t>Dados relativos à saúde</w:t>
            </w:r>
          </w:p>
        </w:tc>
        <w:tc>
          <w:tcPr>
            <w:tcW w:type="dxa" w:w="2880"/>
          </w:tcPr>
          <w:p>
            <w:r>
              <w:t>Artigo 9.º, n.º 2, al. h) — prestação de cuidados de saúde por profissional sujeita a segredo</w:t>
            </w:r>
          </w:p>
        </w:tc>
      </w:tr>
      <w:tr>
        <w:tc>
          <w:tcPr>
            <w:tcW w:type="dxa" w:w="2880"/>
          </w:tcPr>
          <w:p>
            <w:r>
              <w:t>Envio de e-mails transacionais (marcação recebida, confirmação, alteração, cancelamento)</w:t>
            </w:r>
          </w:p>
        </w:tc>
        <w:tc>
          <w:tcPr>
            <w:tcW w:type="dxa" w:w="2880"/>
          </w:tcPr>
          <w:p>
            <w:r>
              <w:t>Nome, e-mail, dados da marcação</w:t>
            </w:r>
          </w:p>
        </w:tc>
        <w:tc>
          <w:tcPr>
            <w:tcW w:type="dxa" w:w="2880"/>
          </w:tcPr>
          <w:p>
            <w:r>
              <w:t>Artigo 6.º, n.º 1, al. b) — execução do contrato</w:t>
            </w:r>
          </w:p>
        </w:tc>
      </w:tr>
      <w:tr>
        <w:tc>
          <w:tcPr>
            <w:tcW w:type="dxa" w:w="2880"/>
          </w:tcPr>
          <w:p>
            <w:r>
              <w:t>Gestão da agenda e prevenção de sobreposição de consultas</w:t>
            </w:r>
          </w:p>
        </w:tc>
        <w:tc>
          <w:tcPr>
            <w:tcW w:type="dxa" w:w="2880"/>
          </w:tcPr>
          <w:p>
            <w:r>
              <w:t>Data, hora, duração, regime e local</w:t>
            </w:r>
          </w:p>
        </w:tc>
        <w:tc>
          <w:tcPr>
            <w:tcW w:type="dxa" w:w="2880"/>
          </w:tcPr>
          <w:p>
            <w:r>
              <w:t>Artigo 6.º, n.º 1, al. b) — execução do contrato</w:t>
            </w:r>
          </w:p>
        </w:tc>
      </w:tr>
      <w:tr>
        <w:tc>
          <w:tcPr>
            <w:tcW w:type="dxa" w:w="2880"/>
          </w:tcPr>
          <w:p>
            <w:r>
              <w:t>Resposta a mensagens enviadas pelo formulário de contacto</w:t>
            </w:r>
          </w:p>
        </w:tc>
        <w:tc>
          <w:tcPr>
            <w:tcW w:type="dxa" w:w="2880"/>
          </w:tcPr>
          <w:p>
            <w:r>
              <w:t>Nome, e-mail, telefone, mensagem</w:t>
            </w:r>
          </w:p>
        </w:tc>
        <w:tc>
          <w:tcPr>
            <w:tcW w:type="dxa" w:w="2880"/>
          </w:tcPr>
          <w:p>
            <w:r>
              <w:t>Artigo 6.º, n.º 1, al. f) — interesse legítimo em responder a quem nos contacta</w:t>
            </w:r>
          </w:p>
        </w:tc>
      </w:tr>
      <w:tr>
        <w:tc>
          <w:tcPr>
            <w:tcW w:type="dxa" w:w="2880"/>
          </w:tcPr>
          <w:p>
            <w:r>
              <w:t>Faturação e cumprimento de obrigações fiscais e contabilísticas</w:t>
            </w:r>
          </w:p>
        </w:tc>
        <w:tc>
          <w:tcPr>
            <w:tcW w:type="dxa" w:w="2880"/>
          </w:tcPr>
          <w:p>
            <w:r>
              <w:t>Identificação, dados de faturação, valor</w:t>
            </w:r>
          </w:p>
        </w:tc>
        <w:tc>
          <w:tcPr>
            <w:tcW w:type="dxa" w:w="2880"/>
          </w:tcPr>
          <w:p>
            <w:r>
              <w:t>Artigo 6.º, n.º 1, al. c) — cumprimento de obrigação jurídica</w:t>
            </w:r>
          </w:p>
        </w:tc>
      </w:tr>
      <w:tr>
        <w:tc>
          <w:tcPr>
            <w:tcW w:type="dxa" w:w="2880"/>
          </w:tcPr>
          <w:p>
            <w:r>
              <w:t>Segurança do serviço, prevenção de abuso e registo de acessos</w:t>
            </w:r>
          </w:p>
        </w:tc>
        <w:tc>
          <w:tcPr>
            <w:tcW w:type="dxa" w:w="2880"/>
          </w:tcPr>
          <w:p>
            <w:r>
              <w:t>Endereço IP e registos de pedidos</w:t>
            </w:r>
          </w:p>
        </w:tc>
        <w:tc>
          <w:tcPr>
            <w:tcW w:type="dxa" w:w="2880"/>
          </w:tcPr>
          <w:p>
            <w:r>
              <w:t>Artigo 6.º, n.º 1, al. f) — interesse legítimo na segurança do sistema</w:t>
            </w:r>
          </w:p>
        </w:tc>
      </w:tr>
    </w:tbl>
    <w:p/>
    <w:p>
      <w:r>
        <w:t>Não é realizada qualquer decisão exclusivamente automatizada com efeitos jurídicos, nem definição de perfis, nem envio de comunicações de marketing sem consentimento prévio e autónomo.</w:t>
      </w:r>
    </w:p>
    <w:p>
      <w:pPr>
        <w:pStyle w:val="Heading1"/>
      </w:pPr>
      <w:r>
        <w:t>5. Prazos de conservação</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CATEGORIA</w:t>
            </w:r>
          </w:p>
        </w:tc>
        <w:tc>
          <w:tcPr>
            <w:tcW w:type="dxa" w:w="4320"/>
          </w:tcPr>
          <w:p>
            <w:r>
              <w:rPr>
                <w:b/>
              </w:rPr>
              <w:t>PRAZO</w:t>
            </w:r>
          </w:p>
        </w:tc>
      </w:tr>
      <w:tr>
        <w:tc>
          <w:tcPr>
            <w:tcW w:type="dxa" w:w="4320"/>
          </w:tcPr>
          <w:p>
            <w:r>
              <w:t>Registo clínico e dados de saúde de utentes</w:t>
            </w:r>
          </w:p>
        </w:tc>
        <w:tc>
          <w:tcPr>
            <w:tcW w:type="dxa" w:w="4320"/>
          </w:tcPr>
          <w:p>
            <w:r>
              <w:t>Pelo prazo legalmente exigido para a conservação de registos clínicos e, no mínimo, 5 anos após o último contacto</w:t>
            </w:r>
          </w:p>
        </w:tc>
      </w:tr>
      <w:tr>
        <w:tc>
          <w:tcPr>
            <w:tcW w:type="dxa" w:w="4320"/>
          </w:tcPr>
          <w:p>
            <w:r>
              <w:t>Dados de marcações e histórico de consultas</w:t>
            </w:r>
          </w:p>
        </w:tc>
        <w:tc>
          <w:tcPr>
            <w:tcW w:type="dxa" w:w="4320"/>
          </w:tcPr>
          <w:p>
            <w:r>
              <w:t>Enquanto durar a relação com o utente e, após o seu termo, pelo prazo de prescrição aplicável</w:t>
            </w:r>
          </w:p>
        </w:tc>
      </w:tr>
      <w:tr>
        <w:tc>
          <w:tcPr>
            <w:tcW w:type="dxa" w:w="4320"/>
          </w:tcPr>
          <w:p>
            <w:r>
              <w:t>Documentos de faturação e suporte contabilístico</w:t>
            </w:r>
          </w:p>
        </w:tc>
        <w:tc>
          <w:tcPr>
            <w:tcW w:type="dxa" w:w="4320"/>
          </w:tcPr>
          <w:p>
            <w:r>
              <w:t>10 anos, nos termos da legislação fiscal aplicável</w:t>
            </w:r>
          </w:p>
        </w:tc>
      </w:tr>
      <w:tr>
        <w:tc>
          <w:tcPr>
            <w:tcW w:type="dxa" w:w="4320"/>
          </w:tcPr>
          <w:p>
            <w:r>
              <w:t>Marcações canceladas ou não confirmadas</w:t>
            </w:r>
          </w:p>
        </w:tc>
        <w:tc>
          <w:tcPr>
            <w:tcW w:type="dxa" w:w="4320"/>
          </w:tcPr>
          <w:p>
            <w:r>
              <w:t>Até 12 meses, salvo se necessárias para prova ou defesa de direitos</w:t>
            </w:r>
          </w:p>
        </w:tc>
      </w:tr>
      <w:tr>
        <w:tc>
          <w:tcPr>
            <w:tcW w:type="dxa" w:w="4320"/>
          </w:tcPr>
          <w:p>
            <w:r>
              <w:t>Mensagens do formulário de contacto</w:t>
            </w:r>
          </w:p>
        </w:tc>
        <w:tc>
          <w:tcPr>
            <w:tcW w:type="dxa" w:w="4320"/>
          </w:tcPr>
          <w:p>
            <w:r>
              <w:t>Até 12 meses após a resposta, salvo se derem origem a marcação</w:t>
            </w:r>
          </w:p>
        </w:tc>
      </w:tr>
      <w:tr>
        <w:tc>
          <w:tcPr>
            <w:tcW w:type="dxa" w:w="4320"/>
          </w:tcPr>
          <w:p>
            <w:r>
              <w:t>Registos técnicos de acesso</w:t>
            </w:r>
          </w:p>
        </w:tc>
        <w:tc>
          <w:tcPr>
            <w:tcW w:type="dxa" w:w="4320"/>
          </w:tcPr>
          <w:p>
            <w:r>
              <w:t>Até 12 meses</w:t>
            </w:r>
          </w:p>
        </w:tc>
      </w:tr>
    </w:tbl>
    <w:p/>
    <w:p>
      <w:r>
        <w:t>Findos os prazos, os dados são eliminados ou anonimizados de forma irreversível.</w:t>
      </w:r>
    </w:p>
    <w:p>
      <w:pPr>
        <w:pStyle w:val="Heading1"/>
      </w:pPr>
      <w:r>
        <w:t>6. Destinatários e subcontratantes</w:t>
      </w:r>
    </w:p>
    <w:p>
      <w:r>
        <w:t>Os dados não são vendidos nem cedidos a terceiros para fins comerciais. São, no entanto, tratados por prestadores de serviços que atuam como subcontratantes, ao abrigo de contratos de tratamento de dados nos termos do artigo 28.º do RGPD:</w:t>
      </w:r>
    </w:p>
    <w:p>
      <w:pPr>
        <w:pStyle w:val="ListBullet"/>
      </w:pPr>
      <w:r>
        <w:t>Fornecedor de alojamento e base de dados — alojamento da aplicação e armazenamento dos dados de marcação.</w:t>
      </w:r>
    </w:p>
    <w:p>
      <w:pPr>
        <w:pStyle w:val="ListBullet"/>
      </w:pPr>
      <w:r>
        <w:t>Fornecedor de correio eletrónico — envio dos e-mails transacionais de marcação, confirmação, alteração e cancelamento, e receção das mensagens do formulário de contacto.</w:t>
      </w:r>
    </w:p>
    <w:p>
      <w:pPr>
        <w:pStyle w:val="ListBullet"/>
      </w:pPr>
      <w:r>
        <w:t xml:space="preserve">Google (Google Calendar) — a agenda profissional é gerida no Google Calendar. Quando uma marcação é confirmada, é criado um evento com o nome, o tipo de consulta, a referência da marcação, o endereço de e-mail, o contacto telefónico, o regime e local, a duração e o preço. O campo de contexto, que pode conter dados relativos à saúde, não é enviado para o Google Calendar.</w:t>
      </w:r>
    </w:p>
    <w:p>
      <w:pPr>
        <w:pStyle w:val="ListBullet"/>
      </w:pPr>
      <w:r>
        <w:t xml:space="preserve">Google (Google Meet) — plataforma de videochamada utilizada nas consultas online, nos termos do ponto 3.6.</w:t>
      </w:r>
    </w:p>
    <w:p>
      <w:r>
        <w:t>Os dados podem ainda ser comunicados a autoridades públicas quando exista obrigação legal de o fazer, bem como a contabilista certificado no âmbito das obrigações fiscais.</w:t>
      </w:r>
    </w:p>
    <w:p>
      <w:pPr>
        <w:pStyle w:val="Heading1"/>
      </w:pPr>
      <w:r>
        <w:t>7. Transferências internacionais</w:t>
      </w:r>
    </w:p>
    <w:p>
      <w:r>
        <w:t>O tratamento ocorre, em regra, dentro do Espaço Económico Europeu. Quando algum subcontratante implique o acesso a dados a partir de países terceiros, tal ocorre ao abrigo de uma decisão de adequação da Comissão Europeia ou de Cláusulas Contratuais Tipo aprovadas nos termos do artigo 46.º do RGPD, acompanhadas de medidas complementares de segurança.</w:t>
      </w:r>
    </w:p>
    <w:p>
      <w:pPr>
        <w:pStyle w:val="Heading1"/>
      </w:pPr>
      <w:r>
        <w:t>8. Segurança</w:t>
      </w:r>
    </w:p>
    <w:p>
      <w:r>
        <w:t xml:space="preserve">São aplicadas medidas técnicas e organizativas adequadas ao risco, nos termos do artigo 32.º do RGPD, incluindo a cifragem das comunicações, o controlo de acessos, a validação dos dados submetidos e mecanismos de proteção contra utilização abusiva do serviço. O acesso aos dados é limitado à nutricionista, sujeita a segredo profissional, e aos prestadores devidamente autorizados identificados no ponto 6, apenas quando estritamente necessário e sujeitos às respetivas obrigações de confidencialidade e proteção de dados.</w:t>
      </w:r>
    </w:p>
    <w:p>
      <w:r>
        <w:t>Por razões de segurança, não são divulgados os pormenores técnicos das medidas aplicadas. Podem ser prestados a autoridades competentes, mediante pedido fundamentado.</w:t>
      </w:r>
    </w:p>
    <w:p>
      <w:r>
        <w:t>Em caso de violação de dados pessoais suscetível de resultar num risco para os seus direitos e liberdades, a Comissão Nacional de Proteção de Dados será notificada nos termos do artigo 33.º do RGPD e, quando o risco for elevado, será também informado o titular dos dados.</w:t>
      </w:r>
    </w:p>
    <w:p>
      <w:pPr>
        <w:pStyle w:val="Heading1"/>
      </w:pPr>
      <w:r>
        <w:t>9. Cookies e tecnologias semelhantes</w:t>
      </w:r>
    </w:p>
    <w:p>
      <w:r>
        <w:t xml:space="preserve">Este site não coloca quaisquer cookies no seu equipamento durante a navegação, a marcação de consultas ou a gestão de uma marcação. Também não é utilizado armazenamento local do navegador para acompanhar a sua navegação. As tipografias e imagens do site são servidas a partir do próprio site, sem recurso a serviços de terceiros, e não existem vídeos, mapas ou outros conteúdos incorporados de terceiros.</w:t>
      </w:r>
    </w:p>
    <w:p>
      <w:r>
        <w:t xml:space="preserve">Excetua-se apenas a área reservada de administração, de acesso exclusivo à nutricionista, que utiliza um cookie de sessão estritamente necessário à autenticação.</w:t>
      </w:r>
    </w:p>
    <w:p>
      <w:r>
        <w:t>Não são utilizadas ferramentas de estatísticas ou de análise de audiências, de publicidade, de redes sociais, de perfilagem, nem pixels de seguimento. Não é recolhido qualquer identificador que permita segui-lo entre sessões ou entre sites.</w:t>
      </w:r>
    </w:p>
    <w:p>
      <w:r>
        <w:t>Uma vez que não são utilizadas tecnologias sujeitas a consentimento nos termos do artigo 5.º, n.º 3, da Lei n.º 41/2004, de 18 de agosto, o site não apresenta — nem necessita de apresentar — qualquer banner de cookies. Caso venham a ser introduzidas tecnologias não essenciais, o seu consentimento será previamente solicitado e esta política será atualizada em conformidade.</w:t>
      </w:r>
    </w:p>
    <w:p>
      <w:pPr>
        <w:pStyle w:val="Heading1"/>
      </w:pPr>
      <w:r>
        <w:t>10. Os seus direitos</w:t>
      </w:r>
    </w:p>
    <w:p>
      <w:r>
        <w:t>Enquanto titular dos dados, assistem-lhe os seguintes direitos:</w:t>
      </w:r>
    </w:p>
    <w:p>
      <w:pPr>
        <w:pStyle w:val="ListBullet"/>
      </w:pPr>
      <w:r>
        <w:t>Acesso — saber que dados seus são tratados e obter uma cópia;</w:t>
      </w:r>
    </w:p>
    <w:p>
      <w:pPr>
        <w:pStyle w:val="ListBullet"/>
      </w:pPr>
      <w:r>
        <w:t>Retificação — corrigir dados inexatos ou incompletos;</w:t>
      </w:r>
    </w:p>
    <w:p>
      <w:pPr>
        <w:pStyle w:val="ListBullet"/>
      </w:pPr>
      <w:r>
        <w:t>Apagamento — solicitar a eliminação dos dados, quando não subsista obrigação legal de conservação;</w:t>
      </w:r>
    </w:p>
    <w:p>
      <w:pPr>
        <w:pStyle w:val="ListBullet"/>
      </w:pPr>
      <w:r>
        <w:t>Limitação — restringir o tratamento em determinadas situações;</w:t>
      </w:r>
    </w:p>
    <w:p>
      <w:pPr>
        <w:pStyle w:val="ListBullet"/>
      </w:pPr>
      <w:r>
        <w:t>Portabilidade — receber os dados em formato estruturado e de uso corrente;</w:t>
      </w:r>
    </w:p>
    <w:p>
      <w:pPr>
        <w:pStyle w:val="ListBullet"/>
      </w:pPr>
      <w:r>
        <w:t>Oposição — opor-se a tratamentos fundados em interesse legítimo;</w:t>
      </w:r>
    </w:p>
    <w:p>
      <w:pPr>
        <w:pStyle w:val="ListBullet"/>
      </w:pPr>
      <w:r>
        <w:t>Retirada do consentimento — sempre que o tratamento se baseie em consentimento, sem afetar a licitude do tratamento anterior.</w:t>
      </w:r>
    </w:p>
    <w:p>
      <w:r>
        <w:t>Os pedidos devem ser dirigidos a inesbandarranutricao@gmail.com e serão respondidos no prazo de um mês, prorrogável nos termos do artigo 12.º, n.º 3, do RGPD. Pode ser solicitada informação adicional para confirmar a sua identidade, nomeadamente quando o pedido envolva dados de saúde.</w:t>
      </w:r>
    </w:p>
    <w:p>
      <w:r>
        <w:t>Tem também o direito de apresentar reclamação à autoridade de controlo: Comissão Nacional de Proteção de Dados (CNPD), Av. D. Carlos I, n.º 134, 1.º, 1200-651 Lisboa — www.cnpd.pt.</w:t>
      </w:r>
    </w:p>
    <w:p>
      <w:pPr>
        <w:pStyle w:val="Heading1"/>
      </w:pPr>
      <w:r>
        <w:t>11. Carácter obrigatório da recolha</w:t>
      </w:r>
    </w:p>
    <w:p>
      <w:r>
        <w:t>Os campos assinalados como obrigatórios no formulário de marcação são indispensáveis para o registo e a gestão da consulta. A sua não disponibilização impossibilita a marcação. Os campos facultativos, como o contexto clínico, destinam-se apenas a preparar melhor a consulta.</w:t>
      </w:r>
    </w:p>
    <w:p>
      <w:pPr>
        <w:pStyle w:val="Heading1"/>
      </w:pPr>
      <w:r>
        <w:t>12. Ligações para sites de terceiros</w:t>
      </w:r>
    </w:p>
    <w:p>
      <w:r>
        <w:t>O site contém ligações para o Instagram e para o WhatsApp. Ao segui-las, passa a estar sujeito às políticas de privacidade dessas plataformas, pelas quais não é assumida qualquer responsabilidade.</w:t>
      </w:r>
    </w:p>
    <w:p>
      <w:pPr>
        <w:pStyle w:val="Heading1"/>
      </w:pPr>
      <w:r>
        <w:t>13. Alterações a esta política</w:t>
      </w:r>
    </w:p>
    <w:p>
      <w:r>
        <w:t>Esta política pode ser atualizada sempre que se justifique, designadamente por alteração dos serviços prestados ou da legislação aplicável. A versão em vigor é a publicada nesta página, com indicação da data da última atualização.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